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after="20"/>
      </w:pPr>
      <w:r>
        <w:t>The Council  ·  AI GOVERNANCE</w:t>
      </w:r>
    </w:p>
    <w:p>
      <w:pPr>
        <w:spacing w:after="40"/>
      </w:pPr>
      <w:r>
        <w:t>Decision-Ready Paper</w:t>
      </w:r>
    </w:p>
    <w:p>
      <w:pPr>
        <w:spacing w:after="60"/>
      </w:pPr>
      <w:r>
        <w:t>Template and worked examples for governance forums</w:t>
      </w:r>
    </w:p>
    <w:p>
      <w:pPr>
        <w:pBdr>
          <w:bottom w:val="single" w:color="122C47" w:sz="18" w:space="6"/>
        </w:pBdr>
        <w:spacing w:after="220"/>
      </w:pPr>
      <w:r>
        <w:t>AIG-DEC-02  ·  v1.8 draft  ·  Draft for Council review  ·  OFFICIAL</w:t>
      </w:r>
    </w:p>
    <w:p>
      <w:pPr>
        <w:spacing w:after="70" w:before="160"/>
      </w:pPr>
      <w:r>
        <w:t>Purpose and place in the suite</w:t>
      </w:r>
    </w:p>
    <w:p>
      <w:pPr>
        <w:spacing w:after="130"/>
      </w:pPr>
      <w:r>
        <w:t>This artefact provides the decision-ready paper required by the Terms of Reference (AIG-GOV-06 §7): papers “are circulated in advance and should be decision-ready”, and “the Decision-Ready Paper template (AIG-DEC-02) provides the standard one-page format; the AI governance function prepares the AI content of each forum’s pack, not only the Board’s.” The paper goes to the forum or officer that holds the decision; the AI Assurance Board sees it only where it is giving an assurance opinion.</w:t>
      </w:r>
    </w:p>
    <w:p>
      <w:pPr>
        <w:spacing w:after="130"/>
      </w:pPr>
      <w:r/>
      <w:r>
        <w:rPr>
          <w:b/>
        </w:rPr>
        <w:t xml:space="preserve">Decision proposition — </w:t>
      </w:r>
      <w:r>
        <w:t xml:space="preserve">state AIR-ID and list every covered UC-ID. For each use provide its assessment references, AGPI priority/risk, proposed outcome, exact permitted/excluded scope, delegated authority, conditions and effective/review dates. One paper may bundle uses only with a separate outcome row per UC-ID; missing or conflicting evidence is unverified, not approved.</w:t>
      </w:r>
    </w:p>
    <w:p>
      <w:pPr>
        <w:spacing w:after="130"/>
      </w:pPr>
      <w:r>
        <w:t>It is the forward-looking brief in the decision chain. It sits ahead of the Governance Decision Record (AIG-DEC-03), which records the reasoned decision afterwards, and the Gate Log (AIG-DEC-04), which logs the gate event. Its triage headline is populated from the AGPI Triage Tool (AIG-ASS-01). The paper asks; the Decision Record decides and explains; the Gate Log records the event.</w:t>
      </w:r>
    </w:p>
    <w:p>
      <w:pPr>
        <w:spacing w:after="130"/>
      </w:pPr>
      <w:r>
        <w:t>Scope. A full decision-ready paper is expected for High and Critical uses and for Enhanced / Agentic route cases. Light-touch and Standard route cases use the same template in its lighter form (see worked example 3), or a delegated Light-touch decision record, applied proportionately.</w:t>
      </w:r>
    </w:p>
    <w:p>
      <w:pPr>
        <w:spacing w:after="70" w:before="160"/>
      </w:pPr>
      <w:r>
        <w:t>What this is</w:t>
      </w:r>
    </w:p>
    <w:p>
      <w:pPr>
        <w:spacing w:after="130"/>
      </w:pPr>
      <w:r>
        <w:t>The decision paper is the single page a governance forum receives when a system reaches one of its gates. It is not the evidence pack. It is a decision-ready summary that carries only what that forum needs to answer its one question, with the evidence held by its custodians and indexed under the AIR-ID as the audit trail.</w:t>
      </w:r>
    </w:p>
    <w:p>
      <w:pPr>
        <w:spacing w:after="70" w:before="160"/>
      </w:pPr>
      <w:r>
        <w:t>Why forums receive a paper, not a pack</w:t>
      </w:r>
    </w:p>
    <w:p>
      <w:pPr>
        <w:spacing w:after="130"/>
      </w:pPr>
      <w:r>
        <w:t>Forums are decision-makers, not document readers. Handing a board the full set of assessments slows decisions and invites either rejection or disengagement. In this model the AI Governance Lead / governance function distils the evidence into a standard one-page paper per gate. The board reads one screen, answers one question within its own authority, and records the decision. The evidence stays with its custodians; the paper points to it through the evidence index under the AIR-ID, available on request or challenge.</w:t>
      </w:r>
    </w:p>
    <w:p>
      <w:pPr>
        <w:spacing w:after="70" w:before="160"/>
      </w:pPr>
      <w:r>
        <w:t>Proportionate by design</w:t>
      </w:r>
    </w:p>
    <w:p>
      <w:pPr>
        <w:spacing w:after="130"/>
      </w:pPr>
      <w:r>
        <w:t>Effort scales to risk. Most uses take the Light-touch or Standard route, with a short paper and a quick decision. The Enhanced / Agentic route, with its fuller assessment, is reserved for the uses that genuinely warrant it, for example those affecting vulnerable residents, informing statutory decisions or able to take actions. The Light-touch example in this pack sits deliberately alongside the high-risk one to show the difference. AGPI priority (1–5) is a separate field from the route.</w:t>
      </w:r>
    </w:p>
    <w:p>
      <w:pPr>
        <w:spacing w:after="70" w:before="160"/>
      </w:pPr>
      <w:r>
        <w:t>How each paper is produced</w:t>
      </w:r>
    </w:p>
    <w:p>
      <w:pPr>
        <w:pStyle w:val="ListParagraph"/>
        <w:numPr>
          <w:ilvl w:val="0"/>
          <w:numId w:val="1"/>
        </w:numPr>
        <w:spacing w:after="60"/>
      </w:pPr>
      <w:r>
        <w:t>Produced by: the AI Governance Lead / governance function, which also maintains the continuity record. Specialists supply the underlying evidence (the DPO the DPIA, security the checklist, the supplier the model card); the governance function distils it.</w:t>
      </w:r>
    </w:p>
    <w:p>
      <w:pPr>
        <w:pStyle w:val="ListParagraph"/>
        <w:numPr>
          <w:ilvl w:val="0"/>
          <w:numId w:val="1"/>
        </w:numPr>
        <w:spacing w:after="60"/>
      </w:pPr>
      <w:r>
        <w:t>Built from: the triage output (priority, risk tier, triggers), the register entry, and only the artefacts that bear on this gate.</w:t>
      </w:r>
    </w:p>
    <w:p>
      <w:pPr>
        <w:pStyle w:val="ListParagraph"/>
        <w:numPr>
          <w:ilvl w:val="0"/>
          <w:numId w:val="1"/>
        </w:numPr>
        <w:spacing w:after="60"/>
      </w:pPr>
      <w:r>
        <w:t>Disciplined to one page: technical findings are translated into decision terms, a clear recommendation and conditions are proposed, and earlier decisions are carried forward so no forum re-derives settled ground.</w:t>
      </w:r>
    </w:p>
    <w:p>
      <w:pPr>
        <w:pStyle w:val="ListParagraph"/>
      </w:pPr>
      <w:r>
        <w:t>Lean rule: the paper should not trigger a new evidence exercise. It summarises the evidence already held under the AIR-ID and points to the source artefacts only where the forum needs to inspect them.</w:t>
      </w:r>
    </w:p>
    <w:p>
      <w:pPr>
        <w:pStyle w:val="ListParagraph"/>
        <w:numPr>
          <w:ilvl w:val="0"/>
          <w:numId w:val="1"/>
        </w:numPr>
        <w:spacing w:after="60"/>
      </w:pPr>
      <w:r>
        <w:t>Circulated ahead of the meeting: the template is identical every time, so forums learn to read it in under a minute.</w:t>
      </w:r>
    </w:p>
    <w:p>
      <w:r/>
    </w:p>
    <w:p>
      <w:pPr>
        <w:pBdr>
          <w:bottom w:val="single" w:color="C8AB36" w:sz="12" w:space="4"/>
        </w:pBdr>
        <w:spacing w:after="120" w:before="60"/>
      </w:pPr>
      <w:r>
        <w:t>Decision paper, decision record and gate log</w:t>
      </w:r>
    </w:p>
    <w:p>
      <w:pPr>
        <w:spacing w:after="130"/>
      </w:pPr>
      <w:r>
        <w:t>These three sit at the same gate and are easily confused. Hold them apart by purpose: the decision paper is written before the meeting and looks forward; the Governance Decision Record (AIG-DEC-03) or approved minutes are the authoritative record of the decision, one outcome per UC-ID; the Gate Log (AIG-DEC-04) records the dated event and its conditions and points to that decision. The Gate Log is never the decision record.</w:t>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1500"/>
        <w:gridCol w:w="2620"/>
        <w:gridCol w:w="2620"/>
        <w:gridCol w:w="2620"/>
      </w:tblGrid>
      <w:tr>
        <w:trPr>
          <w:cantSplit/>
          <w:tblHeader/>
        </w:trPr>
        <w:tc>
          <w:tcPr>
            <w:tcW w:type="dxa" w:w="1500"/>
            <w:shd w:fill="122C47" w:color="auto" w:val="clear"/>
            <w:tcMar>
              <w:top w:type="dxa" w:w="60"/>
              <w:left w:type="dxa" w:w="110"/>
              <w:bottom w:type="dxa" w:w="60"/>
              <w:right w:type="dxa" w:w="110"/>
            </w:tcMar>
          </w:tcPr>
          <w:p>
            <w:r>
              <w:rPr>
                <w:rFonts w:ascii="Arial" w:hAnsi="Arial" w:eastAsia="Arial" w:cs="Arial"/>
                <w:b/>
                <w:bCs/>
                <w:color w:val="FFFFFF"/>
                <w:sz w:val="21"/>
                <w:szCs w:val="21"/>
              </w:rPr>
              <w:t xml:space="preserve"/>
            </w:r>
          </w:p>
        </w:tc>
        <w:tc>
          <w:tcPr>
            <w:tcW w:type="dxa" w:w="2620"/>
            <w:shd w:fill="122C47" w:color="auto" w:val="clear"/>
            <w:tcMar>
              <w:top w:type="dxa" w:w="60"/>
              <w:left w:type="dxa" w:w="110"/>
              <w:bottom w:type="dxa" w:w="60"/>
              <w:right w:type="dxa" w:w="110"/>
            </w:tcMar>
          </w:tcPr>
          <w:p>
            <w:r>
              <w:rPr>
                <w:rFonts w:ascii="Arial" w:hAnsi="Arial" w:eastAsia="Arial" w:cs="Arial"/>
                <w:b/>
                <w:bCs/>
                <w:color w:val="FFFFFF"/>
                <w:sz w:val="21"/>
                <w:szCs w:val="21"/>
              </w:rPr>
              <w:t xml:space="preserve">Decision paper (AIG-DEC-02)</w:t>
            </w:r>
          </w:p>
        </w:tc>
        <w:tc>
          <w:tcPr>
            <w:tcW w:type="dxa" w:w="2620"/>
            <w:shd w:fill="122C47" w:color="auto" w:val="clear"/>
            <w:tcMar>
              <w:top w:type="dxa" w:w="60"/>
              <w:left w:type="dxa" w:w="110"/>
              <w:bottom w:type="dxa" w:w="60"/>
              <w:right w:type="dxa" w:w="110"/>
            </w:tcMar>
          </w:tcPr>
          <w:p>
            <w:r>
              <w:rPr>
                <w:rFonts w:ascii="Arial" w:hAnsi="Arial" w:eastAsia="Arial" w:cs="Arial"/>
                <w:b/>
                <w:bCs/>
                <w:color w:val="FFFFFF"/>
                <w:sz w:val="21"/>
                <w:szCs w:val="21"/>
              </w:rPr>
              <w:t xml:space="preserve">Decision Record (AIG-DEC-03) or approved minutes</w:t>
            </w:r>
          </w:p>
        </w:tc>
        <w:tc>
          <w:tcPr>
            <w:tcW w:type="dxa" w:w="2620"/>
            <w:shd w:fill="122C47" w:color="auto" w:val="clear"/>
            <w:tcMar>
              <w:top w:type="dxa" w:w="60"/>
              <w:left w:type="dxa" w:w="110"/>
              <w:bottom w:type="dxa" w:w="60"/>
              <w:right w:type="dxa" w:w="110"/>
            </w:tcMar>
          </w:tcPr>
          <w:p>
            <w:r>
              <w:rPr>
                <w:rFonts w:ascii="Arial" w:hAnsi="Arial" w:eastAsia="Arial" w:cs="Arial"/>
                <w:b/>
                <w:bCs/>
                <w:color w:val="FFFFFF"/>
                <w:sz w:val="21"/>
                <w:szCs w:val="21"/>
              </w:rPr>
              <w:t xml:space="preserve">Gate Log (AIG-DEC-04)</w:t>
            </w:r>
          </w:p>
        </w:tc>
      </w:tr>
      <w:tr>
        <w:trPr>
          <w:cantSplit/>
        </w:trPr>
        <w:tc>
          <w:tcPr>
            <w:tcW w:type="dxa" w:w="1500"/>
            <w:shd w:fill="FFFFFF" w:color="auto" w:val="clear"/>
            <w:tcMar>
              <w:top w:type="dxa" w:w="60"/>
              <w:left w:type="dxa" w:w="110"/>
              <w:bottom w:type="dxa" w:w="60"/>
              <w:right w:type="dxa" w:w="110"/>
            </w:tcMar>
          </w:tcPr>
          <w:p>
            <w:r>
              <w:rPr>
                <w:b/>
              </w:rPr>
              <w:t xml:space="preserve">What it is</w:t>
            </w:r>
          </w:p>
        </w:tc>
        <w:tc>
          <w:tcPr>
            <w:tcW w:type="dxa" w:w="2620"/>
            <w:shd w:fill="FFFFFF" w:color="auto" w:val="clear"/>
            <w:tcMar>
              <w:top w:type="dxa" w:w="60"/>
              <w:left w:type="dxa" w:w="110"/>
              <w:bottom w:type="dxa" w:w="60"/>
              <w:right w:type="dxa" w:w="110"/>
            </w:tcMar>
          </w:tcPr>
          <w:p>
            <w:r>
              <w:t xml:space="preserve">The brief the deciding forum or officer reads.</w:t>
            </w:r>
          </w:p>
        </w:tc>
        <w:tc>
          <w:tcPr>
            <w:tcW w:type="dxa" w:w="2620"/>
            <w:shd w:fill="FFFFFF" w:color="auto" w:val="clear"/>
            <w:tcMar>
              <w:top w:type="dxa" w:w="60"/>
              <w:left w:type="dxa" w:w="110"/>
              <w:bottom w:type="dxa" w:w="60"/>
              <w:right w:type="dxa" w:w="110"/>
            </w:tcMar>
          </w:tcPr>
          <w:p>
            <w:r>
              <w:t xml:space="preserve">The authoritative record of the decision: one outcome per UC-ID, with scope, conditions and authority.</w:t>
            </w:r>
          </w:p>
        </w:tc>
        <w:tc>
          <w:tcPr>
            <w:tcW w:type="dxa" w:w="2620"/>
            <w:shd w:fill="FFFFFF" w:color="auto" w:val="clear"/>
            <w:tcMar>
              <w:top w:type="dxa" w:w="60"/>
              <w:left w:type="dxa" w:w="110"/>
              <w:bottom w:type="dxa" w:w="60"/>
              <w:right w:type="dxa" w:w="110"/>
            </w:tcMar>
          </w:tcPr>
          <w:p>
            <w:r>
              <w:t xml:space="preserve">The dated event and conditions register; it points to the decision and is never the decision record.</w:t>
            </w:r>
          </w:p>
        </w:tc>
      </w:tr>
      <w:tr>
        <w:trPr>
          <w:cantSplit/>
        </w:trPr>
        <w:tc>
          <w:tcPr>
            <w:tcW w:type="dxa" w:w="1500"/>
            <w:shd w:fill="FFFFFF" w:color="auto" w:val="clear"/>
            <w:tcMar>
              <w:top w:type="dxa" w:w="60"/>
              <w:left w:type="dxa" w:w="110"/>
              <w:bottom w:type="dxa" w:w="60"/>
              <w:right w:type="dxa" w:w="110"/>
            </w:tcMar>
          </w:tcPr>
          <w:p>
            <w:r>
              <w:rPr>
                <w:b/>
              </w:rPr>
              <w:t xml:space="preserve">When</w:t>
            </w:r>
          </w:p>
        </w:tc>
        <w:tc>
          <w:tcPr>
            <w:tcW w:type="dxa" w:w="2620"/>
            <w:shd w:fill="FFFFFF" w:color="auto" w:val="clear"/>
            <w:tcMar>
              <w:top w:type="dxa" w:w="60"/>
              <w:left w:type="dxa" w:w="110"/>
              <w:bottom w:type="dxa" w:w="60"/>
              <w:right w:type="dxa" w:w="110"/>
            </w:tcMar>
          </w:tcPr>
          <w:p>
            <w:r>
              <w:t xml:space="preserve">Before the meeting.</w:t>
            </w:r>
          </w:p>
        </w:tc>
        <w:tc>
          <w:tcPr>
            <w:tcW w:type="dxa" w:w="2620"/>
            <w:shd w:fill="FFFFFF" w:color="auto" w:val="clear"/>
            <w:tcMar>
              <w:top w:type="dxa" w:w="60"/>
              <w:left w:type="dxa" w:w="110"/>
              <w:bottom w:type="dxa" w:w="60"/>
              <w:right w:type="dxa" w:w="110"/>
            </w:tcMar>
          </w:tcPr>
          <w:p>
            <w:r>
              <w:t xml:space="preserve">At the meeting, or in a controlled written decision.</w:t>
            </w:r>
          </w:p>
        </w:tc>
        <w:tc>
          <w:tcPr>
            <w:tcW w:type="dxa" w:w="2620"/>
            <w:shd w:fill="FFFFFF" w:color="auto" w:val="clear"/>
            <w:tcMar>
              <w:top w:type="dxa" w:w="60"/>
              <w:left w:type="dxa" w:w="110"/>
              <w:bottom w:type="dxa" w:w="60"/>
              <w:right w:type="dxa" w:w="110"/>
            </w:tcMar>
          </w:tcPr>
          <w:p>
            <w:r>
              <w:t xml:space="preserve">At or just after the meeting, and as conditions progress.</w:t>
            </w:r>
          </w:p>
        </w:tc>
      </w:tr>
      <w:tr>
        <w:trPr>
          <w:cantSplit/>
        </w:trPr>
        <w:tc>
          <w:tcPr>
            <w:tcW w:type="dxa" w:w="1500"/>
            <w:shd w:fill="FFFFFF" w:color="auto" w:val="clear"/>
            <w:tcMar>
              <w:top w:type="dxa" w:w="60"/>
              <w:left w:type="dxa" w:w="110"/>
              <w:bottom w:type="dxa" w:w="60"/>
              <w:right w:type="dxa" w:w="110"/>
            </w:tcMar>
          </w:tcPr>
          <w:p>
            <w:r>
              <w:rPr>
                <w:b/>
              </w:rPr>
              <w:t xml:space="preserve">Contains</w:t>
            </w:r>
          </w:p>
        </w:tc>
        <w:tc>
          <w:tcPr>
            <w:tcW w:type="dxa" w:w="2620"/>
            <w:shd w:fill="FFFFFF" w:color="auto" w:val="clear"/>
            <w:tcMar>
              <w:top w:type="dxa" w:w="60"/>
              <w:left w:type="dxa" w:w="110"/>
              <w:bottom w:type="dxa" w:w="60"/>
              <w:right w:type="dxa" w:w="110"/>
            </w:tcMar>
          </w:tcPr>
          <w:p>
            <w:r>
              <w:t xml:space="preserve">Recommendation, UC-ID rows, blank decision boxes.</w:t>
            </w:r>
          </w:p>
        </w:tc>
        <w:tc>
          <w:tcPr>
            <w:tcW w:type="dxa" w:w="2620"/>
            <w:shd w:fill="FFFFFF" w:color="auto" w:val="clear"/>
            <w:tcMar>
              <w:top w:type="dxa" w:w="60"/>
              <w:left w:type="dxa" w:w="110"/>
              <w:bottom w:type="dxa" w:w="60"/>
              <w:right w:type="dxa" w:w="110"/>
            </w:tcMar>
          </w:tcPr>
          <w:p>
            <w:r>
              <w:t xml:space="preserve">Outcome, permitted and excluded scope, conditions, delegated authority and dates for each UC-ID.</w:t>
            </w:r>
          </w:p>
        </w:tc>
        <w:tc>
          <w:tcPr>
            <w:tcW w:type="dxa" w:w="2620"/>
            <w:shd w:fill="FFFFFF" w:color="auto" w:val="clear"/>
            <w:tcMar>
              <w:top w:type="dxa" w:w="60"/>
              <w:left w:type="dxa" w:w="110"/>
              <w:bottom w:type="dxa" w:w="60"/>
              <w:right w:type="dxa" w:w="110"/>
            </w:tcMar>
          </w:tcPr>
          <w:p>
            <w:r>
              <w:t xml:space="preserve">Event ID, date, gate code, conditions and their state, and the AIG-DEC-03 or minutes reference.</w:t>
            </w:r>
          </w:p>
        </w:tc>
      </w:tr>
      <w:tr>
        <w:trPr>
          <w:cantSplit/>
        </w:trPr>
        <w:tc>
          <w:tcPr>
            <w:tcW w:type="dxa" w:w="1500"/>
            <w:shd w:fill="FFFFFF" w:color="auto" w:val="clear"/>
            <w:tcMar>
              <w:top w:type="dxa" w:w="60"/>
              <w:left w:type="dxa" w:w="110"/>
              <w:bottom w:type="dxa" w:w="60"/>
              <w:right w:type="dxa" w:w="110"/>
            </w:tcMar>
          </w:tcPr>
          <w:p>
            <w:r>
              <w:rPr>
                <w:b/>
              </w:rPr>
              <w:t xml:space="preserve">Answers</w:t>
            </w:r>
          </w:p>
        </w:tc>
        <w:tc>
          <w:tcPr>
            <w:tcW w:type="dxa" w:w="2620"/>
            <w:shd w:fill="FFFFFF" w:color="auto" w:val="clear"/>
            <w:tcMar>
              <w:top w:type="dxa" w:w="60"/>
              <w:left w:type="dxa" w:w="110"/>
              <w:bottom w:type="dxa" w:w="60"/>
              <w:right w:type="dxa" w:w="110"/>
            </w:tcMar>
          </w:tcPr>
          <w:p>
            <w:r>
              <w:t xml:space="preserve">“May this proceed, and on what terms?”</w:t>
            </w:r>
          </w:p>
        </w:tc>
        <w:tc>
          <w:tcPr>
            <w:tcW w:type="dxa" w:w="2620"/>
            <w:shd w:fill="FFFFFF" w:color="auto" w:val="clear"/>
            <w:tcMar>
              <w:top w:type="dxa" w:w="60"/>
              <w:left w:type="dxa" w:w="110"/>
              <w:bottom w:type="dxa" w:w="60"/>
              <w:right w:type="dxa" w:w="110"/>
            </w:tcMar>
          </w:tcPr>
          <w:p>
            <w:r>
              <w:t xml:space="preserve">“What was decided, for which use, by whom, under what authority?”</w:t>
            </w:r>
          </w:p>
        </w:tc>
        <w:tc>
          <w:tcPr>
            <w:tcW w:type="dxa" w:w="2620"/>
            <w:shd w:fill="FFFFFF" w:color="auto" w:val="clear"/>
            <w:tcMar>
              <w:top w:type="dxa" w:w="60"/>
              <w:left w:type="dxa" w:w="110"/>
              <w:bottom w:type="dxa" w:w="60"/>
              <w:right w:type="dxa" w:w="110"/>
            </w:tcMar>
          </w:tcPr>
          <w:p>
            <w:r>
              <w:t xml:space="preserve">“What happened at this gate, when, and what remains open?”</w:t>
            </w:r>
          </w:p>
        </w:tc>
      </w:tr>
      <w:tr>
        <w:trPr>
          <w:cantSplit/>
        </w:trPr>
        <w:tc>
          <w:tcPr>
            <w:tcW w:type="dxa" w:w="1500"/>
            <w:shd w:fill="FFFFFF" w:color="auto" w:val="clear"/>
            <w:tcMar>
              <w:top w:type="dxa" w:w="60"/>
              <w:left w:type="dxa" w:w="110"/>
              <w:bottom w:type="dxa" w:w="60"/>
              <w:right w:type="dxa" w:w="110"/>
            </w:tcMar>
          </w:tcPr>
          <w:p>
            <w:r>
              <w:rPr>
                <w:b/>
              </w:rPr>
              <w:t xml:space="preserve">Written by</w:t>
            </w:r>
          </w:p>
        </w:tc>
        <w:tc>
          <w:tcPr>
            <w:tcW w:type="dxa" w:w="2620"/>
            <w:shd w:fill="FFFFFF" w:color="auto" w:val="clear"/>
            <w:tcMar>
              <w:top w:type="dxa" w:w="60"/>
              <w:left w:type="dxa" w:w="110"/>
              <w:bottom w:type="dxa" w:w="60"/>
              <w:right w:type="dxa" w:w="110"/>
            </w:tcMar>
          </w:tcPr>
          <w:p>
            <w:r>
              <w:t xml:space="preserve">AI Governance Lead / governance function.</w:t>
            </w:r>
          </w:p>
        </w:tc>
        <w:tc>
          <w:tcPr>
            <w:tcW w:type="dxa" w:w="2620"/>
            <w:shd w:fill="FFFFFF" w:color="auto" w:val="clear"/>
            <w:tcMar>
              <w:top w:type="dxa" w:w="60"/>
              <w:left w:type="dxa" w:w="110"/>
              <w:bottom w:type="dxa" w:w="60"/>
              <w:right w:type="dxa" w:w="110"/>
            </w:tcMar>
          </w:tcPr>
          <w:p>
            <w:r>
              <w:t xml:space="preserve">Governance secretariat, for the decision-maker.</w:t>
            </w:r>
          </w:p>
        </w:tc>
        <w:tc>
          <w:tcPr>
            <w:tcW w:type="dxa" w:w="2620"/>
            <w:shd w:fill="FFFFFF" w:color="auto" w:val="clear"/>
            <w:tcMar>
              <w:top w:type="dxa" w:w="60"/>
              <w:left w:type="dxa" w:w="110"/>
              <w:bottom w:type="dxa" w:w="60"/>
              <w:right w:type="dxa" w:w="110"/>
            </w:tcMar>
          </w:tcPr>
          <w:p>
            <w:r>
              <w:t xml:space="preserve">Governance secretariat (operational custody).</w:t>
            </w:r>
          </w:p>
        </w:tc>
      </w:tr>
      <w:tr>
        <w:trPr>
          <w:cantSplit/>
        </w:trPr>
        <w:tc>
          <w:tcPr>
            <w:tcW w:type="dxa" w:w="1500"/>
            <w:shd w:fill="FFFFFF" w:color="auto" w:val="clear"/>
            <w:tcMar>
              <w:top w:type="dxa" w:w="60"/>
              <w:left w:type="dxa" w:w="110"/>
              <w:bottom w:type="dxa" w:w="60"/>
              <w:right w:type="dxa" w:w="110"/>
            </w:tcMar>
          </w:tcPr>
          <w:p>
            <w:r>
              <w:rPr>
                <w:b/>
              </w:rPr>
              <w:t xml:space="preserve">Owned by</w:t>
            </w:r>
          </w:p>
        </w:tc>
        <w:tc>
          <w:tcPr>
            <w:tcW w:type="dxa" w:w="2620"/>
            <w:shd w:fill="FFFFFF" w:color="auto" w:val="clear"/>
            <w:tcMar>
              <w:top w:type="dxa" w:w="60"/>
              <w:left w:type="dxa" w:w="110"/>
              <w:bottom w:type="dxa" w:w="60"/>
              <w:right w:type="dxa" w:w="110"/>
            </w:tcMar>
          </w:tcPr>
          <w:p>
            <w:r>
              <w:t xml:space="preserve">AI Governance Lead (the brief).</w:t>
            </w:r>
          </w:p>
        </w:tc>
        <w:tc>
          <w:tcPr>
            <w:tcW w:type="dxa" w:w="2620"/>
            <w:shd w:fill="FFFFFF" w:color="auto" w:val="clear"/>
            <w:tcMar>
              <w:top w:type="dxa" w:w="60"/>
              <w:left w:type="dxa" w:w="110"/>
              <w:bottom w:type="dxa" w:w="60"/>
              <w:right w:type="dxa" w:w="110"/>
            </w:tcMar>
          </w:tcPr>
          <w:p>
            <w:r>
              <w:t xml:space="preserve">The officer or forum with confirmed delegation (the decision).</w:t>
            </w:r>
          </w:p>
        </w:tc>
        <w:tc>
          <w:tcPr>
            <w:tcW w:type="dxa" w:w="2620"/>
            <w:shd w:fill="FFFFFF" w:color="auto" w:val="clear"/>
            <w:tcMar>
              <w:top w:type="dxa" w:w="60"/>
              <w:left w:type="dxa" w:w="110"/>
              <w:bottom w:type="dxa" w:w="60"/>
              <w:right w:type="dxa" w:w="110"/>
            </w:tcMar>
          </w:tcPr>
          <w:p>
            <w:r>
              <w:t xml:space="preserve">AI Governance Lead / governance function (the event record).</w:t>
            </w:r>
          </w:p>
        </w:tc>
      </w:tr>
    </w:tbl>
    <w:p>
      <w:pPr>
        <w:spacing w:before="140"/>
      </w:pPr>
    </w:p>
    <w:tbl>
      <w:tblPr>
        <w:tblW w:type="dxa" w:w="9360"/>
        <w:tblBorders>
          <w:top w:val="single" w:color="C8AB36" w:sz="6"/>
          <w:left w:val="single" w:color="C8AB36" w:sz="18"/>
          <w:bottom w:val="single" w:color="C8AB36" w:sz="6"/>
          <w:right w:val="single" w:color="C8AB36" w:sz="6"/>
          <w:insideH w:val="single" w:color="C8AB36" w:sz="6"/>
          <w:insideV w:val="single" w:color="C8AB36" w:sz="6"/>
        </w:tblBorders>
      </w:tblPr>
      <w:tblGrid>
        <w:gridCol w:w="9360"/>
      </w:tblGrid>
      <w:tr>
        <w:tc>
          <w:tcPr>
            <w:tcW w:type="dxa" w:w="9360"/>
            <w:shd w:fill="FBF6E4" w:color="auto" w:val="clear"/>
            <w:tcMar>
              <w:top w:type="dxa" w:w="80"/>
              <w:left w:type="dxa" w:w="120"/>
              <w:bottom w:type="dxa" w:w="80"/>
              <w:right w:type="dxa" w:w="120"/>
            </w:tcMar>
          </w:tcPr>
          <w:p>
            <w:pPr>
              <w:spacing w:after="40"/>
            </w:pPr>
            <w:r>
              <w:t>Who records the decision and the gate event</w:t>
            </w:r>
          </w:p>
          <w:p>
            <w:pPr>
              <w:spacing w:after="20"/>
            </w:pPr>
            <w:r>
              <w:t>The governance secretariat records them, not the forum members and not the Service Owner. The forum or officer with confirmed delegation makes and owns the decision, which is captured in the Governance Decision Record (AIG-DEC-03) or approved minutes; the secretariat then logs the dated event and conditions in the Gate Log (AIG-DEC-04) with a pointer to that decision. Keeping the people who decide separate from the people who keep the books is what makes the record trustworthy and auditable. The named decision-maker (chair or delegated officer) is the one whose name sits against the decision.</w:t>
            </w:r>
          </w:p>
        </w:tc>
      </w:tr>
    </w:tbl>
    <w:p>
      <w:pPr>
        <w:spacing w:before="120"/>
      </w:pPr>
      <w:r>
        <w:t>Plan vs log:  the triage tool produces a gate plan (which gates a system must pass, looking forward). The Gate Log records the gate events that actually happened. Plan is what is intended; log is what happened. They are kept separate on purpose.</w:t>
      </w:r>
    </w:p>
    <w:p>
      <w:r/>
    </w:p>
    <w:p>
      <w:pPr>
        <w:pBdr>
          <w:bottom w:val="single" w:color="C8AB36" w:sz="12" w:space="4"/>
        </w:pBdr>
        <w:spacing w:after="120" w:before="60"/>
      </w:pPr>
      <w:r>
        <w:t>The template</w:t>
      </w:r>
    </w:p>
    <w:p>
      <w:pPr>
        <w:spacing w:after="130"/>
      </w:pPr>
      <w:r>
        <w:t>A blank paper. Every gate uses the same structure; only the content changes.</w:t>
      </w:r>
    </w:p>
    <w:p>
      <w:pPr>
        <w:pBdr>
          <w:top w:val="single" w:color="122C47" w:sz="6"/>
          <w:bottom w:val="single" w:color="122C47" w:sz="6"/>
          <w:left w:val="single" w:color="122C47" w:sz="6"/>
          <w:right w:val="single" w:color="122C47" w:sz="6"/>
        </w:pBdr>
        <w:shd w:fill="122C47" w:color="auto" w:val="clear"/>
        <w:spacing w:after="0" w:before="0"/>
      </w:pPr>
      <w:r>
        <w:rPr>
          <w:rFonts w:ascii="Arial" w:hAnsi="Arial" w:eastAsia="Arial" w:cs="Arial"/>
          <w:b/>
          <w:bCs/>
          <w:color w:val="FFFFFF"/>
          <w:sz w:val="20"/>
          <w:szCs w:val="20"/>
        </w:rPr>
        <w:t xml:space="preserve">  AI Governance · Forum Decision Paper</w:t>
      </w:r>
    </w:p>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3120"/>
        <w:gridCol w:w="3120"/>
        <w:gridCol w:w="3120"/>
      </w:tblGrid>
      <w:tr>
        <w:tc>
          <w:tcPr>
            <w:tcW w:type="dxa" w:w="3120"/>
            <w:shd w:fill="F2F0EA" w:color="auto" w:val="clear"/>
            <w:tcMar>
              <w:top w:type="dxa" w:w="60"/>
              <w:left w:type="dxa" w:w="100"/>
              <w:bottom w:type="dxa" w:w="60"/>
              <w:right w:type="dxa" w:w="100"/>
            </w:tcMar>
          </w:tcPr>
          <w:p>
            <w:pPr>
              <w:spacing w:after="30"/>
            </w:pPr>
            <w:r>
              <w:t>AIR-ID: AIR-____</w:t>
            </w:r>
          </w:p>
          <w:p>
            <w:pPr>
              <w:spacing w:after="0"/>
            </w:pPr>
            <w:r>
              <w:t>System: ____________________</w:t>
            </w:r>
          </w:p>
        </w:tc>
        <w:tc>
          <w:tcPr>
            <w:tcW w:type="dxa" w:w="3120"/>
            <w:shd w:fill="F2F0EA" w:color="auto" w:val="clear"/>
            <w:tcMar>
              <w:top w:type="dxa" w:w="60"/>
              <w:left w:type="dxa" w:w="100"/>
              <w:bottom w:type="dxa" w:w="60"/>
              <w:right w:type="dxa" w:w="100"/>
            </w:tcMar>
          </w:tcPr>
          <w:p>
            <w:pPr>
              <w:spacing w:after="30"/>
            </w:pPr>
            <w:r>
              <w:t>Forum: ____________________</w:t>
            </w:r>
          </w:p>
          <w:p>
            <w:pPr>
              <w:spacing w:after="0"/>
            </w:pPr>
            <w:r>
              <w:t>Gate: __ of route</w:t>
            </w:r>
          </w:p>
        </w:tc>
        <w:tc>
          <w:tcPr>
            <w:tcW w:type="dxa" w:w="3120"/>
            <w:shd w:fill="F2F0EA" w:color="auto" w:val="clear"/>
            <w:tcMar>
              <w:top w:type="dxa" w:w="60"/>
              <w:left w:type="dxa" w:w="100"/>
              <w:bottom w:type="dxa" w:w="60"/>
              <w:right w:type="dxa" w:w="100"/>
            </w:tcMar>
          </w:tcPr>
          <w:p>
            <w:pPr>
              <w:spacing w:after="30"/>
            </w:pPr>
            <w:r>
              <w:t>Prepared by: AI Governance Lead / governance function</w:t>
            </w:r>
          </w:p>
          <w:p>
            <w:pPr>
              <w:spacing w:after="0"/>
            </w:pPr>
            <w:r>
              <w:t>Date: __________</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Decision required</w:t>
            </w:r>
          </w:p>
          <w:p>
            <w:pPr>
              <w:spacing w:after="20"/>
            </w:pPr>
            <w:r>
              <w:t>State the single question this forum is being asked, in its own authority.</w:t>
            </w:r>
          </w:p>
        </w:tc>
      </w:tr>
    </w:tbl>
    <w:p>
      <w:pPr>
        <w:spacing w:after="60"/>
      </w:pPr>
      <w:r>
        <w:rPr>
          <w:rFonts w:ascii="Arial" w:cs="Arial" w:eastAsia="Arial" w:hAnsi="Arial"/>
          <w:sz w:val="6"/>
          <w:szCs w:val="6"/>
        </w:rPr>
      </w:r>
    </w:p>
    <w:tbl>
      <w:tblPr>
        <w:tblW w:type="dxa" w:w="9360"/>
        <w:tblBorders>
          <w:top w:val="single" w:color="C8AB36" w:sz="6"/>
          <w:left w:val="single" w:color="C8AB36" w:sz="18"/>
          <w:bottom w:val="single" w:color="C8AB36" w:sz="6"/>
          <w:right w:val="single" w:color="C8AB36" w:sz="6"/>
          <w:insideH w:val="single" w:color="C8AB36" w:sz="6"/>
          <w:insideV w:val="single" w:color="C8AB36" w:sz="6"/>
        </w:tblBorders>
      </w:tblPr>
      <w:tblGrid>
        <w:gridCol w:w="9360"/>
      </w:tblGrid>
      <w:tr>
        <w:tc>
          <w:tcPr>
            <w:tcW w:type="dxa" w:w="9360"/>
            <w:shd w:fill="FBF6E4" w:color="auto" w:val="clear"/>
            <w:tcMar>
              <w:top w:type="dxa" w:w="80"/>
              <w:left w:type="dxa" w:w="120"/>
              <w:bottom w:type="dxa" w:w="80"/>
              <w:right w:type="dxa" w:w="120"/>
            </w:tcMar>
          </w:tcPr>
          <w:p>
            <w:pPr>
              <w:spacing w:after="40"/>
            </w:pPr>
            <w:r>
              <w:t>Triage headline</w:t>
            </w:r>
          </w:p>
          <w:p>
            <w:pPr>
              <w:spacing w:after="20"/>
            </w:pPr>
            <w:r>
              <w:t>AGPI Priority _ (____)     Risk tier: ____</w:t>
            </w:r>
          </w:p>
          <w:p>
            <w:pPr>
              <w:spacing w:after="20"/>
            </w:pPr>
            <w:r>
              <w:t>Escalation: list any triggers, or "none"</w:t>
            </w:r>
          </w:p>
          <w:p>
            <w:pPr>
              <w:spacing w:after="20"/>
            </w:pPr>
            <w:r>
              <w:t>Route: Light-touch / Standard / Enhanced-Agentic  (AGPI priority and risk tier per UC-ID in the rows below)</w:t>
            </w:r>
          </w:p>
        </w:tc>
      </w:tr>
    </w:tbl>
    <w:p>
      <w:pPr>
        <w:spacing w:after="60"/>
      </w:pPr>
      <w:r>
        <w:rPr>
          <w:rFonts w:ascii="Arial" w:cs="Arial" w:eastAsia="Arial" w:hAnsi="Arial"/>
          <w:sz w:val="6"/>
          <w:szCs w:val="6"/>
        </w:rPr>
      </w:r>
    </w:p>
    <w:tbl>
      <w:tblPr>
        <w:tblW w:w="9360" w:type="dxa"/>
        <w:tblBorders>
          <w:top w:val="single" w:color="D9D6CE" w:sz="4"/>
          <w:left w:val="single" w:color="D9D6CE" w:sz="4"/>
          <w:bottom w:val="single" w:color="D9D6CE" w:sz="4"/>
          <w:right w:val="single" w:color="D9D6CE" w:sz="4"/>
          <w:insideH w:val="single" w:color="D9D6CE" w:sz="4"/>
          <w:insideV w:val="single" w:color="D9D6CE" w:sz="4"/>
        </w:tblBorders>
      </w:tblPr>
      <w:tblGrid>
        <w:gridCol w:w="1700"/>
        <w:gridCol w:w="1500"/>
        <w:gridCol w:w="1360"/>
        <w:gridCol w:w="2000"/>
        <w:gridCol w:w="1400"/>
        <w:gridCol w:w="1400"/>
      </w:tblGrid>
      <w:tr>
        <w:trPr>
          <w:cantSplit/>
          <w:tblHeader/>
        </w:trPr>
        <w:tc>
          <w:tcPr>
            <w:tcW w:type="dxa" w:w="1700"/>
            <w:shd w:fill="122C47" w:val="clear"/>
            <w:tcMar>
              <w:top w:w="50" w:type="dxa"/>
              <w:left w:w="100" w:type="dxa"/>
              <w:bottom w:w="50" w:type="dxa"/>
              <w:right w:w="100" w:type="dxa"/>
            </w:tcMar>
          </w:tcPr>
          <w:p>
            <w:pPr>
              <w:spacing w:after="0"/>
            </w:pPr>
            <w:r>
              <w:rPr>
                <w:b/>
                <w:color w:val="FFFFFF"/>
                <w:sz w:val="15"/>
                <w:szCs w:val="15"/>
              </w:rPr>
              <w:t xml:space="preserve">UC-ID and use</w:t>
            </w:r>
          </w:p>
        </w:tc>
        <w:tc>
          <w:tcPr>
            <w:tcW w:type="dxa" w:w="1500"/>
            <w:shd w:fill="122C47" w:val="clear"/>
            <w:tcMar>
              <w:top w:w="50" w:type="dxa"/>
              <w:left w:w="100" w:type="dxa"/>
              <w:bottom w:w="50" w:type="dxa"/>
              <w:right w:w="100" w:type="dxa"/>
            </w:tcMar>
          </w:tcPr>
          <w:p>
            <w:pPr>
              <w:spacing w:after="0"/>
            </w:pPr>
            <w:r>
              <w:rPr>
                <w:b/>
                <w:color w:val="FFFFFF"/>
                <w:sz w:val="15"/>
                <w:szCs w:val="15"/>
              </w:rPr>
              <w:t xml:space="preserve">AGPI priority; risk tier; assessment refs</w:t>
            </w:r>
          </w:p>
        </w:tc>
        <w:tc>
          <w:tcPr>
            <w:tcW w:type="dxa" w:w="1360"/>
            <w:shd w:fill="122C47" w:val="clear"/>
            <w:tcMar>
              <w:top w:w="50" w:type="dxa"/>
              <w:left w:w="100" w:type="dxa"/>
              <w:bottom w:w="50" w:type="dxa"/>
              <w:right w:w="100" w:type="dxa"/>
            </w:tcMar>
          </w:tcPr>
          <w:p>
            <w:pPr>
              <w:spacing w:after="0"/>
            </w:pPr>
            <w:r>
              <w:rPr>
                <w:b/>
                <w:color w:val="FFFFFF"/>
                <w:sz w:val="15"/>
                <w:szCs w:val="15"/>
              </w:rPr>
              <w:t xml:space="preserve">Proposed outcome</w:t>
            </w:r>
          </w:p>
        </w:tc>
        <w:tc>
          <w:tcPr>
            <w:tcW w:type="dxa" w:w="2000"/>
            <w:shd w:fill="122C47" w:val="clear"/>
            <w:tcMar>
              <w:top w:w="50" w:type="dxa"/>
              <w:left w:w="100" w:type="dxa"/>
              <w:bottom w:w="50" w:type="dxa"/>
              <w:right w:w="100" w:type="dxa"/>
            </w:tcMar>
          </w:tcPr>
          <w:p>
            <w:pPr>
              <w:spacing w:after="0"/>
            </w:pPr>
            <w:r>
              <w:rPr>
                <w:b/>
                <w:color w:val="FFFFFF"/>
                <w:sz w:val="15"/>
                <w:szCs w:val="15"/>
              </w:rPr>
              <w:t xml:space="preserve">Permitted and excluded scope</w:t>
            </w:r>
          </w:p>
        </w:tc>
        <w:tc>
          <w:tcPr>
            <w:tcW w:type="dxa" w:w="1400"/>
            <w:shd w:fill="122C47" w:val="clear"/>
            <w:tcMar>
              <w:top w:w="50" w:type="dxa"/>
              <w:left w:w="100" w:type="dxa"/>
              <w:bottom w:w="50" w:type="dxa"/>
              <w:right w:w="100" w:type="dxa"/>
            </w:tcMar>
          </w:tcPr>
          <w:p>
            <w:pPr>
              <w:spacing w:after="0"/>
            </w:pPr>
            <w:r>
              <w:rPr>
                <w:b/>
                <w:color w:val="FFFFFF"/>
                <w:sz w:val="15"/>
                <w:szCs w:val="15"/>
              </w:rPr>
              <w:t xml:space="preserve">Conditions</w:t>
            </w:r>
          </w:p>
        </w:tc>
        <w:tc>
          <w:tcPr>
            <w:tcW w:type="dxa" w:w="1400"/>
            <w:shd w:fill="122C47" w:val="clear"/>
            <w:tcMar>
              <w:top w:w="50" w:type="dxa"/>
              <w:left w:w="100" w:type="dxa"/>
              <w:bottom w:w="50" w:type="dxa"/>
              <w:right w:w="100" w:type="dxa"/>
            </w:tcMar>
          </w:tcPr>
          <w:p>
            <w:pPr>
              <w:spacing w:after="0"/>
            </w:pPr>
            <w:r>
              <w:rPr>
                <w:b/>
                <w:color w:val="FFFFFF"/>
                <w:sz w:val="15"/>
                <w:szCs w:val="15"/>
              </w:rPr>
              <w:t xml:space="preserve">Delegated authority; effective and review dates</w:t>
            </w:r>
          </w:p>
        </w:tc>
      </w:tr>
      <w:tr>
        <w:trPr>
          <w:cantSplit/>
        </w:trPr>
        <w:tc>
          <w:tcPr>
            <w:tcW w:type="dxa" w:w="1700"/>
            <w:tcMar>
              <w:top w:w="50" w:type="dxa"/>
              <w:left w:w="100" w:type="dxa"/>
              <w:bottom w:w="50" w:type="dxa"/>
              <w:right w:w="100" w:type="dxa"/>
            </w:tcMar>
          </w:tcPr>
          <w:p>
            <w:pPr>
              <w:spacing w:after="0"/>
            </w:pPr>
            <w:r>
              <w:rPr>
                <w:sz w:val="15"/>
                <w:szCs w:val="15"/>
              </w:rPr>
              <w:t xml:space="preserve">UC-____: ________</w:t>
            </w:r>
          </w:p>
        </w:tc>
        <w:tc>
          <w:tcPr>
            <w:tcW w:type="dxa" w:w="1500"/>
            <w:tcMar>
              <w:top w:w="50" w:type="dxa"/>
              <w:left w:w="100" w:type="dxa"/>
              <w:bottom w:w="50" w:type="dxa"/>
              <w:right w:w="100" w:type="dxa"/>
            </w:tcMar>
          </w:tcPr>
          <w:p>
            <w:pPr>
              <w:spacing w:after="0"/>
            </w:pPr>
            <w:r>
              <w:rPr>
                <w:sz w:val="15"/>
                <w:szCs w:val="15"/>
              </w:rPr>
              <w:t xml:space="preserve">Priority _; tier ____; refs ____</w:t>
            </w:r>
          </w:p>
        </w:tc>
        <w:tc>
          <w:tcPr>
            <w:tcW w:type="dxa" w:w="1360"/>
            <w:tcMar>
              <w:top w:w="50" w:type="dxa"/>
              <w:left w:w="100" w:type="dxa"/>
              <w:bottom w:w="50" w:type="dxa"/>
              <w:right w:w="100" w:type="dxa"/>
            </w:tcMar>
          </w:tcPr>
          <w:p>
            <w:pPr>
              <w:spacing w:after="0"/>
            </w:pPr>
            <w:r>
              <w:rPr>
                <w:sz w:val="15"/>
                <w:szCs w:val="15"/>
              </w:rPr>
              <w:t xml:space="preserve">________</w:t>
            </w:r>
          </w:p>
        </w:tc>
        <w:tc>
          <w:tcPr>
            <w:tcW w:type="dxa" w:w="2000"/>
            <w:tcMar>
              <w:top w:w="50" w:type="dxa"/>
              <w:left w:w="100" w:type="dxa"/>
              <w:bottom w:w="50" w:type="dxa"/>
              <w:right w:w="100" w:type="dxa"/>
            </w:tcMar>
          </w:tcPr>
          <w:p>
            <w:pPr>
              <w:spacing w:after="0"/>
            </w:pPr>
            <w:r>
              <w:rPr>
                <w:sz w:val="15"/>
                <w:szCs w:val="15"/>
              </w:rPr>
              <w:t xml:space="preserve">Permitted: ____</w:t>
            </w:r>
          </w:p>
          <w:p>
            <w:pPr>
              <w:spacing w:after="0"/>
            </w:pPr>
            <w:r>
              <w:rPr>
                <w:sz w:val="15"/>
                <w:szCs w:val="15"/>
              </w:rPr>
              <w:t xml:space="preserve">Excluded: ____</w:t>
            </w:r>
          </w:p>
        </w:tc>
        <w:tc>
          <w:tcPr>
            <w:tcW w:type="dxa" w:w="1400"/>
            <w:tcMar>
              <w:top w:w="50" w:type="dxa"/>
              <w:left w:w="100" w:type="dxa"/>
              <w:bottom w:w="50" w:type="dxa"/>
              <w:right w:w="100" w:type="dxa"/>
            </w:tcMar>
          </w:tcPr>
          <w:p>
            <w:pPr>
              <w:spacing w:after="0"/>
            </w:pPr>
            <w:r>
              <w:rPr>
                <w:sz w:val="15"/>
                <w:szCs w:val="15"/>
              </w:rPr>
              <w:t xml:space="preserve">____</w:t>
            </w:r>
          </w:p>
        </w:tc>
        <w:tc>
          <w:tcPr>
            <w:tcW w:type="dxa" w:w="1400"/>
            <w:tcMar>
              <w:top w:w="50" w:type="dxa"/>
              <w:left w:w="100" w:type="dxa"/>
              <w:bottom w:w="50" w:type="dxa"/>
              <w:right w:w="100" w:type="dxa"/>
            </w:tcMar>
          </w:tcPr>
          <w:p>
            <w:pPr>
              <w:spacing w:after="0"/>
            </w:pPr>
            <w:r>
              <w:rPr>
                <w:sz w:val="15"/>
                <w:szCs w:val="15"/>
              </w:rPr>
              <w:t xml:space="preserve">Authority: ____</w:t>
            </w:r>
          </w:p>
          <w:p>
            <w:pPr>
              <w:spacing w:after="0"/>
            </w:pPr>
            <w:r>
              <w:rPr>
                <w:sz w:val="15"/>
                <w:szCs w:val="15"/>
              </w:rPr>
              <w:t xml:space="preserve">Effective: ____ Review: ____</w:t>
            </w:r>
          </w:p>
        </w:tc>
      </w:tr>
      <w:tr>
        <w:trPr>
          <w:cantSplit/>
        </w:trPr>
        <w:tc>
          <w:tcPr>
            <w:tcW w:type="dxa" w:w="1700"/>
            <w:tcMar>
              <w:top w:w="50" w:type="dxa"/>
              <w:left w:w="100" w:type="dxa"/>
              <w:bottom w:w="50" w:type="dxa"/>
              <w:right w:w="100" w:type="dxa"/>
            </w:tcMar>
          </w:tcPr>
          <w:p>
            <w:pPr>
              <w:spacing w:after="0"/>
            </w:pPr>
            <w:r>
              <w:rPr>
                <w:sz w:val="15"/>
                <w:szCs w:val="15"/>
              </w:rPr>
              <w:t xml:space="preserve">(one row per UC-ID)</w:t>
            </w:r>
          </w:p>
        </w:tc>
        <w:tc>
          <w:tcPr>
            <w:tcW w:type="dxa" w:w="1500"/>
            <w:tcMar>
              <w:top w:w="50" w:type="dxa"/>
              <w:left w:w="100" w:type="dxa"/>
              <w:bottom w:w="50" w:type="dxa"/>
              <w:right w:w="100" w:type="dxa"/>
            </w:tcMar>
          </w:tcPr>
          <w:p>
            <w:pPr>
              <w:spacing w:after="0"/>
            </w:pPr>
            <w:r>
              <w:rPr>
                <w:sz w:val="15"/>
                <w:szCs w:val="15"/>
              </w:rPr>
              <w:t xml:space="preserve"/>
            </w:r>
          </w:p>
        </w:tc>
        <w:tc>
          <w:tcPr>
            <w:tcW w:type="dxa" w:w="1360"/>
            <w:tcMar>
              <w:top w:w="50" w:type="dxa"/>
              <w:left w:w="100" w:type="dxa"/>
              <w:bottom w:w="50" w:type="dxa"/>
              <w:right w:w="100" w:type="dxa"/>
            </w:tcMar>
          </w:tcPr>
          <w:p>
            <w:pPr>
              <w:spacing w:after="0"/>
            </w:pPr>
            <w:r>
              <w:rPr>
                <w:sz w:val="15"/>
                <w:szCs w:val="15"/>
              </w:rPr>
              <w:t xml:space="preserve"/>
            </w:r>
          </w:p>
        </w:tc>
        <w:tc>
          <w:tcPr>
            <w:tcW w:type="dxa" w:w="2000"/>
            <w:tcMar>
              <w:top w:w="50" w:type="dxa"/>
              <w:left w:w="100" w:type="dxa"/>
              <w:bottom w:w="50" w:type="dxa"/>
              <w:right w:w="100" w:type="dxa"/>
            </w:tcMar>
          </w:tcPr>
          <w:p>
            <w:pPr>
              <w:spacing w:after="0"/>
            </w:pPr>
            <w:r>
              <w:rPr>
                <w:sz w:val="15"/>
                <w:szCs w:val="15"/>
              </w:rPr>
              <w:t xml:space="preserve"/>
            </w:r>
          </w:p>
        </w:tc>
        <w:tc>
          <w:tcPr>
            <w:tcW w:type="dxa" w:w="1400"/>
            <w:tcMar>
              <w:top w:w="50" w:type="dxa"/>
              <w:left w:w="100" w:type="dxa"/>
              <w:bottom w:w="50" w:type="dxa"/>
              <w:right w:w="100" w:type="dxa"/>
            </w:tcMar>
          </w:tcPr>
          <w:p>
            <w:pPr>
              <w:spacing w:after="0"/>
            </w:pPr>
            <w:r>
              <w:rPr>
                <w:sz w:val="15"/>
                <w:szCs w:val="15"/>
              </w:rPr>
              <w:t xml:space="preserve"/>
            </w:r>
          </w:p>
        </w:tc>
        <w:tc>
          <w:tcPr>
            <w:tcW w:type="dxa" w:w="1400"/>
            <w:tcMar>
              <w:top w:w="50" w:type="dxa"/>
              <w:left w:w="100" w:type="dxa"/>
              <w:bottom w:w="50" w:type="dxa"/>
              <w:right w:w="100" w:type="dxa"/>
            </w:tcMar>
          </w:tcPr>
          <w:p>
            <w:pPr>
              <w:spacing w:after="0"/>
            </w:pPr>
            <w:r>
              <w:rPr>
                <w:sz w:val="15"/>
                <w:szCs w:val="15"/>
              </w:rPr>
              <w:t xml:space="preserve"/>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Recommendation</w:t>
            </w:r>
          </w:p>
          <w:p>
            <w:pPr>
              <w:spacing w:after="20"/>
            </w:pPr>
            <w:r>
              <w:t>The governance function’s proposed outcome for each UC-ID, so the forum reacts rather than starts from blank.</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Bearing on your decision</w:t>
            </w:r>
          </w:p>
          <w:p>
            <w:pPr>
              <w:pStyle w:val="ListParagraph"/>
              <w:numPr>
                <w:ilvl w:val="0"/>
                <w:numId w:val="1"/>
              </w:numPr>
              <w:spacing w:after="20"/>
            </w:pPr>
            <w:r>
              <w:t>Only the facts that bear on this forum’s question.</w:t>
            </w:r>
          </w:p>
          <w:p>
            <w:pPr>
              <w:pStyle w:val="ListParagraph"/>
              <w:numPr>
                <w:ilvl w:val="0"/>
                <w:numId w:val="1"/>
              </w:numPr>
              <w:spacing w:after="20"/>
            </w:pPr>
            <w:r>
              <w:t>Technical findings translated into decision terms.</w:t>
            </w:r>
          </w:p>
          <w:p>
            <w:pPr>
              <w:pStyle w:val="ListParagraph"/>
              <w:numPr>
                <w:ilvl w:val="0"/>
                <w:numId w:val="1"/>
              </w:numPr>
              <w:spacing w:after="20"/>
            </w:pPr>
            <w:r>
              <w:t>Cost, benefit or alignment as relevant to this gate.</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Conditions proposed</w:t>
            </w:r>
          </w:p>
          <w:p>
            <w:pPr>
              <w:spacing w:after="20"/>
            </w:pPr>
            <w:r>
              <w:t>Any conditions proposed for the forum to attach.</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Full evidence</w:t>
            </w:r>
          </w:p>
          <w:p>
            <w:pPr>
              <w:spacing w:after="20"/>
            </w:pPr>
            <w:r>
              <w:t>Evidence index pointers under the AIR-ID (AIG-INV-04 Evidence index). Evidence stays with its custodians; available on request.</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Decision</w:t>
            </w:r>
          </w:p>
          <w:p>
            <w:pPr>
              <w:spacing w:after="60"/>
            </w:pPr>
            <w:r>
              <w:t>☐ Approve   ☐ Approve with conditions   ☐ Defer   ☐ Reject   ☐ Suspend   ☐ Retire   (one outcome per UC-ID; recorded in AIG-DEC-03 or approved minutes)</w:t>
            </w:r>
          </w:p>
          <w:p>
            <w:pPr>
              <w:spacing w:after="60"/>
            </w:pPr>
            <w:r>
              <w:t>☐ Equality, human rights and data protection screening (including any by reference: Evidence ID ______) seen and considered by the decision-maker before deciding; for Progress, Progress with condition, Re-authorise or Resume, AIG-DEC-04 column X is Yes</w:t>
            </w:r>
          </w:p>
          <w:p>
            <w:r>
              <w:t>Decided by: ______________   Role: __________   Delegation ref: ______   Date: ________</w:t>
            </w:r>
          </w:p>
        </w:tc>
      </w:tr>
    </w:tbl>
    <w:p>
      <w:r/>
    </w:p>
    <w:p>
      <w:pPr>
        <w:pBdr>
          <w:bottom w:val="single" w:color="C8AB36" w:sz="12" w:space="4"/>
        </w:pBdr>
        <w:spacing w:after="120" w:before="60"/>
      </w:pPr>
      <w:r>
        <w:t>Worked example 1 · high-risk system, Gate 1</w:t>
      </w:r>
    </w:p>
    <w:p>
      <w:pPr>
        <w:spacing w:after="130"/>
      </w:pPr>
      <w:r>
        <w:t>A procured tool that flags tenants at risk of rent arrears so the income team can intervene early. Special-category data and vulnerable residents are in scope, so it takes the Enhanced / Agentic route. At Gate 1 the strategic planning forum judges only whether it is worth progressing.</w:t>
      </w:r>
    </w:p>
    <w:p>
      <w:pPr>
        <w:pBdr>
          <w:top w:val="single" w:color="122C47" w:sz="6"/>
          <w:bottom w:val="single" w:color="122C47" w:sz="6"/>
          <w:left w:val="single" w:color="122C47" w:sz="6"/>
          <w:right w:val="single" w:color="122C47" w:sz="6"/>
        </w:pBdr>
        <w:shd w:fill="122C47" w:color="auto" w:val="clear"/>
        <w:spacing w:after="0" w:before="0"/>
      </w:pPr>
      <w:r>
        <w:rPr>
          <w:rFonts w:ascii="Arial" w:hAnsi="Arial" w:eastAsia="Arial" w:cs="Arial"/>
          <w:b/>
          <w:bCs/>
          <w:color w:val="FFFFFF"/>
          <w:sz w:val="20"/>
          <w:szCs w:val="20"/>
        </w:rPr>
        <w:t xml:space="preserve">  AI Governance · Forum Decision Paper</w:t>
      </w:r>
    </w:p>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3120"/>
        <w:gridCol w:w="3120"/>
        <w:gridCol w:w="3120"/>
      </w:tblGrid>
      <w:tr>
        <w:tc>
          <w:tcPr>
            <w:tcW w:type="dxa" w:w="3120"/>
            <w:shd w:fill="F2F0EA" w:color="auto" w:val="clear"/>
            <w:tcMar>
              <w:top w:type="dxa" w:w="60"/>
              <w:left w:type="dxa" w:w="100"/>
              <w:bottom w:type="dxa" w:w="60"/>
              <w:right w:type="dxa" w:w="100"/>
            </w:tcMar>
          </w:tcPr>
          <w:p>
            <w:pPr>
              <w:spacing w:after="30"/>
            </w:pPr>
            <w:r>
              <w:t>AIR-ID: AIR-0207</w:t>
            </w:r>
          </w:p>
          <w:p>
            <w:pPr>
              <w:spacing w:after="0"/>
            </w:pPr>
            <w:r>
              <w:t>System: Rent Arrears Early-Warning Tool</w:t>
            </w:r>
          </w:p>
        </w:tc>
        <w:tc>
          <w:tcPr>
            <w:tcW w:type="dxa" w:w="3120"/>
            <w:shd w:fill="F2F0EA" w:color="auto" w:val="clear"/>
            <w:tcMar>
              <w:top w:type="dxa" w:w="60"/>
              <w:left w:type="dxa" w:w="100"/>
              <w:bottom w:type="dxa" w:w="60"/>
              <w:right w:type="dxa" w:w="100"/>
            </w:tcMar>
          </w:tcPr>
          <w:p>
            <w:pPr>
              <w:spacing w:after="30"/>
            </w:pPr>
            <w:r>
              <w:t>Forum: Strategic planning forum (Gate 1; configure to local name)</w:t>
            </w:r>
          </w:p>
          <w:p>
            <w:pPr>
              <w:spacing w:after="0"/>
            </w:pPr>
            <w:r>
              <w:t>Gate: 1 of route</w:t>
            </w:r>
          </w:p>
        </w:tc>
        <w:tc>
          <w:tcPr>
            <w:tcW w:type="dxa" w:w="3120"/>
            <w:shd w:fill="F2F0EA" w:color="auto" w:val="clear"/>
            <w:tcMar>
              <w:top w:type="dxa" w:w="60"/>
              <w:left w:type="dxa" w:w="100"/>
              <w:bottom w:type="dxa" w:w="60"/>
              <w:right w:type="dxa" w:w="100"/>
            </w:tcMar>
          </w:tcPr>
          <w:p>
            <w:pPr>
              <w:spacing w:after="30"/>
            </w:pPr>
            <w:r>
              <w:t>Prepared by: AI Governance Lead / governance function</w:t>
            </w:r>
          </w:p>
          <w:p>
            <w:pPr>
              <w:spacing w:after="0"/>
            </w:pPr>
            <w:r>
              <w:t>Date: __________</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Decision required</w:t>
            </w:r>
          </w:p>
          <w:p>
            <w:pPr>
              <w:spacing w:after="20"/>
            </w:pPr>
            <w:r>
              <w:t>Approve this proposal to progress to design and assurance? (Strategic fit and value only, not security, legality or design.)</w:t>
            </w:r>
          </w:p>
        </w:tc>
      </w:tr>
    </w:tbl>
    <w:p>
      <w:pPr>
        <w:spacing w:after="60"/>
      </w:pPr>
      <w:r>
        <w:rPr>
          <w:rFonts w:ascii="Arial" w:cs="Arial" w:eastAsia="Arial" w:hAnsi="Arial"/>
          <w:sz w:val="6"/>
          <w:szCs w:val="6"/>
        </w:rPr>
      </w:r>
    </w:p>
    <w:tbl>
      <w:tblPr>
        <w:tblW w:type="dxa" w:w="9360"/>
        <w:tblBorders>
          <w:top w:val="single" w:color="C8AB36" w:sz="6"/>
          <w:left w:val="single" w:color="C8AB36" w:sz="18"/>
          <w:bottom w:val="single" w:color="C8AB36" w:sz="6"/>
          <w:right w:val="single" w:color="C8AB36" w:sz="6"/>
          <w:insideH w:val="single" w:color="C8AB36" w:sz="6"/>
          <w:insideV w:val="single" w:color="C8AB36" w:sz="6"/>
        </w:tblBorders>
      </w:tblPr>
      <w:tblGrid>
        <w:gridCol w:w="9360"/>
      </w:tblGrid>
      <w:tr>
        <w:tc>
          <w:tcPr>
            <w:tcW w:type="dxa" w:w="9360"/>
            <w:shd w:fill="FBF6E4" w:color="auto" w:val="clear"/>
            <w:tcMar>
              <w:top w:type="dxa" w:w="80"/>
              <w:left w:type="dxa" w:w="120"/>
              <w:bottom w:type="dxa" w:w="80"/>
              <w:right w:type="dxa" w:w="120"/>
            </w:tcMar>
          </w:tcPr>
          <w:p>
            <w:pPr>
              <w:spacing w:after="40"/>
            </w:pPr>
            <w:r>
              <w:t>Triage headline</w:t>
            </w:r>
          </w:p>
          <w:p>
            <w:pPr>
              <w:spacing w:after="20"/>
            </w:pPr>
            <w:r>
              <w:t>AGPI Priority 2 (High)     Risk tier: High</w:t>
            </w:r>
          </w:p>
          <w:p>
            <w:pPr>
              <w:spacing w:after="20"/>
            </w:pPr>
            <w:r>
              <w:t>Escalation: special-category data; vulnerable residents</w:t>
            </w:r>
          </w:p>
          <w:p>
            <w:pPr>
              <w:spacing w:after="20"/>
            </w:pPr>
            <w:r>
              <w:t>Route: Enhanced / Agentic</w:t>
            </w:r>
          </w:p>
        </w:tc>
      </w:tr>
    </w:tbl>
    <w:p>
      <w:pPr>
        <w:spacing w:after="60"/>
      </w:pPr>
      <w:r>
        <w:rPr>
          <w:rFonts w:ascii="Arial" w:cs="Arial" w:eastAsia="Arial" w:hAnsi="Arial"/>
          <w:sz w:val="6"/>
          <w:szCs w:val="6"/>
        </w:rPr>
      </w:r>
    </w:p>
    <w:tbl>
      <w:tblPr>
        <w:tblW w:w="9360" w:type="dxa"/>
        <w:tblBorders>
          <w:top w:val="single" w:color="D9D6CE" w:sz="4"/>
          <w:left w:val="single" w:color="D9D6CE" w:sz="4"/>
          <w:bottom w:val="single" w:color="D9D6CE" w:sz="4"/>
          <w:right w:val="single" w:color="D9D6CE" w:sz="4"/>
          <w:insideH w:val="single" w:color="D9D6CE" w:sz="4"/>
          <w:insideV w:val="single" w:color="D9D6CE" w:sz="4"/>
        </w:tblBorders>
      </w:tblPr>
      <w:tblGrid>
        <w:gridCol w:w="1700"/>
        <w:gridCol w:w="1500"/>
        <w:gridCol w:w="1360"/>
        <w:gridCol w:w="2000"/>
        <w:gridCol w:w="1400"/>
        <w:gridCol w:w="1400"/>
      </w:tblGrid>
      <w:tr>
        <w:trPr>
          <w:cantSplit/>
          <w:tblHeader/>
        </w:trPr>
        <w:tc>
          <w:tcPr>
            <w:tcW w:type="dxa" w:w="1700"/>
            <w:shd w:fill="122C47" w:val="clear"/>
            <w:tcMar>
              <w:top w:w="50" w:type="dxa"/>
              <w:left w:w="100" w:type="dxa"/>
              <w:bottom w:w="50" w:type="dxa"/>
              <w:right w:w="100" w:type="dxa"/>
            </w:tcMar>
          </w:tcPr>
          <w:p>
            <w:pPr>
              <w:spacing w:after="0"/>
            </w:pPr>
            <w:r>
              <w:rPr>
                <w:b/>
                <w:color w:val="FFFFFF"/>
                <w:sz w:val="15"/>
                <w:szCs w:val="15"/>
              </w:rPr>
              <w:t xml:space="preserve">UC-ID and use</w:t>
            </w:r>
          </w:p>
        </w:tc>
        <w:tc>
          <w:tcPr>
            <w:tcW w:type="dxa" w:w="1500"/>
            <w:shd w:fill="122C47" w:val="clear"/>
            <w:tcMar>
              <w:top w:w="50" w:type="dxa"/>
              <w:left w:w="100" w:type="dxa"/>
              <w:bottom w:w="50" w:type="dxa"/>
              <w:right w:w="100" w:type="dxa"/>
            </w:tcMar>
          </w:tcPr>
          <w:p>
            <w:pPr>
              <w:spacing w:after="0"/>
            </w:pPr>
            <w:r>
              <w:rPr>
                <w:b/>
                <w:color w:val="FFFFFF"/>
                <w:sz w:val="15"/>
                <w:szCs w:val="15"/>
              </w:rPr>
              <w:t xml:space="preserve">AGPI priority; risk tier; assessment refs</w:t>
            </w:r>
          </w:p>
        </w:tc>
        <w:tc>
          <w:tcPr>
            <w:tcW w:type="dxa" w:w="1360"/>
            <w:shd w:fill="122C47" w:val="clear"/>
            <w:tcMar>
              <w:top w:w="50" w:type="dxa"/>
              <w:left w:w="100" w:type="dxa"/>
              <w:bottom w:w="50" w:type="dxa"/>
              <w:right w:w="100" w:type="dxa"/>
            </w:tcMar>
          </w:tcPr>
          <w:p>
            <w:pPr>
              <w:spacing w:after="0"/>
            </w:pPr>
            <w:r>
              <w:rPr>
                <w:b/>
                <w:color w:val="FFFFFF"/>
                <w:sz w:val="15"/>
                <w:szCs w:val="15"/>
              </w:rPr>
              <w:t xml:space="preserve">Proposed outcome</w:t>
            </w:r>
          </w:p>
        </w:tc>
        <w:tc>
          <w:tcPr>
            <w:tcW w:type="dxa" w:w="2000"/>
            <w:shd w:fill="122C47" w:val="clear"/>
            <w:tcMar>
              <w:top w:w="50" w:type="dxa"/>
              <w:left w:w="100" w:type="dxa"/>
              <w:bottom w:w="50" w:type="dxa"/>
              <w:right w:w="100" w:type="dxa"/>
            </w:tcMar>
          </w:tcPr>
          <w:p>
            <w:pPr>
              <w:spacing w:after="0"/>
            </w:pPr>
            <w:r>
              <w:rPr>
                <w:b/>
                <w:color w:val="FFFFFF"/>
                <w:sz w:val="15"/>
                <w:szCs w:val="15"/>
              </w:rPr>
              <w:t xml:space="preserve">Permitted and excluded scope</w:t>
            </w:r>
          </w:p>
        </w:tc>
        <w:tc>
          <w:tcPr>
            <w:tcW w:type="dxa" w:w="1400"/>
            <w:shd w:fill="122C47" w:val="clear"/>
            <w:tcMar>
              <w:top w:w="50" w:type="dxa"/>
              <w:left w:w="100" w:type="dxa"/>
              <w:bottom w:w="50" w:type="dxa"/>
              <w:right w:w="100" w:type="dxa"/>
            </w:tcMar>
          </w:tcPr>
          <w:p>
            <w:pPr>
              <w:spacing w:after="0"/>
            </w:pPr>
            <w:r>
              <w:rPr>
                <w:b/>
                <w:color w:val="FFFFFF"/>
                <w:sz w:val="15"/>
                <w:szCs w:val="15"/>
              </w:rPr>
              <w:t xml:space="preserve">Conditions</w:t>
            </w:r>
          </w:p>
        </w:tc>
        <w:tc>
          <w:tcPr>
            <w:tcW w:type="dxa" w:w="1400"/>
            <w:shd w:fill="122C47" w:val="clear"/>
            <w:tcMar>
              <w:top w:w="50" w:type="dxa"/>
              <w:left w:w="100" w:type="dxa"/>
              <w:bottom w:w="50" w:type="dxa"/>
              <w:right w:w="100" w:type="dxa"/>
            </w:tcMar>
          </w:tcPr>
          <w:p>
            <w:pPr>
              <w:spacing w:after="0"/>
            </w:pPr>
            <w:r>
              <w:rPr>
                <w:b/>
                <w:color w:val="FFFFFF"/>
                <w:sz w:val="15"/>
                <w:szCs w:val="15"/>
              </w:rPr>
              <w:t xml:space="preserve">Delegated authority; effective and review dates</w:t>
            </w:r>
          </w:p>
        </w:tc>
      </w:tr>
      <w:tr>
        <w:trPr>
          <w:cantSplit/>
        </w:trPr>
        <w:tc>
          <w:tcPr>
            <w:tcW w:type="dxa" w:w="1700"/>
            <w:tcMar>
              <w:top w:w="50" w:type="dxa"/>
              <w:left w:w="100" w:type="dxa"/>
              <w:bottom w:w="50" w:type="dxa"/>
              <w:right w:w="100" w:type="dxa"/>
            </w:tcMar>
          </w:tcPr>
          <w:p>
            <w:pPr>
              <w:spacing w:after="0"/>
            </w:pPr>
            <w:r>
              <w:rPr>
                <w:sz w:val="15"/>
                <w:szCs w:val="15"/>
              </w:rPr>
              <w:t xml:space="preserve">UC-0207-01: flag tenants at risk of arrears for early support contact</w:t>
            </w:r>
          </w:p>
        </w:tc>
        <w:tc>
          <w:tcPr>
            <w:tcW w:type="dxa" w:w="1500"/>
            <w:tcMar>
              <w:top w:w="50" w:type="dxa"/>
              <w:left w:w="100" w:type="dxa"/>
              <w:bottom w:w="50" w:type="dxa"/>
              <w:right w:w="100" w:type="dxa"/>
            </w:tcMar>
          </w:tcPr>
          <w:p>
            <w:pPr>
              <w:spacing w:after="0"/>
            </w:pPr>
            <w:r>
              <w:rPr>
                <w:sz w:val="15"/>
                <w:szCs w:val="15"/>
              </w:rPr>
              <w:t xml:space="preserve">Priority 2 (High); High; intake, AGPI worksheet, initial risk screen</w:t>
            </w:r>
          </w:p>
        </w:tc>
        <w:tc>
          <w:tcPr>
            <w:tcW w:type="dxa" w:w="1360"/>
            <w:tcMar>
              <w:top w:w="50" w:type="dxa"/>
              <w:left w:w="100" w:type="dxa"/>
              <w:bottom w:w="50" w:type="dxa"/>
              <w:right w:w="100" w:type="dxa"/>
            </w:tcMar>
          </w:tcPr>
          <w:p>
            <w:pPr>
              <w:spacing w:after="0"/>
            </w:pPr>
            <w:r>
              <w:rPr>
                <w:sz w:val="15"/>
                <w:szCs w:val="15"/>
              </w:rPr>
              <w:t xml:space="preserve">Approve to progress to design and assurance (Gate 1 only)</w:t>
            </w:r>
          </w:p>
        </w:tc>
        <w:tc>
          <w:tcPr>
            <w:tcW w:type="dxa" w:w="2000"/>
            <w:tcMar>
              <w:top w:w="50" w:type="dxa"/>
              <w:left w:w="100" w:type="dxa"/>
              <w:bottom w:w="50" w:type="dxa"/>
              <w:right w:w="100" w:type="dxa"/>
            </w:tcMar>
          </w:tcPr>
          <w:p>
            <w:pPr>
              <w:spacing w:after="0"/>
            </w:pPr>
            <w:r>
              <w:rPr>
                <w:sz w:val="15"/>
                <w:szCs w:val="15"/>
              </w:rPr>
              <w:t xml:space="preserve">Permitted: discovery and design with test data only.</w:t>
            </w:r>
          </w:p>
          <w:p>
            <w:pPr>
              <w:spacing w:after="0"/>
            </w:pPr>
            <w:r>
              <w:rPr>
                <w:sz w:val="15"/>
                <w:szCs w:val="15"/>
              </w:rPr>
              <w:t xml:space="preserve">Excluded: live use; any automated decision, enforcement or possession action.</w:t>
            </w:r>
          </w:p>
        </w:tc>
        <w:tc>
          <w:tcPr>
            <w:tcW w:type="dxa" w:w="1400"/>
            <w:tcMar>
              <w:top w:w="50" w:type="dxa"/>
              <w:left w:w="100" w:type="dxa"/>
              <w:bottom w:w="50" w:type="dxa"/>
              <w:right w:w="100" w:type="dxa"/>
            </w:tcMar>
          </w:tcPr>
          <w:p>
            <w:pPr>
              <w:spacing w:after="0"/>
            </w:pPr>
            <w:r>
              <w:rPr>
                <w:sz w:val="15"/>
                <w:szCs w:val="15"/>
              </w:rPr>
              <w:t xml:space="preserve">Return to this forum if indicative costs move materially.</w:t>
            </w:r>
          </w:p>
        </w:tc>
        <w:tc>
          <w:tcPr>
            <w:tcW w:type="dxa" w:w="1400"/>
            <w:tcMar>
              <w:top w:w="50" w:type="dxa"/>
              <w:left w:w="100" w:type="dxa"/>
              <w:bottom w:w="50" w:type="dxa"/>
              <w:right w:w="100" w:type="dxa"/>
            </w:tcMar>
          </w:tcPr>
          <w:p>
            <w:pPr>
              <w:spacing w:after="0"/>
            </w:pPr>
            <w:r>
              <w:rPr>
                <w:sz w:val="15"/>
                <w:szCs w:val="15"/>
              </w:rPr>
              <w:t xml:space="preserve">Strategic planning forum under its delegation; effective on decision; next review at Gate 2</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Recommendation</w:t>
            </w:r>
          </w:p>
          <w:p>
            <w:pPr>
              <w:spacing w:after="20"/>
            </w:pPr>
            <w:r>
              <w:t>Approve to progress, subject to full assurance at later gates.</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Bearing on your decision</w:t>
            </w:r>
          </w:p>
          <w:p>
            <w:pPr>
              <w:pStyle w:val="ListParagraph"/>
              <w:numPr>
                <w:ilvl w:val="0"/>
                <w:numId w:val="1"/>
              </w:numPr>
              <w:spacing w:after="20"/>
            </w:pPr>
            <w:r>
              <w:t>Purpose: flag tenants at risk of arrears for early support. Supports prevention and financial-inclusion aims.</w:t>
            </w:r>
          </w:p>
          <w:p>
            <w:pPr>
              <w:pStyle w:val="ListParagraph"/>
              <w:numPr>
                <w:ilvl w:val="0"/>
                <w:numId w:val="1"/>
              </w:numPr>
              <w:spacing w:after="20"/>
            </w:pPr>
            <w:r>
              <w:t>Expected benefit: earlier intervention, fewer evictions. Indicative cost £[ ] over [ ].</w:t>
            </w:r>
          </w:p>
          <w:p>
            <w:pPr>
              <w:pStyle w:val="ListParagraph"/>
              <w:numPr>
                <w:ilvl w:val="0"/>
                <w:numId w:val="1"/>
              </w:numPr>
              <w:spacing w:after="20"/>
            </w:pPr>
            <w:r>
              <w:t>Strategic alignment: strong.</w:t>
            </w:r>
          </w:p>
          <w:p>
            <w:pPr>
              <w:pStyle w:val="ListParagraph"/>
              <w:numPr>
                <w:ilvl w:val="0"/>
                <w:numId w:val="1"/>
              </w:numPr>
              <w:spacing w:after="20"/>
            </w:pPr>
            <w:r>
              <w:t>The High classification means full downstream assessment (DPIA, security, supplier due diligence) is required. That work is planned and is not for this forum to evaluate.</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Conditions proposed</w:t>
            </w:r>
          </w:p>
          <w:p>
            <w:pPr>
              <w:spacing w:after="20"/>
            </w:pPr>
            <w:r>
              <w:t>Return to this board if indicative costs move materially.</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Full evidence</w:t>
            </w:r>
          </w:p>
          <w:p>
            <w:pPr>
              <w:spacing w:after="20"/>
            </w:pPr>
            <w:r>
              <w:t>Intake form, AGPI worksheet, initial risk screen. Evidence index pointers under AIR-0207; available on request.</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Decision</w:t>
            </w:r>
          </w:p>
          <w:p>
            <w:pPr>
              <w:spacing w:after="60"/>
            </w:pPr>
            <w:r>
              <w:t>☐ Approve   ☐ Approve with conditions   ☐ Defer   ☐ Reject   ☐ Suspend   ☐ Retire   (one outcome per UC-ID; recorded in AIG-DEC-03 or approved minutes)</w:t>
            </w:r>
          </w:p>
          <w:p>
            <w:pPr>
              <w:spacing w:after="60"/>
            </w:pPr>
            <w:r>
              <w:t>☐ Equality, human rights and data protection screening (including any by reference: Evidence ID ______) seen and considered by the decision-maker before deciding; for Progress, Progress with condition, Re-authorise or Resume, AIG-DEC-04 column X is Yes</w:t>
            </w:r>
          </w:p>
          <w:p>
            <w:r>
              <w:t>Decided by: ______________   Role: __________   Delegation ref: ______   Date: ________</w:t>
            </w:r>
          </w:p>
        </w:tc>
      </w:tr>
    </w:tbl>
    <w:p>
      <w:r/>
    </w:p>
    <w:p>
      <w:pPr>
        <w:pBdr>
          <w:bottom w:val="single" w:color="C8AB36" w:sz="12" w:space="4"/>
        </w:pBdr>
        <w:spacing w:after="120" w:before="60"/>
      </w:pPr>
      <w:r>
        <w:t>Worked example 2 · same system, Gate 2</w:t>
      </w:r>
    </w:p>
    <w:p>
      <w:pPr>
        <w:spacing w:after="130"/>
      </w:pPr>
      <w:r>
        <w:t>The same tool reaches the technical design authority. The paper opens by inheriting Gate 1’s decision, so strategic fit is not reopened. This forum judges only the design.</w:t>
      </w:r>
    </w:p>
    <w:p>
      <w:pPr>
        <w:pBdr>
          <w:top w:val="single" w:color="122C47" w:sz="6"/>
          <w:bottom w:val="single" w:color="122C47" w:sz="6"/>
          <w:left w:val="single" w:color="122C47" w:sz="6"/>
          <w:right w:val="single" w:color="122C47" w:sz="6"/>
        </w:pBdr>
        <w:shd w:fill="122C47" w:color="auto" w:val="clear"/>
        <w:spacing w:after="0" w:before="0"/>
      </w:pPr>
      <w:r>
        <w:rPr>
          <w:rFonts w:ascii="Arial" w:hAnsi="Arial" w:eastAsia="Arial" w:cs="Arial"/>
          <w:b/>
          <w:bCs/>
          <w:color w:val="FFFFFF"/>
          <w:sz w:val="20"/>
          <w:szCs w:val="20"/>
        </w:rPr>
        <w:t xml:space="preserve">  AI Governance · Forum Decision Paper</w:t>
      </w:r>
    </w:p>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3120"/>
        <w:gridCol w:w="3120"/>
        <w:gridCol w:w="3120"/>
      </w:tblGrid>
      <w:tr>
        <w:tc>
          <w:tcPr>
            <w:tcW w:type="dxa" w:w="3120"/>
            <w:shd w:fill="F2F0EA" w:color="auto" w:val="clear"/>
            <w:tcMar>
              <w:top w:type="dxa" w:w="60"/>
              <w:left w:type="dxa" w:w="100"/>
              <w:bottom w:type="dxa" w:w="60"/>
              <w:right w:type="dxa" w:w="100"/>
            </w:tcMar>
          </w:tcPr>
          <w:p>
            <w:pPr>
              <w:spacing w:after="30"/>
            </w:pPr>
            <w:r>
              <w:t>AIR-ID: AIR-0207</w:t>
            </w:r>
          </w:p>
          <w:p>
            <w:pPr>
              <w:spacing w:after="0"/>
            </w:pPr>
            <w:r>
              <w:t>System: Rent Arrears Early-Warning Tool</w:t>
            </w:r>
          </w:p>
        </w:tc>
        <w:tc>
          <w:tcPr>
            <w:tcW w:type="dxa" w:w="3120"/>
            <w:shd w:fill="F2F0EA" w:color="auto" w:val="clear"/>
            <w:tcMar>
              <w:top w:type="dxa" w:w="60"/>
              <w:left w:type="dxa" w:w="100"/>
              <w:bottom w:type="dxa" w:w="60"/>
              <w:right w:type="dxa" w:w="100"/>
            </w:tcMar>
          </w:tcPr>
          <w:p>
            <w:pPr>
              <w:spacing w:after="30"/>
            </w:pPr>
            <w:r>
              <w:t>Forum: Technical design authority (Gate 2; configure to local name)</w:t>
            </w:r>
          </w:p>
          <w:p>
            <w:pPr>
              <w:spacing w:after="0"/>
            </w:pPr>
            <w:r>
              <w:t>Gate: 2 of route</w:t>
            </w:r>
          </w:p>
        </w:tc>
        <w:tc>
          <w:tcPr>
            <w:tcW w:type="dxa" w:w="3120"/>
            <w:shd w:fill="F2F0EA" w:color="auto" w:val="clear"/>
            <w:tcMar>
              <w:top w:type="dxa" w:w="60"/>
              <w:left w:type="dxa" w:w="100"/>
              <w:bottom w:type="dxa" w:w="60"/>
              <w:right w:type="dxa" w:w="100"/>
            </w:tcMar>
          </w:tcPr>
          <w:p>
            <w:pPr>
              <w:spacing w:after="30"/>
            </w:pPr>
            <w:r>
              <w:t>Prepared by: AI Governance Lead / governance function</w:t>
            </w:r>
          </w:p>
          <w:p>
            <w:pPr>
              <w:spacing w:after="0"/>
            </w:pPr>
            <w:r>
              <w:t>Date: __________</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Carried forward</w:t>
            </w:r>
          </w:p>
          <w:p>
            <w:pPr>
              <w:spacing w:after="20"/>
            </w:pPr>
            <w:r>
              <w:t>Gate 1 (Strategic): Approved to progress on 4 August 2026, cost condition noted. Settled, not for re-debate.</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Decision required</w:t>
            </w:r>
          </w:p>
          <w:p>
            <w:pPr>
              <w:spacing w:after="20"/>
            </w:pPr>
            <w:r>
              <w:t>Approve the technical design as feasible, secure, supportable and aligned to our architecture and data standards?</w:t>
            </w:r>
          </w:p>
        </w:tc>
      </w:tr>
    </w:tbl>
    <w:p>
      <w:pPr>
        <w:spacing w:after="60"/>
      </w:pPr>
      <w:r>
        <w:rPr>
          <w:rFonts w:ascii="Arial" w:cs="Arial" w:eastAsia="Arial" w:hAnsi="Arial"/>
          <w:sz w:val="6"/>
          <w:szCs w:val="6"/>
        </w:rPr>
      </w:r>
    </w:p>
    <w:tbl>
      <w:tblPr>
        <w:tblW w:type="dxa" w:w="9360"/>
        <w:tblBorders>
          <w:top w:val="single" w:color="C8AB36" w:sz="6"/>
          <w:left w:val="single" w:color="C8AB36" w:sz="18"/>
          <w:bottom w:val="single" w:color="C8AB36" w:sz="6"/>
          <w:right w:val="single" w:color="C8AB36" w:sz="6"/>
          <w:insideH w:val="single" w:color="C8AB36" w:sz="6"/>
          <w:insideV w:val="single" w:color="C8AB36" w:sz="6"/>
        </w:tblBorders>
      </w:tblPr>
      <w:tblGrid>
        <w:gridCol w:w="9360"/>
      </w:tblGrid>
      <w:tr>
        <w:tc>
          <w:tcPr>
            <w:tcW w:type="dxa" w:w="9360"/>
            <w:shd w:fill="FBF6E4" w:color="auto" w:val="clear"/>
            <w:tcMar>
              <w:top w:type="dxa" w:w="80"/>
              <w:left w:type="dxa" w:w="120"/>
              <w:bottom w:type="dxa" w:w="80"/>
              <w:right w:type="dxa" w:w="120"/>
            </w:tcMar>
          </w:tcPr>
          <w:p>
            <w:pPr>
              <w:spacing w:after="40"/>
            </w:pPr>
            <w:r>
              <w:t>Triage headline</w:t>
            </w:r>
          </w:p>
          <w:p>
            <w:pPr>
              <w:spacing w:after="20"/>
            </w:pPr>
            <w:r>
              <w:t>AGPI Priority 2 (High)     Risk tier: High</w:t>
            </w:r>
          </w:p>
          <w:p>
            <w:pPr>
              <w:spacing w:after="20"/>
            </w:pPr>
            <w:r>
              <w:t>Escalation: special-category data; vulnerable residents</w:t>
            </w:r>
          </w:p>
          <w:p>
            <w:pPr>
              <w:spacing w:after="20"/>
            </w:pPr>
            <w:r>
              <w:t>Route: Enhanced / Agentic</w:t>
            </w:r>
          </w:p>
        </w:tc>
      </w:tr>
    </w:tbl>
    <w:p>
      <w:pPr>
        <w:spacing w:after="60"/>
      </w:pPr>
      <w:r>
        <w:rPr>
          <w:rFonts w:ascii="Arial" w:cs="Arial" w:eastAsia="Arial" w:hAnsi="Arial"/>
          <w:sz w:val="6"/>
          <w:szCs w:val="6"/>
        </w:rPr>
      </w:r>
    </w:p>
    <w:tbl>
      <w:tblPr>
        <w:tblW w:w="9360" w:type="dxa"/>
        <w:tblBorders>
          <w:top w:val="single" w:color="D9D6CE" w:sz="4"/>
          <w:left w:val="single" w:color="D9D6CE" w:sz="4"/>
          <w:bottom w:val="single" w:color="D9D6CE" w:sz="4"/>
          <w:right w:val="single" w:color="D9D6CE" w:sz="4"/>
          <w:insideH w:val="single" w:color="D9D6CE" w:sz="4"/>
          <w:insideV w:val="single" w:color="D9D6CE" w:sz="4"/>
        </w:tblBorders>
      </w:tblPr>
      <w:tblGrid>
        <w:gridCol w:w="1700"/>
        <w:gridCol w:w="1500"/>
        <w:gridCol w:w="1360"/>
        <w:gridCol w:w="2000"/>
        <w:gridCol w:w="1400"/>
        <w:gridCol w:w="1400"/>
      </w:tblGrid>
      <w:tr>
        <w:trPr>
          <w:cantSplit/>
          <w:tblHeader/>
        </w:trPr>
        <w:tc>
          <w:tcPr>
            <w:tcW w:type="dxa" w:w="1700"/>
            <w:shd w:fill="122C47" w:val="clear"/>
            <w:tcMar>
              <w:top w:w="50" w:type="dxa"/>
              <w:left w:w="100" w:type="dxa"/>
              <w:bottom w:w="50" w:type="dxa"/>
              <w:right w:w="100" w:type="dxa"/>
            </w:tcMar>
          </w:tcPr>
          <w:p>
            <w:pPr>
              <w:spacing w:after="0"/>
            </w:pPr>
            <w:r>
              <w:rPr>
                <w:b/>
                <w:color w:val="FFFFFF"/>
                <w:sz w:val="15"/>
                <w:szCs w:val="15"/>
              </w:rPr>
              <w:t xml:space="preserve">UC-ID and use</w:t>
            </w:r>
          </w:p>
        </w:tc>
        <w:tc>
          <w:tcPr>
            <w:tcW w:type="dxa" w:w="1500"/>
            <w:shd w:fill="122C47" w:val="clear"/>
            <w:tcMar>
              <w:top w:w="50" w:type="dxa"/>
              <w:left w:w="100" w:type="dxa"/>
              <w:bottom w:w="50" w:type="dxa"/>
              <w:right w:w="100" w:type="dxa"/>
            </w:tcMar>
          </w:tcPr>
          <w:p>
            <w:pPr>
              <w:spacing w:after="0"/>
            </w:pPr>
            <w:r>
              <w:rPr>
                <w:b/>
                <w:color w:val="FFFFFF"/>
                <w:sz w:val="15"/>
                <w:szCs w:val="15"/>
              </w:rPr>
              <w:t xml:space="preserve">AGPI priority; risk tier; assessment refs</w:t>
            </w:r>
          </w:p>
        </w:tc>
        <w:tc>
          <w:tcPr>
            <w:tcW w:type="dxa" w:w="1360"/>
            <w:shd w:fill="122C47" w:val="clear"/>
            <w:tcMar>
              <w:top w:w="50" w:type="dxa"/>
              <w:left w:w="100" w:type="dxa"/>
              <w:bottom w:w="50" w:type="dxa"/>
              <w:right w:w="100" w:type="dxa"/>
            </w:tcMar>
          </w:tcPr>
          <w:p>
            <w:pPr>
              <w:spacing w:after="0"/>
            </w:pPr>
            <w:r>
              <w:rPr>
                <w:b/>
                <w:color w:val="FFFFFF"/>
                <w:sz w:val="15"/>
                <w:szCs w:val="15"/>
              </w:rPr>
              <w:t xml:space="preserve">Proposed outcome</w:t>
            </w:r>
          </w:p>
        </w:tc>
        <w:tc>
          <w:tcPr>
            <w:tcW w:type="dxa" w:w="2000"/>
            <w:shd w:fill="122C47" w:val="clear"/>
            <w:tcMar>
              <w:top w:w="50" w:type="dxa"/>
              <w:left w:w="100" w:type="dxa"/>
              <w:bottom w:w="50" w:type="dxa"/>
              <w:right w:w="100" w:type="dxa"/>
            </w:tcMar>
          </w:tcPr>
          <w:p>
            <w:pPr>
              <w:spacing w:after="0"/>
            </w:pPr>
            <w:r>
              <w:rPr>
                <w:b/>
                <w:color w:val="FFFFFF"/>
                <w:sz w:val="15"/>
                <w:szCs w:val="15"/>
              </w:rPr>
              <w:t xml:space="preserve">Permitted and excluded scope</w:t>
            </w:r>
          </w:p>
        </w:tc>
        <w:tc>
          <w:tcPr>
            <w:tcW w:type="dxa" w:w="1400"/>
            <w:shd w:fill="122C47" w:val="clear"/>
            <w:tcMar>
              <w:top w:w="50" w:type="dxa"/>
              <w:left w:w="100" w:type="dxa"/>
              <w:bottom w:w="50" w:type="dxa"/>
              <w:right w:w="100" w:type="dxa"/>
            </w:tcMar>
          </w:tcPr>
          <w:p>
            <w:pPr>
              <w:spacing w:after="0"/>
            </w:pPr>
            <w:r>
              <w:rPr>
                <w:b/>
                <w:color w:val="FFFFFF"/>
                <w:sz w:val="15"/>
                <w:szCs w:val="15"/>
              </w:rPr>
              <w:t xml:space="preserve">Conditions</w:t>
            </w:r>
          </w:p>
        </w:tc>
        <w:tc>
          <w:tcPr>
            <w:tcW w:type="dxa" w:w="1400"/>
            <w:shd w:fill="122C47" w:val="clear"/>
            <w:tcMar>
              <w:top w:w="50" w:type="dxa"/>
              <w:left w:w="100" w:type="dxa"/>
              <w:bottom w:w="50" w:type="dxa"/>
              <w:right w:w="100" w:type="dxa"/>
            </w:tcMar>
          </w:tcPr>
          <w:p>
            <w:pPr>
              <w:spacing w:after="0"/>
            </w:pPr>
            <w:r>
              <w:rPr>
                <w:b/>
                <w:color w:val="FFFFFF"/>
                <w:sz w:val="15"/>
                <w:szCs w:val="15"/>
              </w:rPr>
              <w:t xml:space="preserve">Delegated authority; effective and review dates</w:t>
            </w:r>
          </w:p>
        </w:tc>
      </w:tr>
      <w:tr>
        <w:trPr>
          <w:cantSplit/>
        </w:trPr>
        <w:tc>
          <w:tcPr>
            <w:tcW w:type="dxa" w:w="1700"/>
            <w:tcMar>
              <w:top w:w="50" w:type="dxa"/>
              <w:left w:w="100" w:type="dxa"/>
              <w:bottom w:w="50" w:type="dxa"/>
              <w:right w:w="100" w:type="dxa"/>
            </w:tcMar>
          </w:tcPr>
          <w:p>
            <w:pPr>
              <w:spacing w:after="0"/>
            </w:pPr>
            <w:r>
              <w:rPr>
                <w:sz w:val="15"/>
                <w:szCs w:val="15"/>
              </w:rPr>
              <w:t xml:space="preserve">UC-0207-01: flag tenants at risk of arrears for early support contact</w:t>
            </w:r>
          </w:p>
        </w:tc>
        <w:tc>
          <w:tcPr>
            <w:tcW w:type="dxa" w:w="1500"/>
            <w:tcMar>
              <w:top w:w="50" w:type="dxa"/>
              <w:left w:w="100" w:type="dxa"/>
              <w:bottom w:w="50" w:type="dxa"/>
              <w:right w:w="100" w:type="dxa"/>
            </w:tcMar>
          </w:tcPr>
          <w:p>
            <w:pPr>
              <w:spacing w:after="0"/>
            </w:pPr>
            <w:r>
              <w:rPr>
                <w:sz w:val="15"/>
                <w:szCs w:val="15"/>
              </w:rPr>
              <w:t xml:space="preserve">Priority 2 (High); High; DPIA, Security Review, Model Card</w:t>
            </w:r>
          </w:p>
        </w:tc>
        <w:tc>
          <w:tcPr>
            <w:tcW w:type="dxa" w:w="1360"/>
            <w:tcMar>
              <w:top w:w="50" w:type="dxa"/>
              <w:left w:w="100" w:type="dxa"/>
              <w:bottom w:w="50" w:type="dxa"/>
              <w:right w:w="100" w:type="dxa"/>
            </w:tcMar>
          </w:tcPr>
          <w:p>
            <w:pPr>
              <w:spacing w:after="0"/>
            </w:pPr>
            <w:r>
              <w:rPr>
                <w:sz w:val="15"/>
                <w:szCs w:val="15"/>
              </w:rPr>
              <w:t xml:space="preserve">Approve with conditions</w:t>
            </w:r>
          </w:p>
        </w:tc>
        <w:tc>
          <w:tcPr>
            <w:tcW w:type="dxa" w:w="2000"/>
            <w:tcMar>
              <w:top w:w="50" w:type="dxa"/>
              <w:left w:w="100" w:type="dxa"/>
              <w:bottom w:w="50" w:type="dxa"/>
              <w:right w:w="100" w:type="dxa"/>
            </w:tcMar>
          </w:tcPr>
          <w:p>
            <w:pPr>
              <w:spacing w:after="0"/>
            </w:pPr>
            <w:r>
              <w:rPr>
                <w:sz w:val="15"/>
                <w:szCs w:val="15"/>
              </w:rPr>
              <w:t xml:space="preserve">Permitted: build and test with read-only access to housing and financial systems.</w:t>
            </w:r>
          </w:p>
          <w:p>
            <w:pPr>
              <w:spacing w:after="0"/>
            </w:pPr>
            <w:r>
              <w:rPr>
                <w:sz w:val="15"/>
                <w:szCs w:val="15"/>
              </w:rPr>
              <w:t xml:space="preserve">Excluded: write access; any purpose beyond early support contact.</w:t>
            </w:r>
          </w:p>
        </w:tc>
        <w:tc>
          <w:tcPr>
            <w:tcW w:type="dxa" w:w="1400"/>
            <w:tcMar>
              <w:top w:w="50" w:type="dxa"/>
              <w:left w:w="100" w:type="dxa"/>
              <w:bottom w:w="50" w:type="dxa"/>
              <w:right w:w="100" w:type="dxa"/>
            </w:tcMar>
          </w:tcPr>
          <w:p>
            <w:pPr>
              <w:spacing w:after="0"/>
            </w:pPr>
            <w:r>
              <w:rPr>
                <w:sz w:val="15"/>
                <w:szCs w:val="15"/>
              </w:rPr>
              <w:t xml:space="preserve">Least-privilege, fully logged access.</w:t>
            </w:r>
          </w:p>
        </w:tc>
        <w:tc>
          <w:tcPr>
            <w:tcW w:type="dxa" w:w="1400"/>
            <w:tcMar>
              <w:top w:w="50" w:type="dxa"/>
              <w:left w:w="100" w:type="dxa"/>
              <w:bottom w:w="50" w:type="dxa"/>
              <w:right w:w="100" w:type="dxa"/>
            </w:tcMar>
          </w:tcPr>
          <w:p>
            <w:pPr>
              <w:spacing w:after="0"/>
            </w:pPr>
            <w:r>
              <w:rPr>
                <w:sz w:val="15"/>
                <w:szCs w:val="15"/>
              </w:rPr>
              <w:t xml:space="preserve">Technical design authority under its delegation; effective on decision; next review at Gate 3</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Recommendation</w:t>
            </w:r>
          </w:p>
          <w:p>
            <w:pPr>
              <w:spacing w:after="20"/>
            </w:pPr>
            <w:r>
              <w:t>Approve with one condition (below).</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Bearing on your decision</w:t>
            </w:r>
          </w:p>
          <w:p>
            <w:pPr>
              <w:pStyle w:val="ListParagraph"/>
              <w:numPr>
                <w:ilvl w:val="0"/>
                <w:numId w:val="1"/>
              </w:numPr>
              <w:spacing w:after="20"/>
            </w:pPr>
            <w:r>
              <w:t>Data flows: reads housing and benefits records; special-category data in scope.</w:t>
            </w:r>
          </w:p>
          <w:p>
            <w:pPr>
              <w:pStyle w:val="ListParagraph"/>
              <w:numPr>
                <w:ilvl w:val="0"/>
                <w:numId w:val="1"/>
              </w:numPr>
              <w:spacing w:after="20"/>
            </w:pPr>
            <w:r>
              <w:t>Integrations: requires read access to the housing management system and the financial management system.</w:t>
            </w:r>
          </w:p>
          <w:p>
            <w:pPr>
              <w:pStyle w:val="ListParagraph"/>
              <w:numPr>
                <w:ilvl w:val="0"/>
                <w:numId w:val="1"/>
              </w:numPr>
              <w:spacing w:after="20"/>
            </w:pPr>
            <w:r>
              <w:t>Security review (AIG-ASS-11): Satisfactory; no critical findings.</w:t>
            </w:r>
          </w:p>
          <w:p>
            <w:pPr>
              <w:pStyle w:val="ListParagraph"/>
              <w:numPr>
                <w:ilvl w:val="0"/>
                <w:numId w:val="1"/>
              </w:numPr>
              <w:spacing w:after="20"/>
            </w:pPr>
            <w:r>
              <w:t>Model card: supplier-provided; known limits and error modes noted.</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Conditions proposed</w:t>
            </w:r>
          </w:p>
          <w:p>
            <w:pPr>
              <w:spacing w:after="20"/>
            </w:pPr>
            <w:r>
              <w:t>Access to be least-privilege and fully logged.</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Full evidence</w:t>
            </w:r>
          </w:p>
          <w:p>
            <w:pPr>
              <w:spacing w:after="20"/>
            </w:pPr>
            <w:r>
              <w:t>DPIA, Security Review Checklist, Model Card, data-flow diagram. Evidence index pointers under AIR-0207; available on request.</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Decision</w:t>
            </w:r>
          </w:p>
          <w:p>
            <w:pPr>
              <w:spacing w:after="60"/>
            </w:pPr>
            <w:r>
              <w:t>☐ Approve   ☐ Approve with conditions   ☐ Defer   ☐ Reject   ☐ Suspend   ☐ Retire   (one outcome per UC-ID; recorded in AIG-DEC-03 or approved minutes)</w:t>
            </w:r>
          </w:p>
          <w:p>
            <w:pPr>
              <w:spacing w:after="60"/>
            </w:pPr>
            <w:r>
              <w:t>☐ Equality, human rights and data protection screening (including any by reference: Evidence ID ______) seen and considered by the decision-maker before deciding; for Progress, Progress with condition, Re-authorise or Resume, AIG-DEC-04 column X is Yes</w:t>
            </w:r>
          </w:p>
          <w:p>
            <w:r>
              <w:t>Decided by: ______________   Role: __________   Delegation ref: ______   Date: ________</w:t>
            </w:r>
          </w:p>
        </w:tc>
      </w:tr>
    </w:tbl>
    <w:p>
      <w:r/>
    </w:p>
    <w:p>
      <w:pPr>
        <w:pBdr>
          <w:bottom w:val="single" w:color="C8AB36" w:sz="12" w:space="4"/>
        </w:pBdr>
        <w:spacing w:after="120" w:before="60"/>
      </w:pPr>
      <w:r>
        <w:t>Worked example 3 · routine system, light path</w:t>
      </w:r>
    </w:p>
    <w:p>
      <w:pPr>
        <w:spacing w:after="130"/>
      </w:pPr>
      <w:r>
        <w:t>A low-risk internal tool on the Light-touch route: the Fast-Track screen (AIG-INV-02) was all No and the AI Governance Lead validated the route. The same template, but far shorter, because a low-risk use generates little to decide. Placed here as the deliberate contrast: this is what most uses look like.</w:t>
      </w:r>
    </w:p>
    <w:p>
      <w:pPr>
        <w:pBdr>
          <w:top w:val="single" w:color="122C47" w:sz="6"/>
          <w:bottom w:val="single" w:color="122C47" w:sz="6"/>
          <w:left w:val="single" w:color="122C47" w:sz="6"/>
          <w:right w:val="single" w:color="122C47" w:sz="6"/>
        </w:pBdr>
        <w:shd w:fill="122C47" w:color="auto" w:val="clear"/>
        <w:spacing w:after="0" w:before="0"/>
      </w:pPr>
      <w:r>
        <w:rPr>
          <w:rFonts w:ascii="Arial" w:hAnsi="Arial" w:eastAsia="Arial" w:cs="Arial"/>
          <w:b/>
          <w:bCs/>
          <w:color w:val="FFFFFF"/>
          <w:sz w:val="20"/>
          <w:szCs w:val="20"/>
        </w:rPr>
        <w:t xml:space="preserve">  AI Governance · Forum Decision Paper</w:t>
      </w:r>
    </w:p>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3120"/>
        <w:gridCol w:w="3120"/>
        <w:gridCol w:w="3120"/>
      </w:tblGrid>
      <w:tr>
        <w:tc>
          <w:tcPr>
            <w:tcW w:type="dxa" w:w="3120"/>
            <w:shd w:fill="F2F0EA" w:color="auto" w:val="clear"/>
            <w:tcMar>
              <w:top w:type="dxa" w:w="60"/>
              <w:left w:type="dxa" w:w="100"/>
              <w:bottom w:type="dxa" w:w="60"/>
              <w:right w:type="dxa" w:w="100"/>
            </w:tcMar>
          </w:tcPr>
          <w:p>
            <w:pPr>
              <w:spacing w:after="30"/>
            </w:pPr>
            <w:r>
              <w:t>AIR-ID: AIR-0231 (already approved and current; existing licence)</w:t>
            </w:r>
          </w:p>
          <w:p>
            <w:pPr>
              <w:spacing w:after="0"/>
            </w:pPr>
            <w:r>
              <w:t>System: Internal Minute-Summariser</w:t>
            </w:r>
          </w:p>
        </w:tc>
        <w:tc>
          <w:tcPr>
            <w:tcW w:type="dxa" w:w="3120"/>
            <w:shd w:fill="F2F0EA" w:color="auto" w:val="clear"/>
            <w:tcMar>
              <w:top w:type="dxa" w:w="60"/>
              <w:left w:type="dxa" w:w="100"/>
              <w:bottom w:type="dxa" w:w="60"/>
              <w:right w:type="dxa" w:w="100"/>
            </w:tcMar>
          </w:tcPr>
          <w:p>
            <w:pPr>
              <w:spacing w:after="30"/>
            </w:pPr>
            <w:r>
              <w:t>Forum: Light-touch delegated decision (officer with confirmed delegation)</w:t>
            </w:r>
          </w:p>
          <w:p>
            <w:pPr>
              <w:spacing w:after="0"/>
            </w:pPr>
            <w:r>
              <w:t>Gate: 6 only (single delegated decision; Gates 1 and 3 N/A, no new investment)</w:t>
            </w:r>
          </w:p>
        </w:tc>
        <w:tc>
          <w:tcPr>
            <w:tcW w:type="dxa" w:w="3120"/>
            <w:shd w:fill="F2F0EA" w:color="auto" w:val="clear"/>
            <w:tcMar>
              <w:top w:type="dxa" w:w="60"/>
              <w:left w:type="dxa" w:w="100"/>
              <w:bottom w:type="dxa" w:w="60"/>
              <w:right w:type="dxa" w:w="100"/>
            </w:tcMar>
          </w:tcPr>
          <w:p>
            <w:pPr>
              <w:spacing w:after="30"/>
            </w:pPr>
            <w:r>
              <w:t>Prepared by: AI Governance Lead / governance function</w:t>
            </w:r>
          </w:p>
          <w:p>
            <w:pPr>
              <w:spacing w:after="0"/>
            </w:pPr>
            <w:r>
              <w:t>Date: __________</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Decision required</w:t>
            </w:r>
          </w:p>
          <w:p>
            <w:pPr>
              <w:spacing w:after="20"/>
            </w:pPr>
            <w:r>
              <w:t>Approve this use under the Light-touch route, with proportionate controls?</w:t>
            </w:r>
          </w:p>
        </w:tc>
      </w:tr>
    </w:tbl>
    <w:p>
      <w:pPr>
        <w:spacing w:after="60"/>
      </w:pPr>
      <w:r>
        <w:rPr>
          <w:rFonts w:ascii="Arial" w:cs="Arial" w:eastAsia="Arial" w:hAnsi="Arial"/>
          <w:sz w:val="6"/>
          <w:szCs w:val="6"/>
        </w:rPr>
      </w:r>
    </w:p>
    <w:tbl>
      <w:tblPr>
        <w:tblW w:type="dxa" w:w="9360"/>
        <w:tblBorders>
          <w:top w:val="single" w:color="C8AB36" w:sz="6"/>
          <w:left w:val="single" w:color="C8AB36" w:sz="18"/>
          <w:bottom w:val="single" w:color="C8AB36" w:sz="6"/>
          <w:right w:val="single" w:color="C8AB36" w:sz="6"/>
          <w:insideH w:val="single" w:color="C8AB36" w:sz="6"/>
          <w:insideV w:val="single" w:color="C8AB36" w:sz="6"/>
        </w:tblBorders>
      </w:tblPr>
      <w:tblGrid>
        <w:gridCol w:w="9360"/>
      </w:tblGrid>
      <w:tr>
        <w:tc>
          <w:tcPr>
            <w:tcW w:type="dxa" w:w="9360"/>
            <w:shd w:fill="FBF6E4" w:color="auto" w:val="clear"/>
            <w:tcMar>
              <w:top w:type="dxa" w:w="80"/>
              <w:left w:type="dxa" w:w="120"/>
              <w:bottom w:type="dxa" w:w="80"/>
              <w:right w:type="dxa" w:w="120"/>
            </w:tcMar>
          </w:tcPr>
          <w:p>
            <w:pPr>
              <w:spacing w:after="40"/>
            </w:pPr>
            <w:r>
              <w:t>Triage headline</w:t>
            </w:r>
          </w:p>
          <w:p>
            <w:pPr>
              <w:spacing w:after="20"/>
            </w:pPr>
            <w:r>
              <w:t>AGPI Priority 4 (Routine)     Risk tier: Low</w:t>
            </w:r>
          </w:p>
          <w:p>
            <w:pPr>
              <w:spacing w:after="20"/>
            </w:pPr>
            <w:r>
              <w:t>Escalation: none</w:t>
            </w:r>
          </w:p>
          <w:p>
            <w:pPr>
              <w:spacing w:after="20"/>
            </w:pPr>
            <w:r>
              <w:t>Route: Light-touch</w:t>
            </w:r>
          </w:p>
        </w:tc>
      </w:tr>
    </w:tbl>
    <w:p>
      <w:pPr>
        <w:spacing w:after="60"/>
      </w:pPr>
      <w:r>
        <w:rPr>
          <w:rFonts w:ascii="Arial" w:cs="Arial" w:eastAsia="Arial" w:hAnsi="Arial"/>
          <w:sz w:val="6"/>
          <w:szCs w:val="6"/>
        </w:rPr>
      </w:r>
    </w:p>
    <w:tbl>
      <w:tblPr>
        <w:tblW w:w="9360" w:type="dxa"/>
        <w:tblBorders>
          <w:top w:val="single" w:color="D9D6CE" w:sz="4"/>
          <w:left w:val="single" w:color="D9D6CE" w:sz="4"/>
          <w:bottom w:val="single" w:color="D9D6CE" w:sz="4"/>
          <w:right w:val="single" w:color="D9D6CE" w:sz="4"/>
          <w:insideH w:val="single" w:color="D9D6CE" w:sz="4"/>
          <w:insideV w:val="single" w:color="D9D6CE" w:sz="4"/>
        </w:tblBorders>
      </w:tblPr>
      <w:tblGrid>
        <w:gridCol w:w="1700"/>
        <w:gridCol w:w="1500"/>
        <w:gridCol w:w="1360"/>
        <w:gridCol w:w="2000"/>
        <w:gridCol w:w="1400"/>
        <w:gridCol w:w="1400"/>
      </w:tblGrid>
      <w:tr>
        <w:trPr>
          <w:cantSplit/>
          <w:tblHeader/>
        </w:trPr>
        <w:tc>
          <w:tcPr>
            <w:tcW w:type="dxa" w:w="1700"/>
            <w:shd w:fill="122C47" w:val="clear"/>
            <w:tcMar>
              <w:top w:w="50" w:type="dxa"/>
              <w:left w:w="100" w:type="dxa"/>
              <w:bottom w:w="50" w:type="dxa"/>
              <w:right w:w="100" w:type="dxa"/>
            </w:tcMar>
          </w:tcPr>
          <w:p>
            <w:pPr>
              <w:spacing w:after="0"/>
            </w:pPr>
            <w:r>
              <w:rPr>
                <w:b/>
                <w:color w:val="FFFFFF"/>
                <w:sz w:val="15"/>
                <w:szCs w:val="15"/>
              </w:rPr>
              <w:t xml:space="preserve">UC-ID and use</w:t>
            </w:r>
          </w:p>
        </w:tc>
        <w:tc>
          <w:tcPr>
            <w:tcW w:type="dxa" w:w="1500"/>
            <w:shd w:fill="122C47" w:val="clear"/>
            <w:tcMar>
              <w:top w:w="50" w:type="dxa"/>
              <w:left w:w="100" w:type="dxa"/>
              <w:bottom w:w="50" w:type="dxa"/>
              <w:right w:w="100" w:type="dxa"/>
            </w:tcMar>
          </w:tcPr>
          <w:p>
            <w:pPr>
              <w:spacing w:after="0"/>
            </w:pPr>
            <w:r>
              <w:rPr>
                <w:b/>
                <w:color w:val="FFFFFF"/>
                <w:sz w:val="15"/>
                <w:szCs w:val="15"/>
              </w:rPr>
              <w:t xml:space="preserve">AGPI priority; risk tier; assessment refs</w:t>
            </w:r>
          </w:p>
        </w:tc>
        <w:tc>
          <w:tcPr>
            <w:tcW w:type="dxa" w:w="1360"/>
            <w:shd w:fill="122C47" w:val="clear"/>
            <w:tcMar>
              <w:top w:w="50" w:type="dxa"/>
              <w:left w:w="100" w:type="dxa"/>
              <w:bottom w:w="50" w:type="dxa"/>
              <w:right w:w="100" w:type="dxa"/>
            </w:tcMar>
          </w:tcPr>
          <w:p>
            <w:pPr>
              <w:spacing w:after="0"/>
            </w:pPr>
            <w:r>
              <w:rPr>
                <w:b/>
                <w:color w:val="FFFFFF"/>
                <w:sz w:val="15"/>
                <w:szCs w:val="15"/>
              </w:rPr>
              <w:t xml:space="preserve">Proposed outcome</w:t>
            </w:r>
          </w:p>
        </w:tc>
        <w:tc>
          <w:tcPr>
            <w:tcW w:type="dxa" w:w="2000"/>
            <w:shd w:fill="122C47" w:val="clear"/>
            <w:tcMar>
              <w:top w:w="50" w:type="dxa"/>
              <w:left w:w="100" w:type="dxa"/>
              <w:bottom w:w="50" w:type="dxa"/>
              <w:right w:w="100" w:type="dxa"/>
            </w:tcMar>
          </w:tcPr>
          <w:p>
            <w:pPr>
              <w:spacing w:after="0"/>
            </w:pPr>
            <w:r>
              <w:rPr>
                <w:b/>
                <w:color w:val="FFFFFF"/>
                <w:sz w:val="15"/>
                <w:szCs w:val="15"/>
              </w:rPr>
              <w:t xml:space="preserve">Permitted and excluded scope</w:t>
            </w:r>
          </w:p>
        </w:tc>
        <w:tc>
          <w:tcPr>
            <w:tcW w:type="dxa" w:w="1400"/>
            <w:shd w:fill="122C47" w:val="clear"/>
            <w:tcMar>
              <w:top w:w="50" w:type="dxa"/>
              <w:left w:w="100" w:type="dxa"/>
              <w:bottom w:w="50" w:type="dxa"/>
              <w:right w:w="100" w:type="dxa"/>
            </w:tcMar>
          </w:tcPr>
          <w:p>
            <w:pPr>
              <w:spacing w:after="0"/>
            </w:pPr>
            <w:r>
              <w:rPr>
                <w:b/>
                <w:color w:val="FFFFFF"/>
                <w:sz w:val="15"/>
                <w:szCs w:val="15"/>
              </w:rPr>
              <w:t xml:space="preserve">Conditions</w:t>
            </w:r>
          </w:p>
        </w:tc>
        <w:tc>
          <w:tcPr>
            <w:tcW w:type="dxa" w:w="1400"/>
            <w:shd w:fill="122C47" w:val="clear"/>
            <w:tcMar>
              <w:top w:w="50" w:type="dxa"/>
              <w:left w:w="100" w:type="dxa"/>
              <w:bottom w:w="50" w:type="dxa"/>
              <w:right w:w="100" w:type="dxa"/>
            </w:tcMar>
          </w:tcPr>
          <w:p>
            <w:pPr>
              <w:spacing w:after="0"/>
            </w:pPr>
            <w:r>
              <w:rPr>
                <w:b/>
                <w:color w:val="FFFFFF"/>
                <w:sz w:val="15"/>
                <w:szCs w:val="15"/>
              </w:rPr>
              <w:t xml:space="preserve">Delegated authority; effective and review dates</w:t>
            </w:r>
          </w:p>
        </w:tc>
      </w:tr>
      <w:tr>
        <w:trPr>
          <w:cantSplit/>
        </w:trPr>
        <w:tc>
          <w:tcPr>
            <w:tcW w:type="dxa" w:w="1700"/>
            <w:tcMar>
              <w:top w:w="50" w:type="dxa"/>
              <w:left w:w="100" w:type="dxa"/>
              <w:bottom w:w="50" w:type="dxa"/>
              <w:right w:w="100" w:type="dxa"/>
            </w:tcMar>
          </w:tcPr>
          <w:p>
            <w:pPr>
              <w:spacing w:after="0"/>
            </w:pPr>
            <w:r>
              <w:rPr>
                <w:sz w:val="15"/>
                <w:szCs w:val="15"/>
              </w:rPr>
              <w:t>UC-0231-02 (new use): summarise internal team meeting notes</w:t>
            </w:r>
          </w:p>
        </w:tc>
        <w:tc>
          <w:tcPr>
            <w:tcW w:type="dxa" w:w="1500"/>
            <w:tcMar>
              <w:top w:w="50" w:type="dxa"/>
              <w:left w:w="100" w:type="dxa"/>
              <w:bottom w:w="50" w:type="dxa"/>
              <w:right w:w="100" w:type="dxa"/>
            </w:tcMar>
          </w:tcPr>
          <w:p>
            <w:pPr>
              <w:spacing w:after="0"/>
            </w:pPr>
            <w:r>
              <w:rPr>
                <w:sz w:val="15"/>
                <w:szCs w:val="15"/>
              </w:rPr>
              <w:t xml:space="preserve">Priority 4 (Routine); Low; Fast-Track all No, Lead validation</w:t>
            </w:r>
          </w:p>
        </w:tc>
        <w:tc>
          <w:tcPr>
            <w:tcW w:type="dxa" w:w="1360"/>
            <w:tcMar>
              <w:top w:w="50" w:type="dxa"/>
              <w:left w:w="100" w:type="dxa"/>
              <w:bottom w:w="50" w:type="dxa"/>
              <w:right w:w="100" w:type="dxa"/>
            </w:tcMar>
          </w:tcPr>
          <w:p>
            <w:pPr>
              <w:spacing w:after="0"/>
            </w:pPr>
            <w:r>
              <w:rPr>
                <w:sz w:val="15"/>
                <w:szCs w:val="15"/>
              </w:rPr>
              <w:t xml:space="preserve">Approve (Light-touch)</w:t>
            </w:r>
          </w:p>
        </w:tc>
        <w:tc>
          <w:tcPr>
            <w:tcW w:type="dxa" w:w="2000"/>
            <w:tcMar>
              <w:top w:w="50" w:type="dxa"/>
              <w:left w:w="100" w:type="dxa"/>
              <w:bottom w:w="50" w:type="dxa"/>
              <w:right w:w="100" w:type="dxa"/>
            </w:tcMar>
          </w:tcPr>
          <w:p>
            <w:pPr>
              <w:spacing w:after="0"/>
            </w:pPr>
            <w:r>
              <w:rPr>
                <w:sz w:val="15"/>
                <w:szCs w:val="15"/>
              </w:rPr>
              <w:t xml:space="preserve">Permitted: internal notes, human review of every output.</w:t>
            </w:r>
          </w:p>
          <w:p>
            <w:pPr>
              <w:spacing w:after="0"/>
            </w:pPr>
            <w:r>
              <w:rPr>
                <w:sz w:val="15"/>
                <w:szCs w:val="15"/>
              </w:rPr>
              <w:t>Excluded: special category data; HR or performance matters; resident-facing use.</w:t>
            </w:r>
          </w:p>
        </w:tc>
        <w:tc>
          <w:tcPr>
            <w:tcW w:type="dxa" w:w="1400"/>
            <w:tcMar>
              <w:top w:w="50" w:type="dxa"/>
              <w:left w:w="100" w:type="dxa"/>
              <w:bottom w:w="50" w:type="dxa"/>
              <w:right w:w="100" w:type="dxa"/>
            </w:tcMar>
          </w:tcPr>
          <w:p>
            <w:pPr>
              <w:spacing w:after="0"/>
            </w:pPr>
            <w:r>
              <w:rPr>
                <w:sz w:val="15"/>
                <w:szCs w:val="15"/>
              </w:rPr>
              <w:t xml:space="preserve">Reassess before any change of scope or data.</w:t>
            </w:r>
          </w:p>
        </w:tc>
        <w:tc>
          <w:tcPr>
            <w:tcW w:type="dxa" w:w="1400"/>
            <w:tcMar>
              <w:top w:w="50" w:type="dxa"/>
              <w:left w:w="100" w:type="dxa"/>
              <w:bottom w:w="50" w:type="dxa"/>
              <w:right w:w="100" w:type="dxa"/>
            </w:tcMar>
          </w:tcPr>
          <w:p>
            <w:pPr>
              <w:spacing w:after="0"/>
            </w:pPr>
            <w:r>
              <w:rPr>
                <w:sz w:val="15"/>
                <w:szCs w:val="15"/>
              </w:rPr>
              <w:t xml:space="preserve">Officer with confirmed Light-touch delegation; effective on decision; annual review</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Recommendation</w:t>
            </w:r>
          </w:p>
          <w:p>
            <w:pPr>
              <w:spacing w:after="20"/>
            </w:pPr>
            <w:r>
              <w:t>Approve UC-0231-02 under the Light-touch route; record the decision in AIG-DEC-03 and the Gate Event in AIG-DEC-04 before use.</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Bearing on your decision</w:t>
            </w:r>
          </w:p>
          <w:p>
            <w:pPr>
              <w:pStyle w:val="ListParagraph"/>
              <w:numPr>
                <w:ilvl w:val="0"/>
                <w:numId w:val="1"/>
              </w:numPr>
              <w:spacing w:after="20"/>
            </w:pPr>
            <w:r>
              <w:t>Summarises internal team notes only: staff names and work actions, no special category data.</w:t>
            </w:r>
          </w:p>
          <w:p>
            <w:pPr>
              <w:pStyle w:val="ListParagraph"/>
              <w:numPr>
                <w:ilvl w:val="0"/>
                <w:numId w:val="1"/>
              </w:numPr>
              <w:spacing w:after="20"/>
            </w:pPr>
            <w:r>
              <w:t>A person reviews every output before use.</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Conditions proposed</w:t>
            </w:r>
          </w:p>
          <w:p>
            <w:pPr>
              <w:spacing w:after="20"/>
            </w:pPr>
            <w:r>
              <w:t>Reassess before any change of scope or data.</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Full evidence</w:t>
            </w:r>
          </w:p>
          <w:p>
            <w:pPr>
              <w:spacing w:after="20"/>
            </w:pPr>
            <w:r>
              <w:t>Intake form (AIG-INV-03), Fast-Track screen (AIG-INV-02: all No), AI Governance Lead validation of the Light-touch route, equality, human rights and data protection screening by reference to the system’s DPIA and screenings (Evidence IDs EV-____, Accepted, completed or reviewed within 12 months; Playbook §4.6). Gate plan: Gate 0, Gate 6 and Gate 7 (AIG-DEC-01 Gate 1 and 3 rule). Evidence index pointers under AIR-0231.</w:t>
            </w:r>
          </w:p>
        </w:tc>
      </w:tr>
    </w:tbl>
    <w:p>
      <w:pPr>
        <w:spacing w:after="60"/>
      </w:pPr>
      <w:r>
        <w:rPr>
          <w:rFonts w:ascii="Arial" w:cs="Arial" w:eastAsia="Arial" w:hAnsi="Arial"/>
          <w:sz w:val="6"/>
          <w:szCs w:val="6"/>
        </w:rPr>
      </w:r>
    </w:p>
    <w:tbl>
      <w:tblPr>
        <w:tblW w:type="dxa" w:w="9360"/>
        <w:tblBorders>
          <w:top w:val="single" w:color="D9D6CE" w:sz="4"/>
          <w:left w:val="single" w:color="D9D6CE" w:sz="4"/>
          <w:bottom w:val="single" w:color="D9D6CE" w:sz="4"/>
          <w:right w:val="single" w:color="D9D6CE" w:sz="4"/>
          <w:insideH w:val="single" w:color="D9D6CE" w:sz="4"/>
          <w:insideV w:val="single" w:color="D9D6CE" w:sz="4"/>
        </w:tblBorders>
      </w:tblPr>
      <w:tblGrid>
        <w:gridCol w:w="9360"/>
      </w:tblGrid>
      <w:tr>
        <w:tc>
          <w:tcPr>
            <w:tcW w:type="dxa" w:w="9360"/>
            <w:shd w:fill="FFFFFF" w:color="auto" w:val="clear"/>
            <w:tcMar>
              <w:top w:type="dxa" w:w="80"/>
              <w:left w:type="dxa" w:w="120"/>
              <w:bottom w:type="dxa" w:w="80"/>
              <w:right w:type="dxa" w:w="120"/>
            </w:tcMar>
          </w:tcPr>
          <w:p>
            <w:pPr>
              <w:spacing w:after="40"/>
            </w:pPr>
            <w:r>
              <w:t>Decision</w:t>
            </w:r>
          </w:p>
          <w:p>
            <w:pPr>
              <w:spacing w:after="60"/>
            </w:pPr>
            <w:r>
              <w:t>☐ Approve   ☐ Approve with conditions   ☐ Defer   ☐ Reject   ☐ Suspend   ☐ Retire   (one outcome per UC-ID; recorded in AIG-DEC-03 or approved minutes)</w:t>
            </w:r>
          </w:p>
          <w:p>
            <w:pPr>
              <w:spacing w:after="60"/>
            </w:pPr>
            <w:r>
              <w:t>☐ Equality, human rights and data protection screening (including any by reference: Evidence ID ______) seen and considered by the decision-maker before deciding; for Progress, Progress with condition, Re-authorise or Resume, AIG-DEC-04 column X is Yes</w:t>
            </w:r>
          </w:p>
          <w:p>
            <w:r>
              <w:t>Decided by: ______________   Role: __________   Delegation ref: ______   Date: ________</w:t>
            </w:r>
          </w:p>
        </w:tc>
      </w:tr>
    </w:tbl>
    <w:p>
      <w:r>
        <w:br w:type="page"/>
      </w:r>
    </w:p>
    <w:p>
      <w:pPr/>
      <w:r>
        <w:t xml:space="preserve">Document control</w:t>
      </w:r>
    </w:p>
    <w:tbl>
      <w:tblPr>
        <w:tblW w:w="9360" w:type="dxa"/>
        <w:tblBorders>
          <w:top w:val="single" w:color="D9D6CE" w:sz="4"/>
          <w:left w:val="single" w:color="D9D6CE" w:sz="4"/>
          <w:bottom w:val="single" w:color="D9D6CE" w:sz="4"/>
          <w:right w:val="single" w:color="D9D6CE" w:sz="4"/>
          <w:insideH w:val="single" w:color="D9D6CE" w:sz="4"/>
          <w:insideV w:val="single" w:color="D9D6CE" w:sz="4"/>
        </w:tblBorders>
      </w:tblPr>
      <w:tblGrid>
        <w:gridCol w:w="2800"/>
        <w:gridCol w:w="6560"/>
      </w:tblGrid>
      <w:tr>
        <w:trPr>
          <w:cantSplit/>
        </w:trPr>
        <w:tc>
          <w:tcPr>
            <w:tcW w:type="dxa" w:w="2800"/>
            <w:tcMar>
              <w:top w:w="50" w:type="dxa"/>
              <w:left w:w="100" w:type="dxa"/>
              <w:bottom w:w="50" w:type="dxa"/>
              <w:right w:w="100" w:type="dxa"/>
            </w:tcMar>
          </w:tcPr>
          <w:p>
            <w:pPr>
              <w:spacing w:after="0"/>
            </w:pPr>
            <w:r>
              <w:rPr>
                <w:sz w:val="18"/>
                <w:szCs w:val="18"/>
              </w:rPr>
              <w:t xml:space="preserve">Document ID</w:t>
            </w:r>
          </w:p>
        </w:tc>
        <w:tc>
          <w:tcPr>
            <w:tcW w:type="dxa" w:w="6560"/>
            <w:tcMar>
              <w:top w:w="50" w:type="dxa"/>
              <w:left w:w="100" w:type="dxa"/>
              <w:bottom w:w="50" w:type="dxa"/>
              <w:right w:w="100" w:type="dxa"/>
            </w:tcMar>
          </w:tcPr>
          <w:p>
            <w:pPr>
              <w:spacing w:after="0"/>
            </w:pPr>
            <w:r>
              <w:rPr>
                <w:sz w:val="18"/>
                <w:szCs w:val="18"/>
              </w:rPr>
              <w:t xml:space="preserve">AIG-DEC-02</w:t>
            </w:r>
          </w:p>
        </w:tc>
      </w:tr>
      <w:tr>
        <w:trPr>
          <w:cantSplit/>
        </w:trPr>
        <w:tc>
          <w:tcPr>
            <w:tcW w:type="dxa" w:w="2800"/>
            <w:tcMar>
              <w:top w:w="50" w:type="dxa"/>
              <w:left w:w="100" w:type="dxa"/>
              <w:bottom w:w="50" w:type="dxa"/>
              <w:right w:w="100" w:type="dxa"/>
            </w:tcMar>
          </w:tcPr>
          <w:p>
            <w:pPr>
              <w:spacing w:after="0"/>
            </w:pPr>
            <w:r>
              <w:rPr>
                <w:sz w:val="18"/>
                <w:szCs w:val="18"/>
              </w:rPr>
              <w:t xml:space="preserve">Version</w:t>
            </w:r>
          </w:p>
        </w:tc>
        <w:tc>
          <w:tcPr>
            <w:tcW w:type="dxa" w:w="6560"/>
            <w:tcMar>
              <w:top w:w="50" w:type="dxa"/>
              <w:left w:w="100" w:type="dxa"/>
              <w:bottom w:w="50" w:type="dxa"/>
              <w:right w:w="100" w:type="dxa"/>
            </w:tcMar>
          </w:tcPr>
          <w:p>
            <w:pPr>
              <w:spacing w:after="0"/>
            </w:pPr>
            <w:r>
              <w:rPr>
                <w:sz w:val="18"/>
                <w:szCs w:val="18"/>
              </w:rPr>
              <w:t>1.7 draft</w:t>
            </w:r>
          </w:p>
        </w:tc>
      </w:tr>
      <w:tr>
        <w:trPr>
          <w:cantSplit/>
        </w:trPr>
        <w:tc>
          <w:tcPr>
            <w:tcW w:type="dxa" w:w="2800"/>
            <w:tcMar>
              <w:top w:w="50" w:type="dxa"/>
              <w:left w:w="100" w:type="dxa"/>
              <w:bottom w:w="50" w:type="dxa"/>
              <w:right w:w="100" w:type="dxa"/>
            </w:tcMar>
          </w:tcPr>
          <w:p>
            <w:pPr>
              <w:spacing w:after="0"/>
            </w:pPr>
            <w:r>
              <w:rPr>
                <w:sz w:val="18"/>
                <w:szCs w:val="18"/>
              </w:rPr>
              <w:t xml:space="preserve">Status</w:t>
            </w:r>
          </w:p>
        </w:tc>
        <w:tc>
          <w:tcPr>
            <w:tcW w:type="dxa" w:w="6560"/>
            <w:tcMar>
              <w:top w:w="50" w:type="dxa"/>
              <w:left w:w="100" w:type="dxa"/>
              <w:bottom w:w="50" w:type="dxa"/>
              <w:right w:w="100" w:type="dxa"/>
            </w:tcMar>
          </w:tcPr>
          <w:p>
            <w:pPr>
              <w:spacing w:after="0"/>
            </w:pPr>
            <w:r>
              <w:rPr>
                <w:sz w:val="18"/>
                <w:szCs w:val="18"/>
              </w:rPr>
              <w:t xml:space="preserve">Draft for Council review</w:t>
            </w:r>
          </w:p>
        </w:tc>
      </w:tr>
      <w:tr>
        <w:trPr>
          <w:cantSplit/>
        </w:trPr>
        <w:tc>
          <w:tcPr>
            <w:tcW w:type="dxa" w:w="2800"/>
            <w:tcMar>
              <w:top w:w="50" w:type="dxa"/>
              <w:left w:w="100" w:type="dxa"/>
              <w:bottom w:w="50" w:type="dxa"/>
              <w:right w:w="100" w:type="dxa"/>
            </w:tcMar>
          </w:tcPr>
          <w:p>
            <w:pPr>
              <w:spacing w:after="0"/>
            </w:pPr>
            <w:r>
              <w:rPr>
                <w:sz w:val="18"/>
                <w:szCs w:val="18"/>
              </w:rPr>
              <w:t xml:space="preserve">Document owner</w:t>
            </w:r>
          </w:p>
        </w:tc>
        <w:tc>
          <w:tcPr>
            <w:tcW w:type="dxa" w:w="6560"/>
            <w:tcMar>
              <w:top w:w="50" w:type="dxa"/>
              <w:left w:w="100" w:type="dxa"/>
              <w:bottom w:w="50" w:type="dxa"/>
              <w:right w:w="100" w:type="dxa"/>
            </w:tcMar>
          </w:tcPr>
          <w:p>
            <w:pPr>
              <w:spacing w:after="0"/>
            </w:pPr>
            <w:r>
              <w:rPr>
                <w:sz w:val="18"/>
                <w:szCs w:val="18"/>
              </w:rPr>
              <w:t xml:space="preserve">AI Governance Lead</w:t>
            </w:r>
          </w:p>
        </w:tc>
      </w:tr>
      <w:tr>
        <w:trPr>
          <w:cantSplit/>
        </w:trPr>
        <w:tc>
          <w:tcPr>
            <w:tcW w:type="dxa" w:w="2800"/>
            <w:tcMar>
              <w:top w:w="50" w:type="dxa"/>
              <w:left w:w="100" w:type="dxa"/>
              <w:bottom w:w="50" w:type="dxa"/>
              <w:right w:w="100" w:type="dxa"/>
            </w:tcMar>
          </w:tcPr>
          <w:p>
            <w:pPr>
              <w:spacing w:after="0"/>
            </w:pPr>
            <w:r>
              <w:rPr>
                <w:sz w:val="18"/>
                <w:szCs w:val="18"/>
              </w:rPr>
              <w:t xml:space="preserve">Relationship</w:t>
            </w:r>
          </w:p>
        </w:tc>
        <w:tc>
          <w:tcPr>
            <w:tcW w:type="dxa" w:w="6560"/>
            <w:tcMar>
              <w:top w:w="50" w:type="dxa"/>
              <w:left w:w="100" w:type="dxa"/>
              <w:bottom w:w="50" w:type="dxa"/>
              <w:right w:w="100" w:type="dxa"/>
            </w:tcMar>
          </w:tcPr>
          <w:p>
            <w:pPr>
              <w:spacing w:after="0"/>
            </w:pPr>
            <w:r>
              <w:rPr>
                <w:sz w:val="18"/>
                <w:szCs w:val="18"/>
              </w:rPr>
              <w:t xml:space="preserve">Template under the AI Governance Terms of Reference (AIG-GOV-06 §7); read with the Gate Map (AIG-DEC-01), Governance Decision Record (AIG-DEC-03) and Gate Log (AIG-DEC-04).</w:t>
            </w:r>
          </w:p>
        </w:tc>
      </w:tr>
      <w:tr>
        <w:trPr>
          <w:cantSplit/>
        </w:trPr>
        <w:tc>
          <w:tcPr>
            <w:tcW w:type="dxa" w:w="2800"/>
            <w:tcMar>
              <w:top w:w="50" w:type="dxa"/>
              <w:left w:w="100" w:type="dxa"/>
              <w:bottom w:w="50" w:type="dxa"/>
              <w:right w:w="100" w:type="dxa"/>
            </w:tcMar>
          </w:tcPr>
          <w:p>
            <w:pPr>
              <w:spacing w:after="0"/>
            </w:pPr>
            <w:r>
              <w:rPr>
                <w:sz w:val="18"/>
                <w:szCs w:val="18"/>
              </w:rPr>
              <w:t xml:space="preserve">Approving body</w:t>
            </w:r>
          </w:p>
        </w:tc>
        <w:tc>
          <w:tcPr>
            <w:tcW w:type="dxa" w:w="6560"/>
            <w:tcMar>
              <w:top w:w="50" w:type="dxa"/>
              <w:left w:w="100" w:type="dxa"/>
              <w:bottom w:w="50" w:type="dxa"/>
              <w:right w:w="100" w:type="dxa"/>
            </w:tcMar>
          </w:tcPr>
          <w:p>
            <w:pPr>
              <w:spacing w:after="0"/>
            </w:pPr>
            <w:r>
              <w:rPr>
                <w:sz w:val="18"/>
                <w:szCs w:val="18"/>
              </w:rPr>
              <w:t xml:space="preserve">Pending confirmation — competent Council authority under the Constitution and Scheme of Delegation; AI Assurance Board provides assurance; Monitoring Officer to verify.</w:t>
            </w:r>
          </w:p>
        </w:tc>
      </w:tr>
      <w:tr>
        <w:trPr>
          <w:cantSplit/>
        </w:trPr>
        <w:tc>
          <w:tcPr>
            <w:tcW w:type="dxa" w:w="2800"/>
            <w:tcMar>
              <w:top w:w="50" w:type="dxa"/>
              <w:left w:w="100" w:type="dxa"/>
              <w:bottom w:w="50" w:type="dxa"/>
              <w:right w:w="100" w:type="dxa"/>
            </w:tcMar>
          </w:tcPr>
          <w:p>
            <w:pPr>
              <w:spacing w:after="0"/>
            </w:pPr>
            <w:r>
              <w:rPr>
                <w:sz w:val="18"/>
                <w:szCs w:val="18"/>
              </w:rPr>
              <w:t xml:space="preserve">Approval date</w:t>
            </w:r>
          </w:p>
        </w:tc>
        <w:tc>
          <w:tcPr>
            <w:tcW w:type="dxa" w:w="6560"/>
            <w:tcMar>
              <w:top w:w="50" w:type="dxa"/>
              <w:left w:w="100" w:type="dxa"/>
              <w:bottom w:w="50" w:type="dxa"/>
              <w:right w:w="100" w:type="dxa"/>
            </w:tcMar>
          </w:tcPr>
          <w:p>
            <w:pPr>
              <w:spacing w:after="0"/>
            </w:pPr>
            <w:r>
              <w:rPr>
                <w:sz w:val="18"/>
                <w:szCs w:val="18"/>
              </w:rPr>
              <w:t xml:space="preserve">Not yet approved</w:t>
            </w:r>
          </w:p>
        </w:tc>
      </w:tr>
      <w:tr>
        <w:trPr>
          <w:cantSplit/>
        </w:trPr>
        <w:tc>
          <w:tcPr>
            <w:tcW w:type="dxa" w:w="2800"/>
            <w:tcMar>
              <w:top w:w="50" w:type="dxa"/>
              <w:left w:w="100" w:type="dxa"/>
              <w:bottom w:w="50" w:type="dxa"/>
              <w:right w:w="100" w:type="dxa"/>
            </w:tcMar>
          </w:tcPr>
          <w:p>
            <w:pPr>
              <w:spacing w:after="0"/>
            </w:pPr>
            <w:r>
              <w:rPr>
                <w:sz w:val="18"/>
                <w:szCs w:val="18"/>
              </w:rPr>
              <w:t xml:space="preserve">Next review date</w:t>
            </w:r>
          </w:p>
        </w:tc>
        <w:tc>
          <w:tcPr>
            <w:tcW w:type="dxa" w:w="6560"/>
            <w:tcMar>
              <w:top w:w="50" w:type="dxa"/>
              <w:left w:w="100" w:type="dxa"/>
              <w:bottom w:w="50" w:type="dxa"/>
              <w:right w:w="100" w:type="dxa"/>
            </w:tcMar>
          </w:tcPr>
          <w:p>
            <w:pPr>
              <w:spacing w:after="0"/>
            </w:pPr>
            <w:r>
              <w:rPr>
                <w:sz w:val="18"/>
                <w:szCs w:val="18"/>
              </w:rPr>
              <w:t xml:space="preserve">To be set on approval: 12 months after the effective date, or sooner following material change</w:t>
            </w:r>
          </w:p>
        </w:tc>
      </w:tr>
      <w:tr>
        <w:trPr>
          <w:cantSplit/>
        </w:trPr>
        <w:tc>
          <w:tcPr>
            <w:tcW w:type="dxa" w:w="2800"/>
            <w:tcMar>
              <w:top w:w="50" w:type="dxa"/>
              <w:left w:w="100" w:type="dxa"/>
              <w:bottom w:w="50" w:type="dxa"/>
              <w:right w:w="100" w:type="dxa"/>
            </w:tcMar>
          </w:tcPr>
          <w:p>
            <w:pPr>
              <w:spacing w:after="0"/>
            </w:pPr>
            <w:r>
              <w:rPr>
                <w:sz w:val="18"/>
                <w:szCs w:val="18"/>
              </w:rPr>
              <w:t xml:space="preserve">Classification</w:t>
            </w:r>
          </w:p>
        </w:tc>
        <w:tc>
          <w:tcPr>
            <w:tcW w:type="dxa" w:w="6560"/>
            <w:tcMar>
              <w:top w:w="50" w:type="dxa"/>
              <w:left w:w="100" w:type="dxa"/>
              <w:bottom w:w="50" w:type="dxa"/>
              <w:right w:w="100" w:type="dxa"/>
            </w:tcMar>
          </w:tcPr>
          <w:p>
            <w:pPr>
              <w:spacing w:after="0"/>
            </w:pPr>
            <w:r>
              <w:rPr>
                <w:sz w:val="18"/>
                <w:szCs w:val="18"/>
              </w:rPr>
              <w:t xml:space="preserve">OFFICIAL</w:t>
            </w:r>
          </w:p>
        </w:tc>
      </w:tr>
    </w:tbl>
    <w:p>
      <w:pPr>
        <w:spacing w:after="60"/>
      </w:pPr>
      <w:r>
        <w:rPr>
          <w:rFonts w:ascii="Arial" w:cs="Arial" w:eastAsia="Arial" w:hAnsi="Arial"/>
          <w:sz w:val="6"/>
          <w:szCs w:val="6"/>
        </w:rPr>
      </w:r>
    </w:p>
    <w:p>
      <w:pPr/>
      <w:r>
        <w:t xml:space="preserve">Change history</w:t>
      </w:r>
    </w:p>
    <w:tbl>
      <w:tblPr>
        <w:tblW w:w="9360" w:type="dxa"/>
        <w:tblBorders>
          <w:top w:val="single" w:color="D9D6CE" w:sz="4"/>
          <w:left w:val="single" w:color="D9D6CE" w:sz="4"/>
          <w:bottom w:val="single" w:color="D9D6CE" w:sz="4"/>
          <w:right w:val="single" w:color="D9D6CE" w:sz="4"/>
          <w:insideH w:val="single" w:color="D9D6CE" w:sz="4"/>
          <w:insideV w:val="single" w:color="D9D6CE" w:sz="4"/>
        </w:tblBorders>
      </w:tblPr>
      <w:tblGrid>
        <w:gridCol w:w="1300"/>
        <w:gridCol w:w="1700"/>
        <w:gridCol w:w="6360"/>
      </w:tblGrid>
      <w:tr>
        <w:trPr>
          <w:cantSplit/>
          <w:tblHeader/>
        </w:trPr>
        <w:tc>
          <w:tcPr>
            <w:tcW w:type="dxa" w:w="1300"/>
            <w:shd w:fill="122C47" w:val="clear"/>
            <w:tcMar>
              <w:top w:w="50" w:type="dxa"/>
              <w:left w:w="100" w:type="dxa"/>
              <w:bottom w:w="50" w:type="dxa"/>
              <w:right w:w="100" w:type="dxa"/>
            </w:tcMar>
          </w:tcPr>
          <w:p>
            <w:pPr>
              <w:spacing w:after="0"/>
            </w:pPr>
            <w:r>
              <w:rPr>
                <w:b/>
                <w:color w:val="FFFFFF"/>
                <w:sz w:val="18"/>
                <w:szCs w:val="18"/>
              </w:rPr>
              <w:t xml:space="preserve">Version</w:t>
            </w:r>
          </w:p>
        </w:tc>
        <w:tc>
          <w:tcPr>
            <w:tcW w:type="dxa" w:w="1700"/>
            <w:shd w:fill="122C47" w:val="clear"/>
            <w:tcMar>
              <w:top w:w="50" w:type="dxa"/>
              <w:left w:w="100" w:type="dxa"/>
              <w:bottom w:w="50" w:type="dxa"/>
              <w:right w:w="100" w:type="dxa"/>
            </w:tcMar>
          </w:tcPr>
          <w:p>
            <w:pPr>
              <w:spacing w:after="0"/>
            </w:pPr>
            <w:r>
              <w:rPr>
                <w:b/>
                <w:color w:val="FFFFFF"/>
                <w:sz w:val="18"/>
                <w:szCs w:val="18"/>
              </w:rPr>
              <w:t xml:space="preserve">Date</w:t>
            </w:r>
          </w:p>
        </w:tc>
        <w:tc>
          <w:tcPr>
            <w:tcW w:type="dxa" w:w="6360"/>
            <w:shd w:fill="122C47" w:val="clear"/>
            <w:tcMar>
              <w:top w:w="50" w:type="dxa"/>
              <w:left w:w="100" w:type="dxa"/>
              <w:bottom w:w="50" w:type="dxa"/>
              <w:right w:w="100" w:type="dxa"/>
            </w:tcMar>
          </w:tcPr>
          <w:p>
            <w:pPr>
              <w:spacing w:after="0"/>
            </w:pPr>
            <w:r>
              <w:rPr>
                <w:b/>
                <w:color w:val="FFFFFF"/>
                <w:sz w:val="18"/>
                <w:szCs w:val="18"/>
              </w:rPr>
              <w:t xml:space="preserve">Change summary</w:t>
            </w:r>
          </w:p>
        </w:tc>
      </w:tr>
      <w:tr>
        <w:trPr>
          <w:cantSplit/>
        </w:trPr>
        <w:tc>
          <w:tcPr>
            <w:tcW w:type="dxa" w:w="1300"/>
            <w:tcMar>
              <w:top w:w="50" w:type="dxa"/>
              <w:left w:w="100" w:type="dxa"/>
              <w:bottom w:w="50" w:type="dxa"/>
              <w:right w:w="100" w:type="dxa"/>
            </w:tcMar>
          </w:tcPr>
          <w:p>
            <w:pPr>
              <w:spacing w:after="0"/>
            </w:pPr>
            <w:r>
              <w:rPr>
                <w:sz w:val="18"/>
                <w:szCs w:val="18"/>
              </w:rPr>
              <w:t xml:space="preserve">1.0 draft</w:t>
            </w:r>
          </w:p>
        </w:tc>
        <w:tc>
          <w:tcPr>
            <w:tcW w:type="dxa" w:w="1700"/>
            <w:tcMar>
              <w:top w:w="50" w:type="dxa"/>
              <w:left w:w="100" w:type="dxa"/>
              <w:bottom w:w="50" w:type="dxa"/>
              <w:right w:w="100" w:type="dxa"/>
            </w:tcMar>
          </w:tcPr>
          <w:p>
            <w:pPr>
              <w:spacing w:after="0"/>
            </w:pPr>
            <w:r>
              <w:rPr>
                <w:sz w:val="18"/>
                <w:szCs w:val="18"/>
              </w:rPr>
              <w:t xml:space="preserve">30 August 2026</w:t>
            </w:r>
          </w:p>
        </w:tc>
        <w:tc>
          <w:tcPr>
            <w:tcW w:type="dxa" w:w="6360"/>
            <w:tcMar>
              <w:top w:w="50" w:type="dxa"/>
              <w:left w:w="100" w:type="dxa"/>
              <w:bottom w:w="50" w:type="dxa"/>
              <w:right w:w="100" w:type="dxa"/>
            </w:tcMar>
          </w:tcPr>
          <w:p>
            <w:pPr>
              <w:spacing w:after="0"/>
            </w:pPr>
            <w:r>
              <w:rPr>
                <w:sz w:val="18"/>
                <w:szCs w:val="18"/>
              </w:rPr>
              <w:t xml:space="preserve">Template and three worked examples created.</w:t>
            </w:r>
          </w:p>
        </w:tc>
      </w:tr>
      <w:tr>
        <w:trPr>
          <w:cantSplit/>
        </w:trPr>
        <w:tc>
          <w:tcPr>
            <w:tcW w:type="dxa" w:w="1300"/>
            <w:tcMar>
              <w:top w:w="50" w:type="dxa"/>
              <w:left w:w="100" w:type="dxa"/>
              <w:bottom w:w="50" w:type="dxa"/>
              <w:right w:w="100" w:type="dxa"/>
            </w:tcMar>
          </w:tcPr>
          <w:p>
            <w:pPr>
              <w:spacing w:after="0"/>
            </w:pPr>
            <w:r>
              <w:rPr>
                <w:sz w:val="18"/>
                <w:szCs w:val="18"/>
              </w:rPr>
              <w:t xml:space="preserve">1.1 draft</w:t>
            </w:r>
          </w:p>
        </w:tc>
        <w:tc>
          <w:tcPr>
            <w:tcW w:type="dxa" w:w="1700"/>
            <w:tcMar>
              <w:top w:w="50" w:type="dxa"/>
              <w:left w:w="100" w:type="dxa"/>
              <w:bottom w:w="50" w:type="dxa"/>
              <w:right w:w="100" w:type="dxa"/>
            </w:tcMar>
          </w:tcPr>
          <w:p>
            <w:pPr>
              <w:spacing w:after="0"/>
            </w:pPr>
            <w:r>
              <w:rPr>
                <w:sz w:val="18"/>
                <w:szCs w:val="18"/>
              </w:rPr>
              <w:t xml:space="preserve">September 2026</w:t>
            </w:r>
          </w:p>
        </w:tc>
        <w:tc>
          <w:tcPr>
            <w:tcW w:type="dxa" w:w="6360"/>
            <w:tcMar>
              <w:top w:w="50" w:type="dxa"/>
              <w:left w:w="100" w:type="dxa"/>
              <w:bottom w:w="50" w:type="dxa"/>
              <w:right w:w="100" w:type="dxa"/>
            </w:tcMar>
          </w:tcPr>
          <w:p>
            <w:pPr>
              <w:spacing w:after="0"/>
            </w:pPr>
            <w:r>
              <w:rPr>
                <w:sz w:val="18"/>
                <w:szCs w:val="18"/>
              </w:rPr>
              <w:t xml:space="preserve">Version shown in page footers only; no change summary was recorded.</w:t>
            </w:r>
          </w:p>
        </w:tc>
      </w:tr>
      <w:tr>
        <w:trPr>
          <w:cantSplit/>
        </w:trPr>
        <w:tc>
          <w:tcPr>
            <w:tcW w:type="dxa" w:w="1300"/>
            <w:tcMar>
              <w:top w:w="50" w:type="dxa"/>
              <w:left w:w="100" w:type="dxa"/>
              <w:bottom w:w="50" w:type="dxa"/>
              <w:right w:w="100" w:type="dxa"/>
            </w:tcMar>
          </w:tcPr>
          <w:p>
            <w:pPr>
              <w:spacing w:after="0"/>
            </w:pPr>
            <w:r>
              <w:rPr>
                <w:sz w:val="18"/>
                <w:szCs w:val="18"/>
              </w:rPr>
              <w:t xml:space="preserve">1.2 draft</w:t>
            </w:r>
          </w:p>
        </w:tc>
        <w:tc>
          <w:tcPr>
            <w:tcW w:type="dxa" w:w="1700"/>
            <w:tcMar>
              <w:top w:w="50" w:type="dxa"/>
              <w:left w:w="100" w:type="dxa"/>
              <w:bottom w:w="50" w:type="dxa"/>
              <w:right w:w="100" w:type="dxa"/>
            </w:tcMar>
          </w:tcPr>
          <w:p>
            <w:pPr>
              <w:spacing w:after="0"/>
            </w:pPr>
            <w:r>
              <w:rPr>
                <w:sz w:val="18"/>
                <w:szCs w:val="18"/>
              </w:rPr>
              <w:t xml:space="preserve">29 September 2026</w:t>
            </w:r>
          </w:p>
        </w:tc>
        <w:tc>
          <w:tcPr>
            <w:tcW w:type="dxa" w:w="6360"/>
            <w:tcMar>
              <w:top w:w="50" w:type="dxa"/>
              <w:left w:w="100" w:type="dxa"/>
              <w:bottom w:w="50" w:type="dxa"/>
              <w:right w:w="100" w:type="dxa"/>
            </w:tcMar>
          </w:tcPr>
          <w:p>
            <w:pPr>
              <w:spacing w:after="0"/>
            </w:pPr>
            <w:r>
              <w:rPr>
                <w:sz w:val="18"/>
                <w:szCs w:val="18"/>
              </w:rPr>
              <w:t xml:space="preserve">QA remediation — applied findings QA-020, QA-021, QA-042, QA-111, QA-122, QA-131, QA-154 (see QA change log). Title block and footers aligned; document control added; decision paper, decision record and Gate Log distinguished; UC-ID rows added to the template and worked examples; route vocabulary and decision options standardised.</w:t>
            </w:r>
          </w:p>
        </w:tc>
      </w:tr>
      <w:tr>
        <w:trPr>
          <w:cantSplit/>
        </w:trPr>
        <w:tc>
          <w:tcPr>
            <w:tcW w:type="dxa" w:w="1300"/>
            <w:tcMar>
              <w:top w:w="50" w:type="dxa"/>
              <w:left w:w="100" w:type="dxa"/>
              <w:bottom w:w="50" w:type="dxa"/>
              <w:right w:w="100" w:type="dxa"/>
            </w:tcMar>
          </w:tcPr>
          <w:p>
            <w:pPr>
              <w:spacing w:after="0"/>
            </w:pPr>
            <w:r>
              <w:rPr>
                <w:sz w:val="18"/>
                <w:szCs w:val="18"/>
              </w:rPr>
              <w:t xml:space="preserve">1.3 draft</w:t>
            </w:r>
          </w:p>
        </w:tc>
        <w:tc>
          <w:tcPr>
            <w:tcW w:type="dxa" w:w="1700"/>
            <w:tcMar>
              <w:top w:w="50" w:type="dxa"/>
              <w:left w:w="100" w:type="dxa"/>
              <w:bottom w:w="50" w:type="dxa"/>
              <w:right w:w="100" w:type="dxa"/>
            </w:tcMar>
          </w:tcPr>
          <w:p>
            <w:pPr>
              <w:spacing w:after="0"/>
            </w:pPr>
            <w:r>
              <w:rPr>
                <w:sz w:val="18"/>
                <w:szCs w:val="18"/>
              </w:rPr>
              <w:t xml:space="preserve">30 September 2026</w:t>
            </w:r>
          </w:p>
        </w:tc>
        <w:tc>
          <w:tcPr>
            <w:tcW w:type="dxa" w:w="6360"/>
            <w:tcMar>
              <w:top w:w="50" w:type="dxa"/>
              <w:left w:w="100" w:type="dxa"/>
              <w:bottom w:w="50" w:type="dxa"/>
              <w:right w:w="100" w:type="dxa"/>
            </w:tcMar>
          </w:tcPr>
          <w:p>
            <w:pPr>
              <w:spacing w:after="0"/>
            </w:pPr>
            <w:r>
              <w:rPr>
                <w:sz w:val="18"/>
                <w:szCs w:val="18"/>
              </w:rPr>
              <w:t xml:space="preserve">v3.9.1: standards cross-reference note updated to the 54-entry requirement inventory (AIG-AIMS-05 REQ-054, Civil Contingencies Act 2004, added).</w:t>
            </w:r>
          </w:p>
        </w:tc>
      </w:tr>
      <w:tr>
        <w:trPr>
          <w:cantSplit/>
        </w:trPr>
        <w:tc>
          <w:tcPr>
            <w:tcW w:type="dxa" w:w="1300"/>
            <w:tcMar>
              <w:top w:w="50" w:type="dxa"/>
              <w:left w:w="100" w:type="dxa"/>
              <w:bottom w:w="50" w:type="dxa"/>
              <w:right w:w="100" w:type="dxa"/>
            </w:tcMar>
          </w:tcPr>
          <w:p>
            <w:pPr>
              <w:spacing w:after="0"/>
            </w:pPr>
            <w:r>
              <w:rPr>
                <w:sz w:val="18"/>
                <w:szCs w:val="18"/>
              </w:rPr>
              <w:t xml:space="preserve">1.4 draft</w:t>
            </w:r>
          </w:p>
        </w:tc>
        <w:tc>
          <w:tcPr>
            <w:tcW w:type="dxa" w:w="1700"/>
            <w:tcMar>
              <w:top w:w="50" w:type="dxa"/>
              <w:left w:w="100" w:type="dxa"/>
              <w:bottom w:w="50" w:type="dxa"/>
              <w:right w:w="100" w:type="dxa"/>
            </w:tcMar>
          </w:tcPr>
          <w:p>
            <w:pPr>
              <w:spacing w:after="0"/>
            </w:pPr>
            <w:r>
              <w:rPr>
                <w:sz w:val="18"/>
                <w:szCs w:val="18"/>
              </w:rPr>
              <w:t xml:space="preserve">1 October 2026</w:t>
            </w:r>
          </w:p>
        </w:tc>
        <w:tc>
          <w:tcPr>
            <w:tcW w:type="dxa" w:w="6360"/>
            <w:tcMar>
              <w:top w:w="50" w:type="dxa"/>
              <w:left w:w="100" w:type="dxa"/>
              <w:bottom w:w="50" w:type="dxa"/>
              <w:right w:w="100" w:type="dxa"/>
            </w:tcMar>
          </w:tcPr>
          <w:p>
            <w:pPr>
              <w:spacing w:after="0"/>
            </w:pPr>
            <w:r>
              <w:rPr>
                <w:sz w:val="18"/>
                <w:szCs w:val="18"/>
              </w:rPr>
              <w:t xml:space="preserve">v3.9.3: standards cross-reference note cites the 55-entry requirement inventory (AIG-AIMS-05 REQ-055, NIST AI 600-1 Generative AI Profile, added).</w:t>
            </w:r>
          </w:p>
        </w:tc>
      </w:tr>
      <w:tr>
        <w:trPr>
          <w:cantSplit/>
        </w:trPr>
        <w:tc>
          <w:tcPr>
            <w:tcW w:type="dxa" w:w="1300"/>
            <w:tcMar>
              <w:top w:w="50" w:type="dxa"/>
              <w:left w:w="100" w:type="dxa"/>
              <w:bottom w:w="50" w:type="dxa"/>
              <w:right w:w="100" w:type="dxa"/>
            </w:tcMar>
          </w:tcPr>
          <w:p>
            <w:pPr>
              <w:spacing w:after="0"/>
            </w:pPr>
            <w:r>
              <w:rPr>
                <w:sz w:val="18"/>
                <w:szCs w:val="18"/>
              </w:rPr>
              <w:t>1.5 draft</w:t>
            </w:r>
          </w:p>
        </w:tc>
        <w:tc>
          <w:tcPr>
            <w:tcW w:type="dxa" w:w="1700"/>
            <w:tcMar>
              <w:top w:w="50" w:type="dxa"/>
              <w:left w:w="100" w:type="dxa"/>
              <w:bottom w:w="50" w:type="dxa"/>
              <w:right w:w="100" w:type="dxa"/>
            </w:tcMar>
          </w:tcPr>
          <w:p>
            <w:pPr>
              <w:spacing w:after="0"/>
            </w:pPr>
            <w:r>
              <w:rPr>
                <w:sz w:val="18"/>
                <w:szCs w:val="18"/>
              </w:rPr>
              <w:t>2 October 2026</w:t>
            </w:r>
          </w:p>
        </w:tc>
        <w:tc>
          <w:tcPr>
            <w:tcW w:type="dxa" w:w="6360"/>
            <w:tcMar>
              <w:top w:w="50" w:type="dxa"/>
              <w:left w:w="100" w:type="dxa"/>
              <w:bottom w:w="50" w:type="dxa"/>
              <w:right w:w="100" w:type="dxa"/>
            </w:tcMar>
          </w:tcPr>
          <w:p>
            <w:pPr>
              <w:spacing w:after="0"/>
            </w:pPr>
            <w:r>
              <w:rPr>
                <w:sz w:val="18"/>
                <w:szCs w:val="18"/>
              </w:rPr>
              <w:t>v3.9.5: standards cross-reference note cites the 56-entry requirement inventory (AIG-AIMS-05 REQ-056, SI 2026/425 ICO statutory code of practice on AI and automated decision-making, added). Proposed — for Council confirmation.</w:t>
            </w:r>
          </w:p>
        </w:tc>
      </w:tr>
      <w:tr>
        <w:trPr>
          <w:cantSplit/>
        </w:trPr>
        <w:tc>
          <w:tcPr>
            <w:tcW w:type="dxa" w:w="1300"/>
            <w:tcMar>
              <w:top w:w="50" w:type="dxa"/>
              <w:left w:w="100" w:type="dxa"/>
              <w:bottom w:w="50" w:type="dxa"/>
              <w:right w:w="100" w:type="dxa"/>
            </w:tcMar>
          </w:tcPr>
          <w:p>
            <w:pPr>
              <w:spacing w:after="0"/>
            </w:pPr>
            <w:r>
              <w:rPr>
                <w:sz w:val="18"/>
                <w:szCs w:val="18"/>
              </w:rPr>
              <w:t>1.6 draft</w:t>
            </w:r>
          </w:p>
        </w:tc>
        <w:tc>
          <w:tcPr>
            <w:tcW w:type="dxa" w:w="1700"/>
            <w:tcMar>
              <w:top w:w="50" w:type="dxa"/>
              <w:left w:w="100" w:type="dxa"/>
              <w:bottom w:w="50" w:type="dxa"/>
              <w:right w:w="100" w:type="dxa"/>
            </w:tcMar>
          </w:tcPr>
          <w:p>
            <w:pPr>
              <w:spacing w:after="0"/>
            </w:pPr>
            <w:r>
              <w:rPr>
                <w:sz w:val="18"/>
                <w:szCs w:val="18"/>
              </w:rPr>
              <w:t>3 October 2026</w:t>
            </w:r>
          </w:p>
        </w:tc>
        <w:tc>
          <w:tcPr>
            <w:tcW w:type="dxa" w:w="6360"/>
            <w:tcMar>
              <w:top w:w="50" w:type="dxa"/>
              <w:left w:w="100" w:type="dxa"/>
              <w:bottom w:w="50" w:type="dxa"/>
              <w:right w:w="100" w:type="dxa"/>
            </w:tcMar>
          </w:tcPr>
          <w:p>
            <w:pPr>
              <w:spacing w:after="0"/>
            </w:pPr>
            <w:r>
              <w:rPr>
                <w:sz w:val="18"/>
                <w:szCs w:val="18"/>
              </w:rPr>
              <w:t>v3.9.7: worked example 3 (Internal Minute-Summariser) aligned to the reworded Fast-Track Q2: meeting notes hold staff names, so it no longer says “no personal data”; its evidence now shows screening by reference and the Gate 0, 6 and 7 plan for a Light-touch new use (UC-0231-02) of an already approved system with no new investment. Proposed — for Council confirmation.</w:t>
            </w:r>
          </w:p>
        </w:tc>
      </w:tr>
      <w:tr>
        <w:trPr>
          <w:cantSplit/>
        </w:trPr>
        <w:tc>
          <w:tcPr>
            <w:tcW w:type="dxa" w:w="1300"/>
            <w:tcMar>
              <w:top w:w="50" w:type="dxa"/>
              <w:left w:w="100" w:type="dxa"/>
              <w:bottom w:w="50" w:type="dxa"/>
              <w:right w:w="100" w:type="dxa"/>
            </w:tcMar>
          </w:tcPr>
          <w:p>
            <w:pPr>
              <w:spacing w:after="0"/>
            </w:pPr>
            <w:r>
              <w:rPr>
                <w:sz w:val="18"/>
                <w:szCs w:val="18"/>
              </w:rPr>
              <w:t>1.7 draft</w:t>
            </w:r>
          </w:p>
        </w:tc>
        <w:tc>
          <w:tcPr>
            <w:tcW w:type="dxa" w:w="1700"/>
            <w:tcMar>
              <w:top w:w="50" w:type="dxa"/>
              <w:left w:w="100" w:type="dxa"/>
              <w:bottom w:w="50" w:type="dxa"/>
              <w:right w:w="100" w:type="dxa"/>
            </w:tcMar>
          </w:tcPr>
          <w:p>
            <w:pPr>
              <w:spacing w:after="0"/>
            </w:pPr>
            <w:r>
              <w:rPr>
                <w:sz w:val="18"/>
                <w:szCs w:val="18"/>
              </w:rPr>
              <w:t>3 October 2026</w:t>
            </w:r>
          </w:p>
        </w:tc>
        <w:tc>
          <w:tcPr>
            <w:tcW w:type="dxa" w:w="6360"/>
            <w:tcMar>
              <w:top w:w="50" w:type="dxa"/>
              <w:left w:w="100" w:type="dxa"/>
              <w:bottom w:w="50" w:type="dxa"/>
              <w:right w:w="100" w:type="dxa"/>
            </w:tcMar>
          </w:tcPr>
          <w:p>
            <w:pPr>
              <w:spacing w:after="0"/>
            </w:pPr>
            <w:r>
              <w:rPr>
                <w:sz w:val="18"/>
                <w:szCs w:val="18"/>
              </w:rPr>
              <w:t>v3.9.8: every decision block (template and worked examples) adds the screening line the decision-maker ticks, matching AIG-DEC-03 and AIG-DEC-04 column X; worked example 3 cites the screening Evidence IDs and the 12-month test (Playbook §4.6). Proposed — for Council confirmation.</w:t>
            </w:r>
          </w:p>
        </w:tc>
      </w:tr>
      <w:tr>
        <w:trPr>
          <w:cantSplit/>
        </w:trPr>
        <w:tc>
          <w:tcPr>
            <w:tcW w:type="dxa" w:w="1300"/>
            <w:tcMar>
              <w:top w:w="50" w:type="dxa"/>
              <w:left w:w="100" w:type="dxa"/>
              <w:bottom w:w="50" w:type="dxa"/>
              <w:right w:w="100" w:type="dxa"/>
            </w:tcMar>
          </w:tcPr>
          <w:p>
            <w:pPr>
              <w:spacing w:after="0"/>
            </w:pPr>
            <w:r>
              <w:rPr>
                <w:sz w:val="18"/>
                <w:szCs w:val="18"/>
              </w:rPr>
              <w:t>1.8 draft</w:t>
            </w:r>
          </w:p>
        </w:tc>
        <w:tc>
          <w:tcPr>
            <w:tcW w:type="dxa" w:w="1700"/>
            <w:tcMar>
              <w:top w:w="50" w:type="dxa"/>
              <w:left w:w="100" w:type="dxa"/>
              <w:bottom w:w="50" w:type="dxa"/>
              <w:right w:w="100" w:type="dxa"/>
            </w:tcMar>
          </w:tcPr>
          <w:p>
            <w:pPr>
              <w:spacing w:after="0"/>
            </w:pPr>
            <w:r>
              <w:rPr>
                <w:sz w:val="18"/>
                <w:szCs w:val="18"/>
              </w:rPr>
              <w:t>12 October 2026: v3.9.10: standards cross-reference note cites the 58-entry requirement inventory (AIG-AIMS-05 REQ-057 DAMA-DMBOK and REQ-058 ISO/IEC 5259, added as voluntary data governance references).</w:t>
            </w:r>
          </w:p>
        </w:tc>
        <w:tc>
          <w:tcPr>
            <w:tcW w:type="dxa" w:w="6360"/>
            <w:tcMar>
              <w:top w:w="50" w:type="dxa"/>
              <w:left w:w="100" w:type="dxa"/>
              <w:bottom w:w="50" w:type="dxa"/>
              <w:right w:w="100" w:type="dxa"/>
            </w:tcMar>
          </w:tcPr>
          <w:p>
            <w:pPr>
              <w:spacing w:after="0"/>
            </w:pPr>
            <w:r>
              <w:rPr>
                <w:sz w:val="18"/>
                <w:szCs w:val="18"/>
              </w:rPr>
              <w:t>v3.9.8: every decision block (template and worked examples) adds the screening line the decision-maker ticks, matching AIG-DEC-03 and AIG-DEC-04 column X; worked example 3 cites the screening Evidence IDs and the 12-month test (Playbook §4.6). Proposed — for Council confirmation.</w:t>
            </w:r>
          </w:p>
        </w:tc>
      </w:tr>
    </w:tbl>
    <w:p>
      <w:pPr>
        <w:spacing w:after="60"/>
      </w:pPr>
      <w:r>
        <w:rPr>
          <w:rFonts w:ascii="Arial" w:cs="Arial" w:eastAsia="Arial" w:hAnsi="Arial"/>
          <w:sz w:val="6"/>
          <w:szCs w:val="6"/>
        </w:rPr>
      </w:r>
    </w:p>
    <w:p>
      <w:pPr/>
      <w:r>
        <w:t>Proposed context pointer — AIG-INV-05</w:t>
      </w:r>
    </w:p>
    <w:p>
      <w:pPr/>
      <w:r>
        <w:t xml:space="preserve">When useful, the decision paper may include a dated AIG-INV-05 context pointer (version, AIR-ID, UC-ID/CAP-ID or relationship Edge ID) to explain the service outcome and system boundary. State whether links are proposed or verified and identify the source/as-at date. Do not count map edges as approved capability, permission or evidence of completed assessment. The paper remains a recommendation; the AIG-DEC-03/minutes record the decision, AIG-DEC-04 records the actual event/conditions, and AIG-INV-04 holds current state.</w:t>
      </w:r>
    </w:p>
    <w:p>
      <w:r>
        <w:rPr>
          <w:b/>
          <w:sz w:val="32"/>
        </w:rPr>
        <w:t>Proposed integration annex — AIG-INV-04 / AIG-DEC-03 / minutes / AIG-DEC-04 / AIG-OPS-02</w:t>
      </w:r>
    </w:p>
    <w:p>
      <w:r>
        <w:t>Status and boundary. Proposed integration text for Council review only; it does not amend the original template, constitute an approval, or populate a live system record. The existing decision paper remains a pre-meeting recommendation. The native Governance Decision Record (AIG-DEC-03) records the reasoned decision, the native meeting minutes record the forum proceedings, and AIG-DEC-04 records the dated gate event and event-linked conditions. AIG-OPS-02 records post-deployment monitoring evidence.</w:t>
      </w:r>
    </w:p>
    <w:p>
      <w:r>
        <w:rPr>
          <w:b/>
          <w:sz w:val="26"/>
        </w:rPr>
        <w:t>Record linkage and provenance</w:t>
      </w:r>
    </w:p>
    <w:p>
      <w:r>
        <w:t>Use the governance-issued AIR-ID as the system key. A paper should point to the applicable native AIG-INV-04 AI Register record and its Evidence index entry; cite the AIG-DEC-03 decision-record ID and native meeting/minute reference; and, after the forum has acted, link the AIG-DEC-04 Event ID and relevant condition reference. Monitoring claims must point to the AIG-OPS-02 monitoring record and sample method. Use AIG-INV-04 Evidence index as the native evidence index, not as a substitute for the referenced evidence or decision.</w:t>
      </w:r>
    </w:p>
    <w:p>
      <w:r>
        <w:t>• For every material statement or evidence pointer, record the source artefact/record ID, source sheet and row (or document section), source version, evidence/decision date where applicable, and source as-of or snapshot date. Preserve a stable location/link where permitted.</w:t>
      </w:r>
    </w:p>
    <w:p>
      <w:r>
        <w:t>• Identify evidence as current, superseded, under review, or unavailable only from the native record. Missing source row/version/as-of information stays visibly missing and is escalated for verification; it is not supplied by assumption.</w:t>
      </w:r>
    </w:p>
    <w:p>
      <w:r>
        <w:t>• A blank numeric field is not zero; a missing threshold, risk score, sample, date or result is not evidence of no risk, no activity, compliance or approval. Distinguish zero observed, unknown/not supplied, and not applicable.</w:t>
      </w:r>
    </w:p>
    <w:p>
      <w:r>
        <w:t>• Show status and provenance as at a stated snapshot date. Separate planned gates from completed events, and proposed conditions from conditions actually imposed in the AIG-DEC-04 event. Do not treat the paper or a proposed recommendation as a decision.</w:t>
      </w:r>
    </w:p>
    <w:p>
      <w:r>
        <w:rPr>
          <w:b/>
          <w:sz w:val="26"/>
        </w:rPr>
        <w:t>Reporting and audit sampling</w:t>
      </w:r>
    </w:p>
    <w:p>
      <w:r>
        <w:t>For portfolio or committee reporting, identify the snapshot date and reporting period, define the population, exclusions, numerator and denominator, and disclose missing/unknown/not-applicable records separately. Reconcile the report to AIG-INV-04 Core and Assurance data, AIG-DEC-03 decisions and native minutes, AIG-DEC-04 planned gates versus dated events and condition status, and AIG-OPS-02 monitoring records. A summary value must be traceable to source record IDs and rows; plans do not count as completed decisions.</w:t>
      </w:r>
    </w:p>
    <w:p>
      <w:r>
        <w:t>For assurance or internal audit, sample from the native records rather than relying solely on this paper or derived reports. Record the sampling frame and population size, selection method (including reproducible random method/seed or targeted rationale), source version/as-of date, and each AIR-ID and native record/row sampled. Trace decisions to AIG-DEC-03 and minutes, events and conditions to AIG-DEC-04, and live outcomes to AIG-OPS-02 and its documented sample population. Record exceptions as findings or gaps, never as zero. AIG-AIMS-07 governs audit planning, independence, evidence and follow-up.</w:t>
      </w:r>
    </w:p>
    <w:p>
      <w:r>
        <w:rPr>
          <w:b/>
          <w:sz w:val="26"/>
        </w:rPr>
        <w:t>Authoritative and suite references</w:t>
      </w:r>
    </w:p>
    <w:p>
      <w:r>
        <w:t>• Council suite references (controlled records; draft status must be checked): AIG-INV-04 AI Register, including its native Evidence index; AIG-DEC-03 Governance Decision Record; AIG-GOV-06 Terms of Reference; AIG-AIMS-07 Internal Audit Programme and Procedure; AIG-DEC-04 AI Governance Gate Log; AIG-OPS-02 Post-Deployment Monitoring and Review Log; AIG-AIMS-13 Source Assurance and Traceability Register.</w:t>
      </w:r>
    </w:p>
    <w:p>
      <w:r>
        <w:t>• ISO/IEC 42001:2023, Artificial intelligence management systems — clause 9.1 monitoring, measurement, analysis and evaluation; 9.2 internal audit; 7.5 documented information. Validate clause interpretation against the Council’s licensed copy. Official standard record: https://www.iso.org/standard/81230.html</w:t>
      </w:r>
    </w:p>
    <w:p>
      <w:r>
        <w:t>• Local Government Act 1972, including section 101 (delegation), as amended: https://www.legislation.gov.uk/ukpga/1972/70/contents. Decision authority and delegations must be confirmed against the current Council Constitution and Scheme of Delegation by the appropriate Council officers.</w:t>
      </w:r>
    </w:p>
    <w:p>
      <w:r>
        <w:t>• AIG-AIMS-13 is the Council’s traceability ledger and points to authoritative sources; its status/currentness and each source row’s verification date must be checked before use. This annex does not independently verify legal status or create Council authority.</w:t>
      </w:r>
    </w:p>
    <w:p>
      <w:r>
        <w:t>Open items for adoption: Council owners to confirm the AIR-ID / Event ID / Condition reference conventions and the native minutes locator; approve a reporting snapshot and sampling protocol; identify authorised locations for evidence links; and confirm delegation and licensed-standard interpretation. No values, decision, approval or source verification are created by this annex.</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REQ-013 — Local Government Act 1972 (including section 101) and The Council’s constitution and scheme of delegation</w:t>
            </w:r>
          </w:p>
        </w:tc>
        <w:tc>
          <w:tcPr>
            <w:tcW w:type="dxa" w:w="3213"/>
          </w:tcPr>
          <w:p>
            <w:r>
              <w:t>For actual Council decision/approval, verify the current Constitution and delegation.</w:t>
            </w:r>
          </w:p>
        </w:tc>
        <w:tc>
          <w:tcPr>
            <w:tcW w:type="dxa" w:w="3213"/>
          </w:tcPr>
          <w:p>
            <w:r>
              <w:t>https://www.legislation.gov.uk/ukpga/1972/70/contents</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bl>
    <w:sectPr>
      <w:headerReference w:type="default" r:id="rId101"/>
      <w:footerReference w:type="default" r:id="rId100"/>
      <w:footerReference w:type="first" r:id="rId100"/>
      <w:footerReference w:type="even" r:id="rId100"/>
      <w:headerReference w:type="first" r:id="rId8"/>
      <w:headerReference w:type="even"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AIG-DEC-02  ·  v1.8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pBdr>
        <w:bottom w:val="single" w:sz="4" w:space="7" w:color="DCE3EA"/>
      </w:pBdr>
      <w:spacing w:after="0"/>
      <w:jc w:val="right"/>
    </w:pPr>
    <w:r>
      <w:rPr>
        <w:rFonts w:ascii="Arial" w:hAnsi="Arial"/>
        <w:color w:val="536072"/>
        <w:sz w:val="17"/>
      </w:rPr>
      <w:t>The Council — Decision-Ready Paper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footer" Target="footer1.xml"/><Relationship Id="rId101"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AIG-DEC-02 Decision-Ready Paper</dc:title>
  <dc:subject>The Council AI governance suite v3.9.9</dc:subject>
  <dc:creator>AI Governance Lead</dc:creator>
  <cp:keywords>OFFICIAL; AI governance; draft for Council review</cp:keywords>
  <dc:description>Draft for Council review; not approved.</dc:description>
  <cp:lastModifiedBy>AI Governance Lead</cp:lastModifiedBy>
  <cp:revision>1</cp:revision>
  <dcterms:created xsi:type="dcterms:W3CDTF">2026-08-30T15:55:42.673Z</dcterms:created>
  <dcterms:modified xsi:type="dcterms:W3CDTF">2026-10-01T12:00:00Z</dcterms:modified>
  <cp:category>AI governance</cp:category>
  <cp:contentStatus>Draft for Council review</cp:contentStatus>
  <cp:version>1.7 draft</cp:version>
  <dc:language>en-GB</dc:language>
</cp:coreProperties>
</file>

<file path=docProps/custom.xml><?xml version="1.0" encoding="utf-8"?>
<Properties xmlns="http://schemas.openxmlformats.org/officeDocument/2006/custom-properties" xmlns:vt="http://schemas.openxmlformats.org/officeDocument/2006/docPropsVTypes"/>
</file>