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000000"/>
          <w:sz w:val="34"/>
        </w:rPr>
        <w:t>AI Governance Implementation Suite</w:t>
      </w:r>
    </w:p>
    <w:p>
      <w:r>
        <w:rPr>
          <w:b/>
        </w:rPr>
        <w:t>README and artefact directory</w:t>
      </w:r>
    </w:p>
    <w:p>
      <w:pPr/>
      <w:r>
        <w:rPr>
          <w:color w:val="505E6E"/>
        </w:rPr>
        <w:t xml:space="preserve">Draft for Council review  •  AIG-GOV-01  •  Version 1.3</w:t>
      </w:r>
      <w:r>
        <w:rPr>
          <w:color w:val="505E6E"/>
        </w:rPr>
        <w:t xml:space="preserve">7</w:t>
      </w:r>
      <w:r>
        <w:rPr>
          <w:color w:val="505E6E"/>
        </w:rPr>
        <w:t xml:space="preserve"> draft  •  Suite release v3.9.1</w:t>
      </w:r>
      <w:r>
        <w:rPr>
          <w:color w:val="505E6E"/>
        </w:rPr>
        <w:t xml:space="preserve">1</w:t>
      </w:r>
      <w:r>
        <w:rPr>
          <w:color w:val="505E6E"/>
        </w:rPr>
        <w:t xml:space="preserve">  •  OFFICIAL</w:t>
      </w:r>
    </w:p>
    <w:p>
      <w:r>
        <w:t>This README shows the route into governance and identifies the current suite files. The playbook explains the operating model; the artefacts provide its forms and controlled records. This proposed suite is not yet adopted or effective.</w:t>
      </w:r>
    </w:p>
    <w:p>
      <w:pPr>
        <w:pStyle w:val="Heading1"/>
      </w:pPr>
      <w:r>
        <w:t>Start here</w:t>
      </w:r>
    </w:p>
    <w:p>
      <w:pPr>
        <w:ind w:left="173"/>
      </w:pPr>
      <w:r>
        <w:rPr>
          <w:b/>
        </w:rPr>
        <w:t xml:space="preserve">1. Discover and intake. </w:t>
      </w:r>
      <w:r>
        <w:t>Use AIG-INV-03 to describe the system and each materially distinct use (UC-ID). AIG-INV-02 is a separate eligibility screen where applicable.</w:t>
      </w:r>
    </w:p>
    <w:p>
      <w:pPr>
        <w:ind w:left="173"/>
      </w:pPr>
      <w:r>
        <w:rPr>
          <w:b/>
        </w:rPr>
        <w:t xml:space="preserve">2. Register. </w:t>
      </w:r>
      <w:r>
        <w:t>The governance steward creates or reconciles one stable system AIR-ID in AIG-INV-04.</w:t>
      </w:r>
    </w:p>
    <w:p>
      <w:pPr>
        <w:ind w:left="173"/>
      </w:pPr>
      <w:r>
        <w:rPr>
          <w:b/>
        </w:rPr>
        <w:t xml:space="preserve">3. Assess. </w:t>
      </w:r>
      <w:r>
        <w:t>Route priority, risk and specialist evidence by UC-ID; reuse shared system evidence only where applicable.</w:t>
      </w:r>
    </w:p>
    <w:p>
      <w:pPr>
        <w:ind w:left="173"/>
      </w:pPr>
      <w:r>
        <w:rPr>
          <w:b/>
        </w:rPr>
        <w:t xml:space="preserve">4. Decide and gate. </w:t>
      </w:r>
      <w:r>
        <w:t>The competent delegated authority records the outcome, permitted scope and conditions for each UC-ID in AIG-DEC-03 or approved minutes. AIG-DEC-04 records the dated event.</w:t>
      </w:r>
    </w:p>
    <w:p>
      <w:pPr>
        <w:ind w:left="173"/>
      </w:pPr>
      <w:r>
        <w:rPr>
          <w:b/>
        </w:rPr>
        <w:t xml:space="preserve">5. Operate and monitor. </w:t>
      </w:r>
      <w:r>
        <w:t>AIG-OPS-01 checks readiness against each current use-specific decision. AIG-OPS-02 holds monitoring evidence for live uses.</w:t>
      </w:r>
    </w:p>
    <w:p>
      <w:r>
        <w:t>The AIR-ID identifies the system; the UC-ID identifies a materially distinct use. System registration, a map or an assurance opinion is not blanket approval. AIG-INV-05 describes use-to-capability and system relationships; it grants no access or decision authority.</w:t>
      </w:r>
    </w:p>
    <w:p>
      <w:r>
        <w:t>Service Owners supply intake facts and assigned evidence. Governance maintains the Register, Gate Log and evidence pointers. The Assurance Board gives an assurance opinion; only the competent delegated authority makes the use-specific decision. Capture evidence once and refer to its controlled source.</w:t>
      </w:r>
    </w:p>
    <w:p>
      <w:pPr>
        <w:pStyle w:val="Heading1"/>
      </w:pPr>
      <w:r>
        <w:t>Artefact directory</w:t>
      </w:r>
    </w:p>
    <w:p>
      <w:r>
        <w:t>IDs below match the AIG-labelled files in the current source bundle. Use AIG-GOV-03 for the detailed lifecycle and ownership index. Only the artefacts triggered by the route need to be completed for a given use.</w:t>
      </w:r>
    </w:p>
    <w:p>
      <w:pPr>
        <w:pStyle w:val="Heading2"/>
      </w:pPr>
      <w:r>
        <w:t>Governance</w:t>
      </w:r>
    </w:p>
    <w:tbl>
      <w:tblPr>
        <w:tblW w:type="auto" w:w="0"/>
        <w:jc w:val="center"/>
        <w:tblLayout w:type="fixed"/>
        <w:tblLook w:firstColumn="1" w:firstRow="1" w:lastColumn="0" w:lastRow="0" w:noHBand="0" w:noVBand="1" w:val="04A0"/>
      </w:tblPr>
      <w:tblGrid>
        <w:gridCol w:w="3672"/>
        <w:gridCol w:w="5990"/>
      </w:tblGrid>
      <w:tr>
        <w:trPr>
          <w:tblHeader w:val="true"/>
        </w:trPr>
        <w:tc>
          <w:tcPr>
            <w:tcW w:type="dxa" w:w="3672"/>
            <w:shd w:fill="0A2342"/>
            <w:tcMar>
              <w:top w:w="70" w:type="dxa"/>
              <w:start w:w="90" w:type="dxa"/>
              <w:bottom w:w="70" w:type="dxa"/>
              <w:end w:w="90" w:type="dxa"/>
            </w:tcMar>
            <w:tcBorders>
              <w:top w:val="single" w:sz="4" w:color="D9D9D9"/>
              <w:left w:val="single" w:sz="4" w:color="D9D9D9"/>
              <w:bottom w:val="single" w:sz="4" w:color="D9D9D9"/>
              <w:right w:val="single" w:sz="4" w:color="D9D9D9"/>
            </w:tcBorders>
          </w:tcPr>
          <w:p>
            <w:r>
              <w:rPr>
                <w:rFonts w:ascii="Arial" w:hAnsi="Arial"/>
                <w:b/>
                <w:color w:val="FFFFFF"/>
                <w:sz w:val="17"/>
              </w:rPr>
              <w:t>ID and artefact</w:t>
            </w:r>
          </w:p>
        </w:tc>
        <w:tc>
          <w:tcPr>
            <w:tcW w:type="dxa" w:w="5990"/>
            <w:shd w:fill="0A2342"/>
            <w:tcMar>
              <w:top w:w="70" w:type="dxa"/>
              <w:start w:w="90" w:type="dxa"/>
              <w:bottom w:w="70" w:type="dxa"/>
              <w:end w:w="90" w:type="dxa"/>
            </w:tcMar>
            <w:tcBorders>
              <w:top w:val="single" w:sz="4" w:color="D9D9D9"/>
              <w:left w:val="single" w:sz="4" w:color="D9D9D9"/>
              <w:bottom w:val="single" w:sz="4" w:color="D9D9D9"/>
              <w:right w:val="single" w:sz="4" w:color="D9D9D9"/>
            </w:tcBorders>
          </w:tcPr>
          <w:p>
            <w:r>
              <w:rPr>
                <w:rFonts w:ascii="Arial" w:hAnsi="Arial"/>
                <w:b/>
                <w:color w:val="FFFFFF"/>
                <w:sz w:val="17"/>
              </w:rPr>
              <w:t>Purpose</w:t>
            </w:r>
          </w:p>
        </w:tc>
      </w:tr>
      <w:tr>
        <w:trPr>
          <w:cantSplit/>
        </w:trPr>
        <w:tc>
          <w:tcPr>
            <w:tcW w:type="dxa" w:w="3672"/>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AIG-GOV-01  README and Artefact Directory</w:t>
            </w:r>
          </w:p>
        </w:tc>
        <w:tc>
          <w:tcPr>
            <w:tcW w:type="dxa" w:w="5990"/>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Start here: bundle status, governance route and current artefact list.</w:t>
            </w:r>
          </w:p>
        </w:tc>
      </w:tr>
      <w:tr>
        <w:trPr>
          <w:cantSplit/>
        </w:trPr>
        <w:tc>
          <w:tcPr>
            <w:tcW w:type="dxa" w:w="367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AIG-GOV-02  AI Governance Playbook</w:t>
            </w:r>
          </w:p>
        </w:tc>
        <w:tc>
          <w:tcPr>
            <w:tcW w:type="dxa" w:w="599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The full framework: 7 chapters, Appendices A–F and proposed Annex G, including Appendix D: Framework Alignment Mapping</w:t>
            </w:r>
          </w:p>
        </w:tc>
      </w:tr>
      <w:tr>
        <w:trPr>
          <w:cantSplit/>
        </w:trPr>
        <w:tc>
          <w:tcPr>
            <w:tcW w:type="dxa" w:w="3672"/>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AIG-GOV-03  AI Governance Artefact Index</w:t>
            </w:r>
          </w:p>
        </w:tc>
        <w:tc>
          <w:tcPr>
            <w:tcW w:type="dxa" w:w="5990"/>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Map of every artefact to its Playbook section, lifecycle stage, document owner and current version</w:t>
            </w:r>
          </w:p>
        </w:tc>
      </w:tr>
      <w:tr>
        <w:trPr>
          <w:cantSplit/>
        </w:trPr>
        <w:tc>
          <w:tcPr>
            <w:tcW w:type="dxa" w:w="367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AIG-GOV-04  AIMS Leadership Commitment Statement</w:t>
            </w:r>
          </w:p>
        </w:tc>
        <w:tc>
          <w:tcPr>
            <w:tcW w:type="dxa" w:w="599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Clause 5.1: top management’s documented commitment to the AI management system and to responsible AI, and the leadership responsibilities that follow.</w:t>
            </w:r>
          </w:p>
        </w:tc>
      </w:tr>
      <w:tr>
        <w:trPr>
          <w:cantSplit/>
        </w:trPr>
        <w:tc>
          <w:tcPr>
            <w:tcW w:type="dxa" w:w="3672"/>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AIG-GOV-05  AI Policy Statement</w:t>
            </w:r>
          </w:p>
        </w:tc>
        <w:tc>
          <w:tcPr>
            <w:tcW w:type="dxa" w:w="5990"/>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Clause 5.2: the controlled AI policy commitments (framework for objectives, applicable requirements, continual improvement).</w:t>
            </w:r>
          </w:p>
        </w:tc>
      </w:tr>
      <w:tr>
        <w:trPr>
          <w:cantSplit/>
        </w:trPr>
        <w:tc>
          <w:tcPr>
            <w:tcW w:type="dxa" w:w="367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AIG-GOV-06  AI Governance Terms of Reference</w:t>
            </w:r>
          </w:p>
        </w:tc>
        <w:tc>
          <w:tcPr>
            <w:tcW w:type="dxa" w:w="599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Remit, membership, quorum and decision rights for the AI Assurance Board and Working Group (§3.4)</w:t>
            </w:r>
          </w:p>
        </w:tc>
      </w:tr>
    </w:tbl>
    <w:p>
      <w:pPr>
        <w:spacing w:after="0"/>
      </w:pPr>
    </w:p>
    <w:p>
      <w:pPr>
        <w:pStyle w:val="Heading2"/>
      </w:pPr>
      <w:r>
        <w:t>Discovery and inventory</w:t>
      </w:r>
    </w:p>
    <w:tbl>
      <w:tblPr>
        <w:tblW w:type="auto" w:w="0"/>
        <w:jc w:val="center"/>
        <w:tblLayout w:type="fixed"/>
        <w:tblLook w:firstColumn="1" w:firstRow="1" w:lastColumn="0" w:lastRow="0" w:noHBand="0" w:noVBand="1" w:val="04A0"/>
      </w:tblPr>
      <w:tblGrid>
        <w:gridCol w:w="3672"/>
        <w:gridCol w:w="5990"/>
      </w:tblGrid>
      <w:tr>
        <w:trPr>
          <w:tblHeader w:val="true"/>
        </w:trPr>
        <w:tc>
          <w:tcPr>
            <w:tcW w:type="dxa" w:w="3672"/>
            <w:shd w:fill="0A2342"/>
            <w:tcMar>
              <w:top w:w="70" w:type="dxa"/>
              <w:start w:w="90" w:type="dxa"/>
              <w:bottom w:w="70" w:type="dxa"/>
              <w:end w:w="90" w:type="dxa"/>
            </w:tcMar>
            <w:tcBorders>
              <w:top w:val="single" w:sz="4" w:color="D9D9D9"/>
              <w:left w:val="single" w:sz="4" w:color="D9D9D9"/>
              <w:bottom w:val="single" w:sz="4" w:color="D9D9D9"/>
              <w:right w:val="single" w:sz="4" w:color="D9D9D9"/>
            </w:tcBorders>
          </w:tcPr>
          <w:p>
            <w:r>
              <w:rPr>
                <w:rFonts w:ascii="Arial" w:hAnsi="Arial"/>
                <w:b/>
                <w:color w:val="FFFFFF"/>
                <w:sz w:val="17"/>
              </w:rPr>
              <w:t>ID and artefact</w:t>
            </w:r>
          </w:p>
        </w:tc>
        <w:tc>
          <w:tcPr>
            <w:tcW w:type="dxa" w:w="5990"/>
            <w:shd w:fill="0A2342"/>
            <w:tcMar>
              <w:top w:w="70" w:type="dxa"/>
              <w:start w:w="90" w:type="dxa"/>
              <w:bottom w:w="70" w:type="dxa"/>
              <w:end w:w="90" w:type="dxa"/>
            </w:tcMar>
            <w:tcBorders>
              <w:top w:val="single" w:sz="4" w:color="D9D9D9"/>
              <w:left w:val="single" w:sz="4" w:color="D9D9D9"/>
              <w:bottom w:val="single" w:sz="4" w:color="D9D9D9"/>
              <w:right w:val="single" w:sz="4" w:color="D9D9D9"/>
            </w:tcBorders>
          </w:tcPr>
          <w:p>
            <w:r>
              <w:rPr>
                <w:rFonts w:ascii="Arial" w:hAnsi="Arial"/>
                <w:b/>
                <w:color w:val="FFFFFF"/>
                <w:sz w:val="17"/>
              </w:rPr>
              <w:t>Purpose</w:t>
            </w:r>
          </w:p>
        </w:tc>
      </w:tr>
      <w:tr>
        <w:trPr>
          <w:cantSplit/>
        </w:trPr>
        <w:tc>
          <w:tcPr>
            <w:tcW w:type="dxa" w:w="3672"/>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AIG-INV-01  Staff Guide to Registering and Governing AI</w:t>
            </w:r>
          </w:p>
        </w:tc>
        <w:tc>
          <w:tcPr>
            <w:tcW w:type="dxa" w:w="5990"/>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Quick entry guide for all staff, followed by a practical Service Owner guide to intake, route and safe operation (§5.4)</w:t>
            </w:r>
          </w:p>
        </w:tc>
      </w:tr>
      <w:tr>
        <w:trPr>
          <w:cantSplit/>
        </w:trPr>
        <w:tc>
          <w:tcPr>
            <w:tcW w:type="dxa" w:w="367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AIG-INV-02  AI Fast-Track Screening</w:t>
            </w:r>
          </w:p>
        </w:tc>
        <w:tc>
          <w:tcPr>
            <w:tcW w:type="dxa" w:w="599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Conservative pre-triage screen; any Yes/Unsure routes to full Intake, and action capability routes to Agentic Triage. Light-touch requires all-No plus AI Governance Lead validation.</w:t>
            </w:r>
          </w:p>
        </w:tc>
      </w:tr>
      <w:tr>
        <w:trPr>
          <w:cantSplit/>
        </w:trPr>
        <w:tc>
          <w:tcPr>
            <w:tcW w:type="dxa" w:w="3672"/>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AIG-INV-03  AI Intake Form</w:t>
            </w:r>
          </w:p>
        </w:tc>
        <w:tc>
          <w:tcPr>
            <w:tcW w:type="dxa" w:w="5990"/>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First entry of an AI use case into governance (§3.8)</w:t>
            </w:r>
          </w:p>
        </w:tc>
      </w:tr>
      <w:tr>
        <w:trPr>
          <w:cantSplit/>
        </w:trPr>
        <w:tc>
          <w:tcPr>
            <w:tcW w:type="dxa" w:w="367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AIG-INV-04  AI Register</w:t>
            </w:r>
          </w:p>
        </w:tc>
        <w:tc>
          <w:tcPr>
            <w:tcW w:type="dxa" w:w="599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Separate current-state system record: AIR-ID, identity, lifecycle/current status and current assessment summary; source pointers remain in its evidence index. Not gate history.</w:t>
            </w:r>
          </w:p>
        </w:tc>
      </w:tr>
      <w:tr>
        <w:trPr>
          <w:cantSplit/>
        </w:trPr>
        <w:tc>
          <w:tcPr>
            <w:tcW w:type="dxa" w:w="3672"/>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AIG-INV-05  Capabilities and System Map</w:t>
            </w:r>
          </w:p>
        </w:tc>
        <w:tc>
          <w:tcPr>
            <w:tcW w:type="dxa" w:w="5990"/>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 xml:space="preserve">Proposed descriptive map linking UC-ID, capability and system/component references, with a Dependency concentration view (Proposed — for Council confirmation); not approval or access authority.</w:t>
            </w:r>
          </w:p>
        </w:tc>
      </w:tr>
    </w:tbl>
    <w:p>
      <w:pPr>
        <w:spacing w:after="0"/>
      </w:pPr>
    </w:p>
    <w:p>
      <w:pPr>
        <w:pStyle w:val="Heading2"/>
      </w:pPr>
      <w:r>
        <w:t>Assessment</w:t>
      </w:r>
    </w:p>
    <w:tbl>
      <w:tblPr>
        <w:tblW w:type="auto" w:w="0"/>
        <w:jc w:val="center"/>
        <w:tblLayout w:type="fixed"/>
        <w:tblLook w:firstColumn="1" w:firstRow="1" w:lastColumn="0" w:lastRow="0" w:noHBand="0" w:noVBand="1" w:val="04A0"/>
      </w:tblPr>
      <w:tblGrid>
        <w:gridCol w:w="3672"/>
        <w:gridCol w:w="5990"/>
      </w:tblGrid>
      <w:tr>
        <w:trPr>
          <w:tblHeader w:val="true"/>
        </w:trPr>
        <w:tc>
          <w:tcPr>
            <w:tcW w:type="dxa" w:w="3672"/>
            <w:shd w:fill="0A2342"/>
            <w:tcMar>
              <w:top w:w="70" w:type="dxa"/>
              <w:start w:w="90" w:type="dxa"/>
              <w:bottom w:w="70" w:type="dxa"/>
              <w:end w:w="90" w:type="dxa"/>
            </w:tcMar>
            <w:tcBorders>
              <w:top w:val="single" w:sz="4" w:color="D9D9D9"/>
              <w:left w:val="single" w:sz="4" w:color="D9D9D9"/>
              <w:bottom w:val="single" w:sz="4" w:color="D9D9D9"/>
              <w:right w:val="single" w:sz="4" w:color="D9D9D9"/>
            </w:tcBorders>
          </w:tcPr>
          <w:p>
            <w:r>
              <w:rPr>
                <w:rFonts w:ascii="Arial" w:hAnsi="Arial"/>
                <w:b/>
                <w:color w:val="FFFFFF"/>
                <w:sz w:val="17"/>
              </w:rPr>
              <w:t>ID and artefact</w:t>
            </w:r>
          </w:p>
        </w:tc>
        <w:tc>
          <w:tcPr>
            <w:tcW w:type="dxa" w:w="5990"/>
            <w:shd w:fill="0A2342"/>
            <w:tcMar>
              <w:top w:w="70" w:type="dxa"/>
              <w:start w:w="90" w:type="dxa"/>
              <w:bottom w:w="70" w:type="dxa"/>
              <w:end w:w="90" w:type="dxa"/>
            </w:tcMar>
            <w:tcBorders>
              <w:top w:val="single" w:sz="4" w:color="D9D9D9"/>
              <w:left w:val="single" w:sz="4" w:color="D9D9D9"/>
              <w:bottom w:val="single" w:sz="4" w:color="D9D9D9"/>
              <w:right w:val="single" w:sz="4" w:color="D9D9D9"/>
            </w:tcBorders>
          </w:tcPr>
          <w:p>
            <w:r>
              <w:rPr>
                <w:rFonts w:ascii="Arial" w:hAnsi="Arial"/>
                <w:b/>
                <w:color w:val="FFFFFF"/>
                <w:sz w:val="17"/>
              </w:rPr>
              <w:t>Purpose</w:t>
            </w:r>
          </w:p>
        </w:tc>
      </w:tr>
      <w:tr>
        <w:trPr>
          <w:cantSplit/>
        </w:trPr>
        <w:tc>
          <w:tcPr>
            <w:tcW w:type="dxa" w:w="3672"/>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AIG-ASS-01  AI Governance Priority Index (AGPI) Triage Tool</w:t>
            </w:r>
          </w:p>
        </w:tc>
        <w:tc>
          <w:tcPr>
            <w:tcW w:type="dxa" w:w="5990"/>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 xml:space="preserve">Calculates the governance priority score (§3.9.6): urgency and sequencing of attention, including the Resident/Legal = 5 priority floor</w:t>
            </w:r>
          </w:p>
        </w:tc>
      </w:tr>
      <w:tr>
        <w:trPr>
          <w:cantSplit/>
        </w:trPr>
        <w:tc>
          <w:tcPr>
            <w:tcW w:type="dxa" w:w="367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AIG-ASS-02  AI Risk Assessment Worksheet</w:t>
            </w:r>
          </w:p>
        </w:tc>
        <w:tc>
          <w:tcPr>
            <w:tcW w:type="dxa" w:w="599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 xml:space="preserve">Calculates inherent and residual risk and the governing tier (§4.4), including the trigger and impact floors</w:t>
            </w:r>
          </w:p>
        </w:tc>
      </w:tr>
      <w:tr>
        <w:trPr>
          <w:cantSplit/>
        </w:trPr>
        <w:tc>
          <w:tcPr>
            <w:tcW w:type="dxa" w:w="3672"/>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AIG-ASS-03  AI Governance Checklist</w:t>
            </w:r>
          </w:p>
        </w:tc>
        <w:tc>
          <w:tcPr>
            <w:tcW w:type="dxa" w:w="5990"/>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Required assessment and delegated decision by each UC-ID risk tier (§3.8 / §3.10.1)</w:t>
            </w:r>
          </w:p>
        </w:tc>
      </w:tr>
      <w:tr>
        <w:trPr>
          <w:cantSplit/>
        </w:trPr>
        <w:tc>
          <w:tcPr>
            <w:tcW w:type="dxa" w:w="367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AIG-ASS-04  Responsible AI Assessment</w:t>
            </w:r>
          </w:p>
        </w:tc>
        <w:tc>
          <w:tcPr>
            <w:tcW w:type="dxa" w:w="599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Self-assessment against the eight RAI themes (§4.6.4)</w:t>
            </w:r>
          </w:p>
        </w:tc>
      </w:tr>
      <w:tr>
        <w:trPr>
          <w:cantSplit/>
        </w:trPr>
        <w:tc>
          <w:tcPr>
            <w:tcW w:type="dxa" w:w="3672"/>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AIG-ASS-05  Data Protection Impact Assessment</w:t>
            </w:r>
          </w:p>
        </w:tc>
        <w:tc>
          <w:tcPr>
            <w:tcW w:type="dxa" w:w="5990"/>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Data protection impact assessment (§4.6.1)</w:t>
            </w:r>
          </w:p>
        </w:tc>
      </w:tr>
      <w:tr>
        <w:trPr>
          <w:cantSplit/>
        </w:trPr>
        <w:tc>
          <w:tcPr>
            <w:tcW w:type="dxa" w:w="367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AIG-ASS-06  Equality Impact Assessment</w:t>
            </w:r>
          </w:p>
        </w:tc>
        <w:tc>
          <w:tcPr>
            <w:tcW w:type="dxa" w:w="599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Equality analysis by protected characteristic (§4.6.2)</w:t>
            </w:r>
          </w:p>
        </w:tc>
      </w:tr>
      <w:tr>
        <w:trPr>
          <w:cantSplit/>
        </w:trPr>
        <w:tc>
          <w:tcPr>
            <w:tcW w:type="dxa" w:w="3672"/>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AIG-ASS-07  Human Rights Assessment</w:t>
            </w:r>
          </w:p>
        </w:tc>
        <w:tc>
          <w:tcPr>
            <w:tcW w:type="dxa" w:w="5990"/>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Convention rights assessment (§4.6.3)</w:t>
            </w:r>
          </w:p>
        </w:tc>
      </w:tr>
      <w:tr>
        <w:trPr>
          <w:cantSplit/>
        </w:trPr>
        <w:tc>
          <w:tcPr>
            <w:tcW w:type="dxa" w:w="367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AIG-ASS-08  Supplier AI Due-Diligence Questionnaire</w:t>
            </w:r>
          </w:p>
        </w:tc>
        <w:tc>
          <w:tcPr>
            <w:tcW w:type="dxa" w:w="599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 procurement and supplier assessment (§5.5)</w:t>
            </w:r>
          </w:p>
        </w:tc>
      </w:tr>
      <w:tr>
        <w:trPr>
          <w:cantSplit/>
        </w:trPr>
        <w:tc>
          <w:tcPr>
            <w:tcW w:type="dxa" w:w="3672"/>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AIG-ASS-09  AI Model Card</w:t>
            </w:r>
          </w:p>
        </w:tc>
        <w:tc>
          <w:tcPr>
            <w:tcW w:type="dxa" w:w="5990"/>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Per-model documentation (Appendix A.4)</w:t>
            </w:r>
          </w:p>
        </w:tc>
      </w:tr>
      <w:tr>
        <w:trPr>
          <w:cantSplit/>
        </w:trPr>
        <w:tc>
          <w:tcPr>
            <w:tcW w:type="dxa" w:w="367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AIG-ASS-10  ATRS Record Template</w:t>
            </w:r>
          </w:p>
        </w:tc>
        <w:tc>
          <w:tcPr>
            <w:tcW w:type="dxa" w:w="599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UK algorithmic transparency record drafting (§3.7)</w:t>
            </w:r>
          </w:p>
        </w:tc>
      </w:tr>
      <w:tr>
        <w:trPr>
          <w:cantSplit/>
        </w:trPr>
        <w:tc>
          <w:tcPr>
            <w:tcW w:type="dxa" w:w="3672"/>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AIG-ASS-11  AI Security Review Checklist</w:t>
            </w:r>
          </w:p>
        </w:tc>
        <w:tc>
          <w:tcPr>
            <w:tcW w:type="dxa" w:w="5990"/>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 xml:space="preserve">AI security assurance for High and Critical uses and any action-capable (agentic) use regardless of tier, including a threat model, and an adversarial test before go-live (five test areas, including harmful content and safeguarding) for resident-facing generative AI at Medium (Proposed — for Council confirmation) (§3.10.1–§3.10.2 / §4.3.4)</w:t>
            </w:r>
          </w:p>
        </w:tc>
      </w:tr>
      <w:tr>
        <w:trPr>
          <w:cantSplit/>
        </w:trPr>
        <w:tc>
          <w:tcPr>
            <w:tcW w:type="dxa" w:w="367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AIG-ASS-12  Fundamental Rights Coverage Crosswalk</w:t>
            </w:r>
          </w:p>
        </w:tc>
        <w:tc>
          <w:tcPr>
            <w:tcW w:type="dxa" w:w="599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Design mapping of EU AI Act Article 27(1)(a)–(f) elements to potential evidence locations; not evidence that any element is satisfied and not a substitute for a case-specific FRIA.</w:t>
            </w:r>
          </w:p>
        </w:tc>
      </w:tr>
    </w:tbl>
    <w:p>
      <w:pPr>
        <w:spacing w:after="0"/>
      </w:pPr>
    </w:p>
    <w:p>
      <w:pPr>
        <w:pStyle w:val="Heading2"/>
      </w:pPr>
      <w:r>
        <w:t>Decision and gates</w:t>
      </w:r>
    </w:p>
    <w:tbl>
      <w:tblPr>
        <w:tblW w:type="auto" w:w="0"/>
        <w:jc w:val="center"/>
        <w:tblLayout w:type="fixed"/>
        <w:tblLook w:firstColumn="1" w:firstRow="1" w:lastColumn="0" w:lastRow="0" w:noHBand="0" w:noVBand="1" w:val="04A0"/>
      </w:tblPr>
      <w:tblGrid>
        <w:gridCol w:w="3672"/>
        <w:gridCol w:w="5990"/>
      </w:tblGrid>
      <w:tr>
        <w:trPr>
          <w:tblHeader w:val="true"/>
        </w:trPr>
        <w:tc>
          <w:tcPr>
            <w:tcW w:type="dxa" w:w="3672"/>
            <w:shd w:fill="0A2342"/>
            <w:tcMar>
              <w:top w:w="70" w:type="dxa"/>
              <w:start w:w="90" w:type="dxa"/>
              <w:bottom w:w="70" w:type="dxa"/>
              <w:end w:w="90" w:type="dxa"/>
            </w:tcMar>
            <w:tcBorders>
              <w:top w:val="single" w:sz="4" w:color="D9D9D9"/>
              <w:left w:val="single" w:sz="4" w:color="D9D9D9"/>
              <w:bottom w:val="single" w:sz="4" w:color="D9D9D9"/>
              <w:right w:val="single" w:sz="4" w:color="D9D9D9"/>
            </w:tcBorders>
          </w:tcPr>
          <w:p>
            <w:r>
              <w:rPr>
                <w:rFonts w:ascii="Arial" w:hAnsi="Arial"/>
                <w:b/>
                <w:color w:val="FFFFFF"/>
                <w:sz w:val="17"/>
              </w:rPr>
              <w:t>ID and artefact</w:t>
            </w:r>
          </w:p>
        </w:tc>
        <w:tc>
          <w:tcPr>
            <w:tcW w:type="dxa" w:w="5990"/>
            <w:shd w:fill="0A2342"/>
            <w:tcMar>
              <w:top w:w="70" w:type="dxa"/>
              <w:start w:w="90" w:type="dxa"/>
              <w:bottom w:w="70" w:type="dxa"/>
              <w:end w:w="90" w:type="dxa"/>
            </w:tcMar>
            <w:tcBorders>
              <w:top w:val="single" w:sz="4" w:color="D9D9D9"/>
              <w:left w:val="single" w:sz="4" w:color="D9D9D9"/>
              <w:bottom w:val="single" w:sz="4" w:color="D9D9D9"/>
              <w:right w:val="single" w:sz="4" w:color="D9D9D9"/>
            </w:tcBorders>
          </w:tcPr>
          <w:p>
            <w:r>
              <w:rPr>
                <w:rFonts w:ascii="Arial" w:hAnsi="Arial"/>
                <w:b/>
                <w:color w:val="FFFFFF"/>
                <w:sz w:val="17"/>
              </w:rPr>
              <w:t>Purpose</w:t>
            </w:r>
          </w:p>
        </w:tc>
      </w:tr>
      <w:tr>
        <w:trPr>
          <w:cantSplit/>
        </w:trPr>
        <w:tc>
          <w:tcPr>
            <w:tcW w:type="dxa" w:w="3672"/>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AIG-DEC-01  AI Governance Gate Map</w:t>
            </w:r>
          </w:p>
        </w:tc>
        <w:tc>
          <w:tcPr>
            <w:tcW w:type="dxa" w:w="5990"/>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 xml:space="preserve">Forum/gate routing configuration (§3.4), including the Agentic pathway for action-capable uses (agency-tier minimum pathway; Gate 2 mandatory; Gate 6 grants permitted autonomy), distinct from the proposed AIG-INV-05 Capabilities and System Map.</w:t>
            </w:r>
          </w:p>
        </w:tc>
      </w:tr>
      <w:tr>
        <w:trPr>
          <w:cantSplit/>
        </w:trPr>
        <w:tc>
          <w:tcPr>
            <w:tcW w:type="dxa" w:w="367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AIG-DEC-02  Decision-Ready Paper</w:t>
            </w:r>
          </w:p>
        </w:tc>
        <w:tc>
          <w:tcPr>
            <w:tcW w:type="dxa" w:w="599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One-page brief the deciding forum reads ahead of the meeting (§3.10.4)</w:t>
            </w:r>
          </w:p>
        </w:tc>
      </w:tr>
      <w:tr>
        <w:trPr>
          <w:cantSplit/>
        </w:trPr>
        <w:tc>
          <w:tcPr>
            <w:tcW w:type="dxa" w:w="3672"/>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AIG-DEC-03  Governance Decision Record</w:t>
            </w:r>
          </w:p>
        </w:tc>
        <w:tc>
          <w:tcPr>
            <w:tcW w:type="dxa" w:w="5990"/>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Authoritative record of governance decisions; read with approved forum minutes and the Gate Log event history (§3.10.4).</w:t>
            </w:r>
          </w:p>
        </w:tc>
      </w:tr>
      <w:tr>
        <w:trPr>
          <w:cantSplit/>
        </w:trPr>
        <w:tc>
          <w:tcPr>
            <w:tcW w:type="dxa" w:w="367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AIG-DEC-04  AI Governance Gate Log</w:t>
            </w:r>
          </w:p>
        </w:tc>
        <w:tc>
          <w:tcPr>
            <w:tcW w:type="dxa" w:w="599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Separate prospective Gate Plan, dated Gate Events and event-linked Conditions. A Plan is not a decision; Events link to AIG-DEC-03/minutes.</w:t>
            </w:r>
          </w:p>
        </w:tc>
      </w:tr>
    </w:tbl>
    <w:p>
      <w:pPr>
        <w:spacing w:after="0"/>
      </w:pPr>
    </w:p>
    <w:p>
      <w:pPr>
        <w:pStyle w:val="Heading2"/>
      </w:pPr>
      <w:r>
        <w:t>Operations</w:t>
      </w:r>
    </w:p>
    <w:tbl>
      <w:tblPr>
        <w:tblW w:type="auto" w:w="0"/>
        <w:jc w:val="center"/>
        <w:tblLayout w:type="fixed"/>
        <w:tblLook w:firstColumn="1" w:firstRow="1" w:lastColumn="0" w:lastRow="0" w:noHBand="0" w:noVBand="1" w:val="04A0"/>
      </w:tblPr>
      <w:tblGrid>
        <w:gridCol w:w="3672"/>
        <w:gridCol w:w="5990"/>
      </w:tblGrid>
      <w:tr>
        <w:trPr>
          <w:tblHeader w:val="true"/>
        </w:trPr>
        <w:tc>
          <w:tcPr>
            <w:tcW w:type="dxa" w:w="3672"/>
            <w:shd w:fill="0A2342"/>
            <w:tcMar>
              <w:top w:w="70" w:type="dxa"/>
              <w:start w:w="90" w:type="dxa"/>
              <w:bottom w:w="70" w:type="dxa"/>
              <w:end w:w="90" w:type="dxa"/>
            </w:tcMar>
            <w:tcBorders>
              <w:top w:val="single" w:sz="4" w:color="D9D9D9"/>
              <w:left w:val="single" w:sz="4" w:color="D9D9D9"/>
              <w:bottom w:val="single" w:sz="4" w:color="D9D9D9"/>
              <w:right w:val="single" w:sz="4" w:color="D9D9D9"/>
            </w:tcBorders>
          </w:tcPr>
          <w:p>
            <w:r>
              <w:rPr>
                <w:rFonts w:ascii="Arial" w:hAnsi="Arial"/>
                <w:b/>
                <w:color w:val="FFFFFF"/>
                <w:sz w:val="17"/>
              </w:rPr>
              <w:t>ID and artefact</w:t>
            </w:r>
          </w:p>
        </w:tc>
        <w:tc>
          <w:tcPr>
            <w:tcW w:type="dxa" w:w="5990"/>
            <w:shd w:fill="0A2342"/>
            <w:tcMar>
              <w:top w:w="70" w:type="dxa"/>
              <w:start w:w="90" w:type="dxa"/>
              <w:bottom w:w="70" w:type="dxa"/>
              <w:end w:w="90" w:type="dxa"/>
            </w:tcMar>
            <w:tcBorders>
              <w:top w:val="single" w:sz="4" w:color="D9D9D9"/>
              <w:left w:val="single" w:sz="4" w:color="D9D9D9"/>
              <w:bottom w:val="single" w:sz="4" w:color="D9D9D9"/>
              <w:right w:val="single" w:sz="4" w:color="D9D9D9"/>
            </w:tcBorders>
          </w:tcPr>
          <w:p>
            <w:r>
              <w:rPr>
                <w:rFonts w:ascii="Arial" w:hAnsi="Arial"/>
                <w:b/>
                <w:color w:val="FFFFFF"/>
                <w:sz w:val="17"/>
              </w:rPr>
              <w:t>Purpose</w:t>
            </w:r>
          </w:p>
        </w:tc>
      </w:tr>
      <w:tr>
        <w:trPr>
          <w:cantSplit/>
        </w:trPr>
        <w:tc>
          <w:tcPr>
            <w:tcW w:type="dxa" w:w="3672"/>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AIG-OPS-01  AI Deployment and Rollout Plan</w:t>
            </w:r>
          </w:p>
        </w:tc>
        <w:tc>
          <w:tcPr>
            <w:tcW w:type="dxa" w:w="5990"/>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Carries approval conditions through readiness, authorisation and controlled go-live (§3.6 / §3.10.1)</w:t>
            </w:r>
          </w:p>
        </w:tc>
      </w:tr>
      <w:tr>
        <w:trPr>
          <w:cantSplit/>
        </w:trPr>
        <w:tc>
          <w:tcPr>
            <w:tcW w:type="dxa" w:w="367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AIG-OPS-02  AI Post-Deployment Monitoring &amp; Review Log</w:t>
            </w:r>
          </w:p>
        </w:tc>
        <w:tc>
          <w:tcPr>
            <w:tcW w:type="dxa" w:w="599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Controlled per-system evidence of live performance, fairness/bias, drift, incidents, complaints, human override trends, threshold breaches, reassessment and escalation.</w:t>
            </w:r>
          </w:p>
        </w:tc>
      </w:tr>
      <w:tr>
        <w:trPr>
          <w:cantSplit/>
        </w:trPr>
        <w:tc>
          <w:tcPr>
            <w:tcW w:type="dxa" w:w="3672"/>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AIG-OPS-03  AI Incident Report Form</w:t>
            </w:r>
          </w:p>
        </w:tc>
        <w:tc>
          <w:tcPr>
            <w:tcW w:type="dxa" w:w="5990"/>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Report, classify and investigate incidents (§6.8)</w:t>
            </w:r>
          </w:p>
        </w:tc>
      </w:tr>
      <w:tr>
        <w:trPr>
          <w:cantSplit/>
        </w:trPr>
        <w:tc>
          <w:tcPr>
            <w:tcW w:type="dxa" w:w="367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AIG-OPS-04  AI Contestability and Redress Control</w:t>
            </w:r>
          </w:p>
        </w:tc>
        <w:tc>
          <w:tcPr>
            <w:tcW w:type="dxa" w:w="599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 xml:space="preserve">How a person affected by an AI-influenced decision is told, can seek human review and redress, and how the Council records and learns from challenges (§5.7.1, §6.8.6.5; </w:t>
            </w:r>
            <w:r>
              <w:rPr>
                <w:rFonts w:ascii="Arial" w:hAnsi="Arial"/>
                <w:sz w:val="16"/>
              </w:rPr>
              <w:t xml:space="preserve">AI Playbook for the UK Government</w:t>
            </w:r>
            <w:r>
              <w:rPr>
                <w:rFonts w:ascii="Arial" w:hAnsi="Arial"/>
                <w:sz w:val="16"/>
              </w:rPr>
              <w:t xml:space="preserve">, contestability and redress)</w:t>
            </w:r>
          </w:p>
        </w:tc>
      </w:tr>
      <w:tr>
        <w:trPr>
          <w:cantSplit/>
        </w:trPr>
        <w:tc>
          <w:tcPr>
            <w:tcW w:type="dxa" w:w="3672"/>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AIG-OPS-05  AI Governance Reporting Templates</w:t>
            </w:r>
          </w:p>
        </w:tc>
        <w:tc>
          <w:tcPr>
            <w:tcW w:type="dxa" w:w="5990"/>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Board, Working Group and exception reports (§6.9)</w:t>
            </w:r>
          </w:p>
        </w:tc>
      </w:tr>
      <w:tr>
        <w:trPr>
          <w:cantSplit/>
        </w:trPr>
        <w:tc>
          <w:tcPr>
            <w:tcW w:type="dxa" w:w="367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AIG-OPS-06  AI Governance Dashboard</w:t>
            </w:r>
          </w:p>
        </w:tc>
        <w:tc>
          <w:tcPr>
            <w:tcW w:type="dxa" w:w="599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Portfolio indicators snapshot (§6.9.7)</w:t>
            </w:r>
          </w:p>
        </w:tc>
      </w:tr>
    </w:tbl>
    <w:p>
      <w:pPr>
        <w:spacing w:after="0"/>
      </w:pPr>
    </w:p>
    <w:p>
      <w:pPr>
        <w:pStyle w:val="Heading2"/>
      </w:pPr>
      <w:r>
        <w:t>Agentic AI</w:t>
      </w:r>
    </w:p>
    <w:tbl>
      <w:tblPr>
        <w:tblW w:type="auto" w:w="0"/>
        <w:jc w:val="center"/>
        <w:tblLayout w:type="fixed"/>
        <w:tblLook w:firstColumn="1" w:firstRow="1" w:lastColumn="0" w:lastRow="0" w:noHBand="0" w:noVBand="1" w:val="04A0"/>
      </w:tblPr>
      <w:tblGrid>
        <w:gridCol w:w="3672"/>
        <w:gridCol w:w="5990"/>
      </w:tblGrid>
      <w:tr>
        <w:trPr>
          <w:tblHeader w:val="true"/>
        </w:trPr>
        <w:tc>
          <w:tcPr>
            <w:tcW w:type="dxa" w:w="3672"/>
            <w:shd w:fill="0A2342"/>
            <w:tcMar>
              <w:top w:w="70" w:type="dxa"/>
              <w:start w:w="90" w:type="dxa"/>
              <w:bottom w:w="70" w:type="dxa"/>
              <w:end w:w="90" w:type="dxa"/>
            </w:tcMar>
            <w:tcBorders>
              <w:top w:val="single" w:sz="4" w:color="D9D9D9"/>
              <w:left w:val="single" w:sz="4" w:color="D9D9D9"/>
              <w:bottom w:val="single" w:sz="4" w:color="D9D9D9"/>
              <w:right w:val="single" w:sz="4" w:color="D9D9D9"/>
            </w:tcBorders>
          </w:tcPr>
          <w:p>
            <w:r>
              <w:rPr>
                <w:rFonts w:ascii="Arial" w:hAnsi="Arial"/>
                <w:b/>
                <w:color w:val="FFFFFF"/>
                <w:sz w:val="17"/>
              </w:rPr>
              <w:t>ID and artefact</w:t>
            </w:r>
          </w:p>
        </w:tc>
        <w:tc>
          <w:tcPr>
            <w:tcW w:type="dxa" w:w="5990"/>
            <w:shd w:fill="0A2342"/>
            <w:tcMar>
              <w:top w:w="70" w:type="dxa"/>
              <w:start w:w="90" w:type="dxa"/>
              <w:bottom w:w="70" w:type="dxa"/>
              <w:end w:w="90" w:type="dxa"/>
            </w:tcMar>
            <w:tcBorders>
              <w:top w:val="single" w:sz="4" w:color="D9D9D9"/>
              <w:left w:val="single" w:sz="4" w:color="D9D9D9"/>
              <w:bottom w:val="single" w:sz="4" w:color="D9D9D9"/>
              <w:right w:val="single" w:sz="4" w:color="D9D9D9"/>
            </w:tcBorders>
          </w:tcPr>
          <w:p>
            <w:r>
              <w:rPr>
                <w:rFonts w:ascii="Arial" w:hAnsi="Arial"/>
                <w:b/>
                <w:color w:val="FFFFFF"/>
                <w:sz w:val="17"/>
              </w:rPr>
              <w:t>Purpose</w:t>
            </w:r>
          </w:p>
        </w:tc>
      </w:tr>
      <w:tr>
        <w:trPr>
          <w:cantSplit/>
        </w:trPr>
        <w:tc>
          <w:tcPr>
            <w:tcW w:type="dxa" w:w="3672"/>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AIG-AGT-01  Agentic AI Governance: Design Principles</w:t>
            </w:r>
          </w:p>
        </w:tc>
        <w:tc>
          <w:tcPr>
            <w:tcW w:type="dxa" w:w="5990"/>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The agentic layer's core principle, five invariants and operating stance; governs the agentic artefacts.</w:t>
            </w:r>
          </w:p>
        </w:tc>
      </w:tr>
      <w:tr>
        <w:trPr>
          <w:cantSplit/>
        </w:trPr>
        <w:tc>
          <w:tcPr>
            <w:tcW w:type="dxa" w:w="367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AIG-AGT-02  Agentic Classification Reference</w:t>
            </w:r>
          </w:p>
        </w:tc>
        <w:tc>
          <w:tcPr>
            <w:tcW w:type="dxa" w:w="599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Capability vector, autonomy scale (A0-A5) and agency tiers (T0-T5); shared vocabulary for the Register and the triage.</w:t>
            </w:r>
          </w:p>
        </w:tc>
      </w:tr>
      <w:tr>
        <w:trPr>
          <w:cantSplit/>
        </w:trPr>
        <w:tc>
          <w:tcPr>
            <w:tcW w:type="dxa" w:w="3672"/>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AIG-AGT-03  Agentic Triage: Function Specification</w:t>
            </w:r>
          </w:p>
        </w:tc>
        <w:tc>
          <w:tcPr>
            <w:tcW w:type="dxa" w:w="5990"/>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 xml:space="preserve">The two-function triage route for agents; writes the assessed autonomy and agency tier to the Agent Record; each agency tier sets a minimum risk-tier pathway (Gate Map Agentic pathway).</w:t>
            </w:r>
          </w:p>
        </w:tc>
      </w:tr>
      <w:tr>
        <w:trPr>
          <w:cantSplit/>
        </w:trPr>
        <w:tc>
          <w:tcPr>
            <w:tcW w:type="dxa" w:w="367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AIG-AGT-04  Agent Record (Agentic System Bill of Materials, ASBOM)</w:t>
            </w:r>
          </w:p>
        </w:tc>
        <w:tc>
          <w:tcPr>
            <w:tcW w:type="dxa" w:w="599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The core per-agent record: identity, mandate, capability vector, components (bill of materials) and authority delegations, kept in proportion: a core record for every agent that can act, feature sheets as they apply, and the full ASBOM at T3 and above.</w:t>
            </w:r>
            <w:r>
              <w:rPr>
                <w:rFonts w:ascii="Arial" w:hAnsi="Arial"/>
                <w:sz w:val="16"/>
              </w:rPr>
              <w:t xml:space="preserve"> A Platform Agent Inventory sheet records the agents staff build on an approved platform such as Microsoft 365 Copilot (Playbook Appendix F.8).</w:t>
            </w:r>
          </w:p>
        </w:tc>
      </w:tr>
      <w:tr>
        <w:trPr>
          <w:cantSplit/>
        </w:trPr>
        <w:tc>
          <w:tcPr>
            <w:tcW w:type="dxa" w:w="3672"/>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AIG-AGT-05  Agent Authority Graph: Model</w:t>
            </w:r>
          </w:p>
        </w:tc>
        <w:tc>
          <w:tcPr>
            <w:tcW w:type="dxa" w:w="5990"/>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The relational spine; who delegated what authority to whom, populated from the Agent Record.</w:t>
            </w:r>
          </w:p>
        </w:tc>
      </w:tr>
      <w:tr>
        <w:trPr>
          <w:cantSplit/>
        </w:trPr>
        <w:tc>
          <w:tcPr>
            <w:tcW w:type="dxa" w:w="367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AIG-AGT-06  Agentic Action / Decision Record</w:t>
            </w:r>
          </w:p>
        </w:tc>
        <w:tc>
          <w:tcPr>
            <w:tcW w:type="dxa" w:w="599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Runtime evidence for consequential agentic actions; normally generated by the platform/runtime control plane rather than manually completed by Service Owners.</w:t>
            </w:r>
          </w:p>
        </w:tc>
      </w:tr>
    </w:tbl>
    <w:p>
      <w:pPr>
        <w:spacing w:after="0"/>
      </w:pPr>
    </w:p>
    <w:p>
      <w:pPr>
        <w:pStyle w:val="Heading2"/>
      </w:pPr>
      <w:r>
        <w:t>AI management system</w:t>
      </w:r>
    </w:p>
    <w:tbl>
      <w:tblPr>
        <w:tblW w:type="auto" w:w="0"/>
        <w:jc w:val="center"/>
        <w:tblLayout w:type="fixed"/>
        <w:tblLook w:firstColumn="1" w:firstRow="1" w:lastColumn="0" w:lastRow="0" w:noHBand="0" w:noVBand="1" w:val="04A0"/>
      </w:tblPr>
      <w:tblGrid>
        <w:gridCol w:w="3672"/>
        <w:gridCol w:w="5990"/>
      </w:tblGrid>
      <w:tr>
        <w:trPr>
          <w:tblHeader w:val="true"/>
        </w:trPr>
        <w:tc>
          <w:tcPr>
            <w:tcW w:type="dxa" w:w="3672"/>
            <w:shd w:fill="0A2342"/>
            <w:tcMar>
              <w:top w:w="70" w:type="dxa"/>
              <w:start w:w="90" w:type="dxa"/>
              <w:bottom w:w="70" w:type="dxa"/>
              <w:end w:w="90" w:type="dxa"/>
            </w:tcMar>
            <w:tcBorders>
              <w:top w:val="single" w:sz="4" w:color="D9D9D9"/>
              <w:left w:val="single" w:sz="4" w:color="D9D9D9"/>
              <w:bottom w:val="single" w:sz="4" w:color="D9D9D9"/>
              <w:right w:val="single" w:sz="4" w:color="D9D9D9"/>
            </w:tcBorders>
          </w:tcPr>
          <w:p>
            <w:r>
              <w:rPr>
                <w:rFonts w:ascii="Arial" w:hAnsi="Arial"/>
                <w:b/>
                <w:color w:val="FFFFFF"/>
                <w:sz w:val="17"/>
              </w:rPr>
              <w:t>ID and artefact</w:t>
            </w:r>
          </w:p>
        </w:tc>
        <w:tc>
          <w:tcPr>
            <w:tcW w:type="dxa" w:w="5990"/>
            <w:shd w:fill="0A2342"/>
            <w:tcMar>
              <w:top w:w="70" w:type="dxa"/>
              <w:start w:w="90" w:type="dxa"/>
              <w:bottom w:w="70" w:type="dxa"/>
              <w:end w:w="90" w:type="dxa"/>
            </w:tcMar>
            <w:tcBorders>
              <w:top w:val="single" w:sz="4" w:color="D9D9D9"/>
              <w:left w:val="single" w:sz="4" w:color="D9D9D9"/>
              <w:bottom w:val="single" w:sz="4" w:color="D9D9D9"/>
              <w:right w:val="single" w:sz="4" w:color="D9D9D9"/>
            </w:tcBorders>
          </w:tcPr>
          <w:p>
            <w:r>
              <w:rPr>
                <w:rFonts w:ascii="Arial" w:hAnsi="Arial"/>
                <w:b/>
                <w:color w:val="FFFFFF"/>
                <w:sz w:val="17"/>
              </w:rPr>
              <w:t>Purpose</w:t>
            </w:r>
          </w:p>
        </w:tc>
      </w:tr>
      <w:tr>
        <w:trPr>
          <w:cantSplit/>
        </w:trPr>
        <w:tc>
          <w:tcPr>
            <w:tcW w:type="dxa" w:w="3672"/>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AIG-AIMS-01  AIMS Scope, Context and Interested Parties</w:t>
            </w:r>
          </w:p>
        </w:tc>
        <w:tc>
          <w:tcPr>
            <w:tcW w:type="dxa" w:w="5990"/>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ISO 42001 clause 4: the AIMS scope, internal and external context, and interested parties.</w:t>
            </w:r>
          </w:p>
        </w:tc>
      </w:tr>
      <w:tr>
        <w:trPr>
          <w:cantSplit/>
        </w:trPr>
        <w:tc>
          <w:tcPr>
            <w:tcW w:type="dxa" w:w="367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AIG-AIMS-02  AIMS Statement of Applicability</w:t>
            </w:r>
          </w:p>
        </w:tc>
        <w:tc>
          <w:tcPr>
            <w:tcW w:type="dxa" w:w="599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The Annex A control decisions: which controls apply, why, and their status.</w:t>
            </w:r>
          </w:p>
        </w:tc>
      </w:tr>
      <w:tr>
        <w:trPr>
          <w:cantSplit/>
        </w:trPr>
        <w:tc>
          <w:tcPr>
            <w:tcW w:type="dxa" w:w="3672"/>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AIG-AIMS-03  AIMS Objectives, Risk Treatment and Improvement Plan</w:t>
            </w:r>
          </w:p>
        </w:tc>
        <w:tc>
          <w:tcPr>
            <w:tcW w:type="dxa" w:w="5990"/>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AIMS objectives, risk treatment, opportunities and improvement actions (clauses 6 and 10).</w:t>
            </w:r>
          </w:p>
        </w:tc>
      </w:tr>
      <w:tr>
        <w:trPr>
          <w:cantSplit/>
        </w:trPr>
        <w:tc>
          <w:tcPr>
            <w:tcW w:type="dxa" w:w="367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AIG-AIMS-04  AIMS Roles, Competence, Awareness and Communications Plan</w:t>
            </w:r>
          </w:p>
        </w:tc>
        <w:tc>
          <w:tcPr>
            <w:tcW w:type="dxa" w:w="599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Clause 5.3 and 7: role accountability, competence, learning and communications.</w:t>
            </w:r>
          </w:p>
        </w:tc>
      </w:tr>
      <w:tr>
        <w:trPr>
          <w:cantSplit/>
        </w:trPr>
        <w:tc>
          <w:tcPr>
            <w:tcW w:type="dxa" w:w="3672"/>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AIG-AIMS-05  AIMS Applicable Requirements and Change Register</w:t>
            </w:r>
          </w:p>
        </w:tc>
        <w:tc>
          <w:tcPr>
            <w:tcW w:type="dxa" w:w="5990"/>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Clause 4.2: legal and other requirements, change tracking and horizon scanning.</w:t>
            </w:r>
          </w:p>
        </w:tc>
      </w:tr>
      <w:tr>
        <w:trPr>
          <w:cantSplit/>
        </w:trPr>
        <w:tc>
          <w:tcPr>
            <w:tcW w:type="dxa" w:w="367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AIG-AIMS-06  AIMS Clause Conformity Register</w:t>
            </w:r>
          </w:p>
        </w:tc>
        <w:tc>
          <w:tcPr>
            <w:tcW w:type="dxa" w:w="599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Maps every ISO 42001 clause 4 to 10 requirement to the artefact that satisfies it, with status and gaps.</w:t>
            </w:r>
          </w:p>
        </w:tc>
      </w:tr>
      <w:tr>
        <w:trPr>
          <w:cantSplit/>
        </w:trPr>
        <w:tc>
          <w:tcPr>
            <w:tcW w:type="dxa" w:w="3672"/>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AIG-AIMS-07  AIMS Internal Audit Programme and Procedure</w:t>
            </w:r>
          </w:p>
        </w:tc>
        <w:tc>
          <w:tcPr>
            <w:tcW w:type="dxa" w:w="5990"/>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Clause 9.2: how internal audits are planned, conducted, reported and followed up.</w:t>
            </w:r>
          </w:p>
        </w:tc>
      </w:tr>
      <w:tr>
        <w:trPr>
          <w:cantSplit/>
        </w:trPr>
        <w:tc>
          <w:tcPr>
            <w:tcW w:type="dxa" w:w="367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AIG-AIMS-08  AIMS Nonconformity and Corrective Action</w:t>
            </w:r>
          </w:p>
        </w:tc>
        <w:tc>
          <w:tcPr>
            <w:tcW w:type="dxa" w:w="599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Clause 10.2: procedure and log for nonconformities and corrective action.</w:t>
            </w:r>
          </w:p>
        </w:tc>
      </w:tr>
      <w:tr>
        <w:trPr>
          <w:cantSplit/>
        </w:trPr>
        <w:tc>
          <w:tcPr>
            <w:tcW w:type="dxa" w:w="3672"/>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AIG-AIMS-09  AIMS Management Review</w:t>
            </w:r>
          </w:p>
        </w:tc>
        <w:tc>
          <w:tcPr>
            <w:tcW w:type="dxa" w:w="5990"/>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Clause 9.3: procedure, required inputs and outputs, and a review record.</w:t>
            </w:r>
          </w:p>
        </w:tc>
      </w:tr>
      <w:tr>
        <w:trPr>
          <w:cantSplit/>
        </w:trPr>
        <w:tc>
          <w:tcPr>
            <w:tcW w:type="dxa" w:w="367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AIG-AIMS-10  AIMS Monitoring and Measurement Plan</w:t>
            </w:r>
          </w:p>
        </w:tc>
        <w:tc>
          <w:tcPr>
            <w:tcW w:type="dxa" w:w="599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Clause 9.1: what is measured, how, when and by whom, and how results are evaluated.</w:t>
            </w:r>
          </w:p>
        </w:tc>
      </w:tr>
      <w:tr>
        <w:trPr>
          <w:cantSplit/>
        </w:trPr>
        <w:tc>
          <w:tcPr>
            <w:tcW w:type="dxa" w:w="3672"/>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AIG-AIMS-11  AI System Impact Assessment: Coverage Mapping</w:t>
            </w:r>
          </w:p>
        </w:tc>
        <w:tc>
          <w:tcPr>
            <w:tcW w:type="dxa" w:w="5990"/>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 xml:space="preserve">Clause 6.1.4: shows how the DPIA, EIA, HRA and RAIA cover impacts on individuals, groups and society, with environment and security lenses and a risk domain crosswalk to NIST AI 600-1 and ISO/IEC 42005 (Proposed — for Council confirmation).</w:t>
            </w:r>
          </w:p>
        </w:tc>
      </w:tr>
      <w:tr>
        <w:trPr>
          <w:cantSplit/>
        </w:trPr>
        <w:tc>
          <w:tcPr>
            <w:tcW w:type="dxa" w:w="367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AIG-AIMS-12  AIMS Clause-Level Crosswalk</w:t>
            </w:r>
          </w:p>
        </w:tc>
        <w:tc>
          <w:tcPr>
            <w:tcW w:type="dxa" w:w="599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Maps the toolkit to ISO/IEC 42001 and the NIST AI RMF at clause level (Appendix D)</w:t>
            </w:r>
          </w:p>
        </w:tc>
      </w:tr>
      <w:tr>
        <w:trPr>
          <w:cantSplit/>
        </w:trPr>
        <w:tc>
          <w:tcPr>
            <w:tcW w:type="dxa" w:w="3672"/>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AIG-AIMS-13  AI Source Assurance and Traceability Register</w:t>
            </w:r>
          </w:p>
        </w:tc>
        <w:tc>
          <w:tcPr>
            <w:tcW w:type="dxa" w:w="5990"/>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Standing source-to-artefact traceability with verification dates; read with AIG-AIMS-05 (requirements, change and horizon scanning). Any automated scanning tool is an optional input only.</w:t>
            </w:r>
          </w:p>
        </w:tc>
      </w:tr>
      <w:tr>
        <w:trPr>
          <w:cantSplit/>
        </w:trPr>
        <w:tc>
          <w:tcPr>
            <w:tcW w:type="dxa" w:w="367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 xml:space="preserve">Supplementary view (not an AIG-labelled artefact): UC_ID_Risk_Decision_Current_View.xlsx</w:t>
            </w:r>
          </w:p>
        </w:tc>
        <w:tc>
          <w:tcPr>
            <w:tcW w:type="dxa" w:w="599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 xml:space="preserve">Manual, source-reconciled one-row-per-UC-ID view of priority, risk tier, decision and review date. Use-Case Risk and Delegated Decision Current View, v1.0 draft; owner AI Governance Lead. Supplementary, not a 53rd AIG artefact; confers no decision authority; refresh cadence and change control are recorded in AIG-GOV-03.</w:t>
            </w:r>
          </w:p>
        </w:tc>
      </w:tr>
    </w:tbl>
    <w:p>
      <w:pPr>
        <w:spacing w:after="0"/>
      </w:pPr>
    </w:p>
    <w:p>
      <w:pPr>
        <w:pStyle w:val="Heading1"/>
      </w:pPr>
      <w:r>
        <w:t>Status and document control</w:t>
      </w:r>
    </w:p>
    <w:p>
      <w:r>
        <w:t>This remains a working draft. Specialist owners must validate the relevant legal, equality, human rights and security templates before adoption. The ATRS record should use the current official government template for publication.</w:t>
      </w:r>
    </w:p>
    <w:tbl>
      <w:tblPr>
        <w:tblW w:type="auto" w:w="0"/>
        <w:jc w:val="center"/>
        <w:tblLayout w:type="fixed"/>
        <w:tblLook w:firstColumn="1" w:firstRow="1" w:lastColumn="0" w:lastRow="0" w:noHBand="0" w:noVBand="1" w:val="04A0"/>
      </w:tblPr>
      <w:tblGrid>
        <w:gridCol w:w="2376"/>
        <w:gridCol w:w="7286"/>
      </w:tblGrid>
      <w:tr>
        <w:trPr>
          <w:tblHeader w:val="true"/>
        </w:trPr>
        <w:tc>
          <w:tcPr>
            <w:tcW w:type="dxa" w:w="2376"/>
            <w:shd w:fill="0A2342"/>
            <w:tcMar>
              <w:top w:w="70" w:type="dxa"/>
              <w:start w:w="90" w:type="dxa"/>
              <w:bottom w:w="70" w:type="dxa"/>
              <w:end w:w="90" w:type="dxa"/>
            </w:tcMar>
            <w:tcBorders>
              <w:top w:val="single" w:sz="4" w:color="D9D9D9"/>
              <w:left w:val="single" w:sz="4" w:color="D9D9D9"/>
              <w:bottom w:val="single" w:sz="4" w:color="D9D9D9"/>
              <w:right w:val="single" w:sz="4" w:color="D9D9D9"/>
            </w:tcBorders>
          </w:tcPr>
          <w:p>
            <w:r>
              <w:rPr>
                <w:rFonts w:ascii="Arial" w:hAnsi="Arial"/>
                <w:b/>
                <w:color w:val="FFFFFF"/>
                <w:sz w:val="17"/>
              </w:rPr>
              <w:t>Control</w:t>
            </w:r>
          </w:p>
        </w:tc>
        <w:tc>
          <w:tcPr>
            <w:tcW w:type="dxa" w:w="7286"/>
            <w:shd w:fill="0A2342"/>
            <w:tcMar>
              <w:top w:w="70" w:type="dxa"/>
              <w:start w:w="90" w:type="dxa"/>
              <w:bottom w:w="70" w:type="dxa"/>
              <w:end w:w="90" w:type="dxa"/>
            </w:tcMar>
            <w:tcBorders>
              <w:top w:val="single" w:sz="4" w:color="D9D9D9"/>
              <w:left w:val="single" w:sz="4" w:color="D9D9D9"/>
              <w:bottom w:val="single" w:sz="4" w:color="D9D9D9"/>
              <w:right w:val="single" w:sz="4" w:color="D9D9D9"/>
            </w:tcBorders>
          </w:tcPr>
          <w:p>
            <w:r>
              <w:rPr>
                <w:rFonts w:ascii="Arial" w:hAnsi="Arial"/>
                <w:b/>
                <w:color w:val="FFFFFF"/>
                <w:sz w:val="17"/>
              </w:rPr>
              <w:t>Current position</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Document</w:t>
            </w:r>
          </w:p>
        </w:tc>
        <w:tc>
          <w:tcPr>
            <w:tcW w:type="dxa" w:w="7286"/>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 xml:space="preserve">AIG-GOV-01  •  Version 1.3</w:t>
            </w:r>
            <w:r>
              <w:rPr>
                <w:rFonts w:ascii="Arial" w:hAnsi="Arial"/>
                <w:sz w:val="16"/>
              </w:rPr>
              <w:t xml:space="preserve">7</w:t>
            </w:r>
            <w:r>
              <w:rPr>
                <w:rFonts w:ascii="Arial" w:hAnsi="Arial"/>
                <w:sz w:val="16"/>
              </w:rPr>
              <w:t xml:space="preserve"> draft  •  Suite release v3.9.1</w:t>
            </w:r>
            <w:r>
              <w:rPr>
                <w:rFonts w:ascii="Arial" w:hAnsi="Arial"/>
                <w:sz w:val="16"/>
              </w:rPr>
              <w:t xml:space="preserve">1</w:t>
            </w:r>
            <w:r>
              <w:rPr>
                <w:rFonts w:ascii="Arial" w:hAnsi="Arial"/>
                <w:sz w:val="16"/>
              </w:rPr>
              <w:t xml:space="preserve">  •  OFFICIAL</w:t>
            </w:r>
          </w:p>
        </w:tc>
      </w:tr>
      <w:tr>
        <w:trPr>
          <w:cantSplit/>
        </w:trPr>
        <w:tc>
          <w:tcPr>
            <w:tcW w:type="dxa" w:w="2376"/>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Owner</w:t>
            </w:r>
          </w:p>
        </w:tc>
        <w:tc>
          <w:tcPr>
            <w:tcW w:type="dxa" w:w="7286"/>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AI Governance Lead</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Approval and effective date</w:t>
            </w:r>
          </w:p>
        </w:tc>
        <w:tc>
          <w:tcPr>
            <w:tcW w:type="dxa" w:w="7286"/>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Not approved; no effective date.</w:t>
            </w:r>
          </w:p>
        </w:tc>
      </w:tr>
      <w:tr>
        <w:trPr>
          <w:cantSplit/>
        </w:trPr>
        <w:tc>
          <w:tcPr>
            <w:tcW w:type="dxa" w:w="2376"/>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Approving authority</w:t>
            </w:r>
          </w:p>
        </w:tc>
        <w:tc>
          <w:tcPr>
            <w:tcW w:type="dxa" w:w="7286"/>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Pending confirmation under the Council Constitution and Scheme of Delegation; Monitoring Officer to verify.</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Review</w:t>
            </w:r>
          </w:p>
        </w:tc>
        <w:tc>
          <w:tcPr>
            <w:tcW w:type="dxa" w:w="7286"/>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Set on approval: 12 months from effective date or earlier on material change.</w:t>
            </w:r>
          </w:p>
        </w:tc>
      </w:tr>
    </w:tbl>
    <w:p>
      <w:pPr>
        <w:spacing w:after="0"/>
      </w:pPr>
    </w:p>
    <w:p>
      <w:pPr>
        <w:pStyle w:val="Heading2"/>
      </w:pPr>
      <w:r>
        <w:t>Recent change record</w:t>
      </w:r>
    </w:p>
    <w:tbl>
      <w:tblPr>
        <w:tblW w:type="auto" w:w="0"/>
        <w:jc w:val="center"/>
        <w:tblLayout w:type="fixed"/>
        <w:tblLook w:firstColumn="1" w:firstRow="1" w:lastColumn="0" w:lastRow="0" w:noHBand="0" w:noVBand="1" w:val="04A0"/>
      </w:tblPr>
      <w:tblGrid>
        <w:gridCol w:w="1800"/>
        <w:gridCol w:w="7862"/>
      </w:tblGrid>
      <w:tr>
        <w:trPr>
          <w:tblHeader w:val="true"/>
        </w:trPr>
        <w:tc>
          <w:tcPr>
            <w:tcW w:type="dxa" w:w="1800"/>
            <w:shd w:fill="0A2342"/>
            <w:tcMar>
              <w:top w:w="70" w:type="dxa"/>
              <w:start w:w="90" w:type="dxa"/>
              <w:bottom w:w="70" w:type="dxa"/>
              <w:end w:w="90" w:type="dxa"/>
            </w:tcMar>
            <w:tcBorders>
              <w:top w:val="single" w:sz="4" w:color="D9D9D9"/>
              <w:left w:val="single" w:sz="4" w:color="D9D9D9"/>
              <w:bottom w:val="single" w:sz="4" w:color="D9D9D9"/>
              <w:right w:val="single" w:sz="4" w:color="D9D9D9"/>
            </w:tcBorders>
          </w:tcPr>
          <w:p>
            <w:r>
              <w:rPr>
                <w:rFonts w:ascii="Arial" w:hAnsi="Arial"/>
                <w:b/>
                <w:color w:val="FFFFFF"/>
                <w:sz w:val="17"/>
              </w:rPr>
              <w:t>Version</w:t>
            </w:r>
          </w:p>
        </w:tc>
        <w:tc>
          <w:tcPr>
            <w:tcW w:type="dxa" w:w="7862"/>
            <w:shd w:fill="0A2342"/>
            <w:tcMar>
              <w:top w:w="70" w:type="dxa"/>
              <w:start w:w="90" w:type="dxa"/>
              <w:bottom w:w="70" w:type="dxa"/>
              <w:end w:w="90" w:type="dxa"/>
            </w:tcMar>
            <w:tcBorders>
              <w:top w:val="single" w:sz="4" w:color="D9D9D9"/>
              <w:left w:val="single" w:sz="4" w:color="D9D9D9"/>
              <w:bottom w:val="single" w:sz="4" w:color="D9D9D9"/>
              <w:right w:val="single" w:sz="4" w:color="D9D9D9"/>
            </w:tcBorders>
          </w:tcPr>
          <w:p>
            <w:r>
              <w:rPr>
                <w:rFonts w:ascii="Arial" w:hAnsi="Arial"/>
                <w:b/>
                <w:color w:val="FFFFFF"/>
                <w:sz w:val="17"/>
              </w:rPr>
              <w:t>Summary</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1.11–1.19 draft</w:t>
            </w:r>
          </w:p>
        </w:tc>
        <w:tc>
          <w:tcPr>
            <w:tcW w:type="dxa" w:w="7862"/>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Earlier source, rights, agentic, authority, inventory and usability revisions; detail retained in prior versions.</w:t>
            </w:r>
          </w:p>
        </w:tc>
      </w:tr>
      <w:tr>
        <w:trPr>
          <w:cantSplit/>
        </w:trPr>
        <w:tc>
          <w:tcPr>
            <w:tcW w:type="dxa" w:w="180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1.20 draft</w:t>
            </w:r>
          </w:p>
        </w:tc>
        <w:tc>
          <w:tcPr>
            <w:tcW w:type="dxa" w:w="786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Reconciled route, security evidence, monitoring and Council decision rights.</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1.21 draft</w:t>
            </w:r>
          </w:p>
        </w:tc>
        <w:tc>
          <w:tcPr>
            <w:tcW w:type="dxa" w:w="7862"/>
            <w:vAlign w:val="center"/>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Proposed integrated architecture and clarified custody, assurance and evidence pointers.</w:t>
            </w:r>
          </w:p>
        </w:tc>
      </w:tr>
      <w:tr>
        <w:trPr>
          <w:cantSplit/>
        </w:trPr>
        <w:tc>
          <w:tcPr>
            <w:tcW w:type="dxa" w:w="180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 xml:space="preserve">1.22 draft</w:t>
            </w:r>
          </w:p>
        </w:tc>
        <w:tc>
          <w:tcPr>
            <w:tcW w:type="dxa" w:w="786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 xml:space="preserve">29 September 2026: QA remediation — applied findings QA-008, QA-016, QA-044, QA-090, QA-104, QA-107, QA-109, QA-120, QA-123, QA-291; integration pass: artefact titles aligned to each artefact’s own title and the supplementary view listed with its version and owner (see QA change log). Suite release v3.6.</w:t>
            </w:r>
          </w:p>
        </w:tc>
      </w:tr>
      <w:tr>
        <w:trPr>
          <w:cantSplit/>
        </w:trPr>
        <w:tc>
          <w:tcPr>
            <w:tcW w:type="dxa" w:w="180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 xml:space="preserve">1.23 draft</w:t>
            </w:r>
          </w:p>
        </w:tc>
        <w:tc>
          <w:tcPr>
            <w:tcW w:type="dxa" w:w="786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 xml:space="preserve">29 September 2026: v3.7: agentic pathway joins the multi-board gate route (Proposed — for Council confirmation). AIG-DEC-01 v1.5 (Agentic pathway section), AIG-AGT-03 v1.2, AIG-AGT-02 v1.2 and Playbook AIG-GOV-02 v19.9.8 updated; directory descriptions for AIG-DEC-01 and AIG-AGT-03 aligned. Suite release v3.7.</w:t>
            </w:r>
          </w:p>
        </w:tc>
      </w:tr>
      <w:tr>
        <w:trPr>
          <w:cantSplit/>
        </w:trPr>
        <w:tc>
          <w:tcPr>
            <w:tcW w:type="dxa" w:w="180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 xml:space="preserve">1.24 draft</w:t>
            </w:r>
          </w:p>
        </w:tc>
        <w:tc>
          <w:tcPr>
            <w:tcW w:type="dxa" w:w="786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 xml:space="preserve">30 September 2026: v3.8: triage logic tidy-up (Proposed — for Council confirmation): AGPI priority sets urgency and sequencing only and the route follows the governing tier; priority floor (Resident Impact or Legal &amp; Regulatory Exposure 5 → at least Priority 2); impact floor (a confirmed Impact 5 → at least Medium); worked calibration examples added to AIG-AGT-02. Current versions: Playbook AIG-GOV-02 v19.9.9, AIG-AGT-02 v1.3, AIG-ASS-01 v1.3, AIG-ASS-02 v1.8; AIG-AGT-03 and AIG-DEC-01 aligned without a version change; suite release v3.8. Directory descriptions for AIG-ASS-01 and AIG-ASS-02 aligned. Final tidy-up (same release): Playbook Stage 5, §3.9.5 and §3.9.6 priority tables worded as urgency and governance attention; AIG-ASS-01 action texts and AIG-ASS-02 “can it act?” screen wording aligned; AIG-INV-01 governing-tier wording aligned (no version change); AIG-AGT-02 calibration Example 1 and Table C labels clarified; document properties subject set to suite v3.8.</w:t>
            </w:r>
          </w:p>
        </w:tc>
      </w:tr>
      <w:tr>
        <w:trPr>
          <w:cantSplit/>
        </w:trPr>
        <w:tc>
          <w:tcPr>
            <w:tcW w:type="dxa" w:w="180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 xml:space="preserve">1.25 draft</w:t>
            </w:r>
          </w:p>
        </w:tc>
        <w:tc>
          <w:tcPr>
            <w:tcW w:type="dxa" w:w="786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 xml:space="preserve">30 September 2026: v3.9: risk practice update (Proposed — for Council confirmation): risk appetite placeholder and interim acceptance rule (Playbook §4.4.8); dependency concentration view (AIG-INV-05 “Dependency concentration” sheet, measure M-16, AI Assurance Board Report row); assessor consistency moderation (measure M-17); adversarial test before go-live for resident-facing generative AI at Medium (AIG-ASS-11 Section 7). Current versions: Playbook AIG-GOV-02 v19.9.10, AIG-ASS-03 v1.4, AIG-ASS-11 v1.5, AIG-DEC-01 v1.6, AIG-OPS-01 v1.5, AIG-OPS-05 v1.4, AIG-AIMS-10 v1.3, AIG-OPS-06 v1.4, AIG-INV-05 v0.3; suite release v3.9. Directory descriptions for AIG-ASS-11 and AIG-INV-05 aligned. Follow-up after independent check: AIG-OPS-01 v1.5 (adversarial test row in the pre-go-live checklist); Playbook interim acceptance rule aligned with the §3.10.1 matrix; AIG-ASS-11 Section 7 placed after the agentic security coverage block.</w:t>
            </w:r>
          </w:p>
        </w:tc>
      </w:tr>
      <w:tr>
        <w:trPr>
          <w:cantSplit/>
        </w:trPr>
        <w:tc>
          <w:tcPr>
            <w:tcW w:type="dxa" w:w="180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 xml:space="preserve">1.26 draft</w:t>
            </w:r>
          </w:p>
        </w:tc>
        <w:tc>
          <w:tcPr>
            <w:tcW w:type="dxa" w:w="786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 xml:space="preserve">30 September 2026: v3.9.1 (Proposed — for Council confirmation): (1) T2 minimum pathway applied in the AI Risk Assessment Worksheet: AIG-ASS-02 v1.9 agentic floor sets at least Medium for T2 bounded agent, as in AIG-DEC-01, AIG-AGT-02, AIG-AGT-03 §6 and the Playbook; (2) Civil Contingencies Act 2004 business continuity link: AIG-AIMS-05 v1.5 adds REQ-054 (inventory now 54 entries), AIG-OPS-01 v1.6 section 8 adds the business continuity link and a matching pre-go-live checklist line, Playbook AIG-GOV-02 v19.9.11 §4.3.13 adds one sentence. The 54-entry count is carried into the standards cross-reference note of every artefact that states it (minor version bumped; AIG-ASS-08 v1.4 also lists REQ-054) and into AIG-AIMS-06 v1.6. Suite release v3.9.1.</w:t>
            </w:r>
          </w:p>
        </w:tc>
      </w:tr>
      <w:tr>
        <w:trPr>
          <w:cantSplit/>
        </w:trPr>
        <w:tc>
          <w:tcPr>
            <w:tcW w:type="dxa" w:w="180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 xml:space="preserve">1.27 draft</w:t>
            </w:r>
          </w:p>
        </w:tc>
        <w:tc>
          <w:tcPr>
            <w:tcW w:type="dxa" w:w="786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 xml:space="preserve">30 September 2026: v3.9.2 (Proposed — for Council confirmation): pilot-readiness fixes from the v3.9.1 scenario test (see QA change log, sheet “v3.9.2 changes”). AIG-AGT-04 v0.4: Record QA passes only Implemented and Evidenced runtime controls (or an authorised, time-bounded compensating control), and the AIR-ID check matches AIG-INV-04; AIG-OPS-01 v1.7 wording matches. AIG-DEC-04 v1.1: Gate plan duplicate check keyed on AIR-ID + UC-ID + gate; new “Precautionary pause (containment)” event. AIG-ASS-01 v1.4: §4.4.6 trigger question and trigger floor (a trigger use is at least Priority 4). AIG-ASS-02 v1.10: agentic floor reads the agency tier token exactly. AIG-OPS-02 v1.6: cadence checked by review type (§6.4.4) and agentic cadence raise field. AIG-DEC-01 v1.8, AIG-GOV-06 v1.7, AIG-OPS-03 v1.6, AIG-ASS-03 v1.6, AIG-ASS-08 v1.5 and Playbook AIG-GOV-02 v19.9.12: precautionary pause and Gate 7 authority, immediate escalation of the §4.7.17 mandatory triggers (at least High), Low incident indicators, independent assurance at High and Critical, and the Gate 4 rule for existing contracts, licence features and free tools. Suite release v3.9.2.</w:t>
            </w:r>
          </w:p>
        </w:tc>
      </w:tr>
      <w:tr>
        <w:trPr>
          <w:cantSplit/>
        </w:trPr>
        <w:tc>
          <w:tcPr>
            <w:tcW w:type="dxa" w:w="180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 xml:space="preserve">1.28 draft</w:t>
            </w:r>
          </w:p>
        </w:tc>
        <w:tc>
          <w:tcPr>
            <w:tcW w:type="dxa" w:w="786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 xml:space="preserve">1 October 2026: v3.9.3: standards gap closure against the NCSC Guidelines for Secure AI System Development, NIST AI 600-1 (Generative AI Profile) and ISO/IEC 42005 (Proposed — for Council confirmation; see QA change log, sheet “v3.9.3 changes”). AIG-ASS-11 v1.7: fifth adversarial test area (harmful content and safeguarding) and new Section 8 threat model; AIG-ASS-03 v1.7: threat model checklist item; AIG-ASS-04 v1.4: questions on AI disclosure and labelling, response to a disclosure of risk of harm, energy and compute proportionality, and foreseeable misuse; AIG-ASS-08 v1.6: questions on environmental information, secure by default, model protection and vulnerability disclosure; AIG-AIMS-11 v1.3: Environment and Security lenses and a risk domain crosswalk to NIST AI 600-1 and ISO/IEC 42005; AIG-AIMS-05 v1.6: REQ-055 NIST AI 600-1 added (inventory now 55 entries); Playbook AIG-GOV-02 v19.9.13: labelling and disclosure, safeguarding, a new prohibited use, logging and protected assets, threat model, technical debt for in-house builds and the added references. The 55-entry count is carried into the standards cross-reference note of every artefact that states it (minor version bumped). Suite release v3.9.3.</w:t>
            </w:r>
          </w:p>
        </w:tc>
      </w:tr>
      <w:tr>
        <w:trPr>
          <w:cantSplit/>
        </w:trPr>
        <w:tc>
          <w:tcPr>
            <w:tcW w:type="dxa" w:w="180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 xml:space="preserve">1.29 draft</w:t>
            </w:r>
          </w:p>
        </w:tc>
        <w:tc>
          <w:tcPr>
            <w:tcW w:type="dxa" w:w="786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 xml:space="preserve">1 October 2026: v3.9.4: follow-up decisions (Proposed — for Council confirmation; see QA change log, sheet “v3.9.4 changes”). AIG-AIMS-05 v1.7: horizon-scanning channel SCN-07 widened to standards bodies (ISO/IEC JTC 1/SC 42, NIST including the AI RMF and AI 600-1, and ETSI Securing AI), quarterly, owner AI Governance Lead, linked to REQ-041, REQ-042, REQ-053 and REQ-055; REQ-042 required action records the check of the AIG-AIMS-11 crosswalk against the Council’s licensed copy of ISO/IEC 42005 (before formal adoption; not a pilot blocker). Playbook AIG-GOV-02 v19.9.14: §4.7.12 sets where log retention is recorded when there is no DPIA. AIG-ASS-11 v1.8: log retention check in Section 4. AIG-AGT-04 v0.5: field guidance line on log retention. AIG-AIMS-11 v1.4: crosswalk note points to the licensed-copy check. The triage calculator shows the AI Security Review Checklist with its Section 8 threat model as evidence. Suite release v3.9.4.</w:t>
            </w:r>
          </w:p>
        </w:tc>
      </w:tr>
      <w:tr>
        <w:trPr>
          <w:cantSplit/>
        </w:trPr>
        <w:tc>
          <w:tcPr>
            <w:tcW w:type="dxa" w:w="180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1.30 draft</w:t>
            </w:r>
          </w:p>
        </w:tc>
        <w:tc>
          <w:tcPr>
            <w:tcW w:type="dxa" w:w="786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2 October 2026: v3.9.5 (Proposed — for Council confirmation): ICO statutory code of practice on AI and automated decision-making. AIG-AIMS-05 v1.8 adds REQ-056, The Data Protection Act 2018 (Code of Practice on Artificial Intelligence and Automated Decision-Making) Regulations 2026 (SI 2026/425), in force 12 May 2026, identified by the regulatory scanner (REG-0001), with change record CHG-014 (inventory now 56 entries). AIG-AIMS-13 v1.4 adds source record SRC-LAW-ICO-ADM-CODE-001 (Horizon-watch until the code is issued). AIG-ASS-05 v1.5 section 5 points to the forthcoming code. Playbook AIG-GOV-02 v19.9.15 lists REQ-056 in its standards cross-reference. The 56-entry count is carried into the standards cross-reference note of every artefact that states it (minor version bumped) and into AIG-AIMS-06 v1.7, which also corrects a requirement count not carried from 54 to 55 at v3.9.3. Suite release v3.9.5.</w:t>
            </w:r>
          </w:p>
        </w:tc>
      </w:tr>
      <w:tr>
        <w:trPr>
          <w:cantSplit/>
        </w:trPr>
        <w:tc>
          <w:tcPr>
            <w:tcW w:type="dxa" w:w="180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1.31 draft</w:t>
            </w:r>
          </w:p>
        </w:tc>
        <w:tc>
          <w:tcPr>
            <w:tcW w:type="dxa" w:w="786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3 October 2026: v3.9.6 (Proposed — for Council confirmation): the pre-go-live “Monitoring plan in place” item now also asks for agreed thresholds and who agreed them to be recorded. AIG-OPS-01 v1.10 (section 7 checklist) and AIG-ASS-03 v1.9 updated to match; AIG-GOV-03 v1.31 versions updated. No other artefact changes. Suite release v3.9.6.</w:t>
            </w:r>
          </w:p>
        </w:tc>
      </w:tr>
      <w:tr>
        <w:trPr>
          <w:cantSplit/>
        </w:trPr>
        <w:tc>
          <w:tcPr>
            <w:tcW w:type="dxa" w:w="180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1.32 draft</w:t>
            </w:r>
          </w:p>
        </w:tc>
        <w:tc>
          <w:tcPr>
            <w:tcW w:type="dxa" w:w="786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3 October 2026: v3.9.7 (Proposed — for Council confirmation): Fast-Track Screening Q2 and Q5 reworded. Q2 now asks about special-category, criminal offence or confidential/restricted data, profiling, or personal data the user could not already open; Q5 now asks about residents or the public, or external publication. Ordinary staff tools are no longer screened out by default; Q3 still catches anything that could influence a decision about a person. AIG-INV-02 v1.8 (also fixes the unreadable answer column), AIG-INV-01 v1.7 examples aligned, AIG-DEC-04 v1.2 Gate Log row checks tightened to remove false passes; Light-touch is recorded as “Light-touch / Low / Priority 4 or 5”, matching the rule that Light-touch is open to Priority 4 and 5 uses (AIG-GOV-02 v19.9.16, AIG-INV-03 v1.8); Gates 1 and 3 (investment and strategic case) are N/A for a new use of an existing approved system that needs no new investment, at Low or Medium and not action-capable, so such a Light-touch use runs Gate 0, Gate 6 and Gate 7 (AIG-DEC-01 v1.11, AIG-INV-03 v1.8); screening may be done by reference to a current covering assessment, which the decision-maker confirms was considered (AIG-GOV-02 §4.6, AIG-INV-02 Part C, AIG-ASS-03 v1.10, AIG-DEC-03 v1.9); AIG-DEC-02 v1.6 example aligned; AIG-GOV-03 v1.32 versions updated. Suite release v3.9.7.</w:t>
            </w:r>
          </w:p>
        </w:tc>
      </w:tr>
      <w:tr>
        <w:trPr>
          <w:cantSplit/>
        </w:trPr>
        <w:tc>
          <w:tcPr>
            <w:tcW w:type="dxa" w:w="180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1.33 draft</w:t>
            </w:r>
          </w:p>
        </w:tc>
        <w:tc>
          <w:tcPr>
            <w:tcW w:type="dxa" w:w="786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3 October 2026: v3.9.8 (Proposed — for Council confirmation): decisions from the scenario test. Gate 1 and 3 rule split: a new system always goes to Gate 1, Gate 3 is N/A wherever there is no new investment, the rule also covers a no-cost change to a use already in governance, and an existing system’s approval must be current (Approved or Approved with conditions, Active, review not passed) (AIG-DEC-01 v1.12; new Intake questions on approval and on the relationship to systems already in governance, AIG-INV-03 v1.9). Another team wanting an approved use takes its own UC-ID (AIG-GOV-02 v19.9.17 §3.10, AIG-GOV-06 v1.10, AIG-INV-01 v1.8). Conflicting answers: the stricter answer wins and is flagged (AIG-INV-03 v1.9); an all-No Fast Track with a tier above Low keeps the higher tier (§3.8.1, AIG-INV-02 v1.9). Screening by reference: the cited assessment must be Accepted and completed or reviewed within 12 months, review date not passed, or carry its owner’s still-holds review (§4.6, AIG-INV-02 v1.9, AIG-ASS-03 v1.11; Register Evidence index columns M to O, AIG-INV-04 v1.1). The decision-maker’s screening confirmation is also recorded in the Gate Log (new Gate events column X), the Decision-Ready Paper decision blocks carry the screening line (AIG-DEC-02 v1.7), the row-check columns are locked with sheet protection (no password), and a new Outcome “Resume” lifts a precautionary pause with the approval unchanged (AIG-DEC-04 v1.3, AIG-DEC-03 v1.10, §4.7.17, AIG-OPS-01 v1.11, AIG-OPS-03 v1.9). AIG-GOV-01 and AIG-GOV-03 v1.33. Suite release v3.9.8.</w:t>
            </w:r>
          </w:p>
        </w:tc>
      </w:tr>
      <w:tr>
        <w:trPr>
          <w:cantSplit/>
        </w:trPr>
        <w:tc>
          <w:tcPr>
            <w:tcW w:type="dxa" w:w="180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1.34 draft</w:t>
            </w:r>
          </w:p>
        </w:tc>
        <w:tc>
          <w:tcPr>
            <w:tcW w:type="dxa" w:w="786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4 October 2026: v3.9.9 (Proposed — for Council confirmation): proportionate Agent Record (ASBOM). Every agent that can act has at least the core record (identity, approved purpose, owner and platform, agency tier and its agency profile, what it can act on and do, whose credentials it uses, oversight mode, how to stop it and undo what it did, permitted autonomy and its decision, review date); persistence, memory, tool discovery or credential access and delegation each add their own sheets; the full ASBOM, including the Agent Authority Graph, is required at T3 and above, with financial authority, or while the tier is unassessed (fail safe). “Not disclosed by supplier” is allowed for supplier-side detail of a bought-in agent, recorded as a risk, but never for a core field. The workbook shows the level each agent needs (new column BL) and its Record QA checks the core fields and the level’s sheets before go-live; the security controls are set by the AIG-ASS-11 review rather than all defaulting to Required (AIG-AGT-04 v0.6). Aligned: AIG-GOV-02 v19.9.18 (F.2, F.3, F.7.8, F.7.16), AIG-AGT-01 v1.5, AIG-AGT-03 v1.6, AIG-AGT-05 v1.5 (when the graph is required), AIG-DEC-01 v1.13, AIG-DEC-03 v1.11, AIG-ASS-03 v1.12, AIG-ASS-08 v1.8, AIG-INV-01 v1.9, AIG-INV-03 v1.10, AIG-OPS-01 v1.12, AIG-ASS-11 v1.10 (Runtime Controls hold the controls marked Required) and AIG-GOV-06 v1.11 (agentic assurance proportionate). AIG-GOV-01 and AIG-GOV-03 v1.34. Suite release v3.9.9.</w:t>
            </w:r>
          </w:p>
        </w:tc>
      </w:tr>
      <w:tr>
        <w:trPr>
          <w:cantSplit/>
        </w:trPr>
        <w:tc>
          <w:tcPr>
            <w:tcW w:type="dxa" w:w="180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1.35 draft</w:t>
            </w:r>
          </w:p>
        </w:tc>
        <w:tc>
          <w:tcPr>
            <w:tcW w:type="dxa" w:w="786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pPr>
            <w:r>
              <w:rPr>
                <w:rFonts w:ascii="Arial" w:hAnsi="Arial"/>
                <w:sz w:val="16"/>
              </w:rPr>
              <w:t>12 October 2026: v3.9.10 (Proposed — for Council confirmation): data governance links. The AI Register (AIG-INV-04 v1.2) gains column AA, Information asset reference, linking each system to the Council's Information Asset Register without repeating the asset owner; the row check counts it and columns A to Z are unchanged. The AIMS Roles plan (AIG-AIMS-04 v1.3) adds a Data Steward role (ROL-20). The DPIA (AIG-ASS-05) and Intake Form (AIG-INV-03) add a record of processing (ROPA) reference. The requirements register (AIG-AIMS-05 v1.9) adds REQ-057 DAMA-DMBOK and REQ-058 ISO/IEC 5259 as voluntary references, and every artefact that cites the inventory now cites 58 entries; the clause conformity register (AIG-AIMS-06 v1.8) and the source assurance register (AIG-AIMS-13 v1.5, two new source records) follow. AIG-GOV-01 and AIG-GOV-03 v1.35. Suite release v3.9.10.</w:t>
            </w:r>
          </w:p>
        </w:tc>
      </w:tr>
      <w:tr>
        <w:trPr>
          <w:cantSplit/>
        </w:trPr>
        <w:tc>
          <w:tcPr>
            <w:tcW w:type="dxa" w:w="180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rPr/>
            </w:pPr>
            <w:r>
              <w:rPr>
                <w:rFonts w:ascii="Arial" w:hAnsi="Arial"/>
                <w:sz w:val="16"/>
              </w:rPr>
              <w:t xml:space="preserve">1.36 draft</w:t>
            </w:r>
          </w:p>
        </w:tc>
        <w:tc>
          <w:tcPr>
            <w:tcW w:type="dxa" w:w="786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rPr/>
            </w:pPr>
            <w:r>
              <w:rPr>
                <w:rFonts w:ascii="Arial" w:hAnsi="Arial"/>
                <w:sz w:val="16"/>
              </w:rPr>
              <w:t xml:space="preserve">14 October 2026: v3.9.11: currency. References to the UK AI Regulation White Paper (March 2023) removed from the suite as no longer current: Playbook AIG-GOV-02 v19.9.22 (§1.1, §2.5), AIG-OPS-04 v1.7 (purpose statement), AIG-GOV-01 and AIG-GOV-03 v1.36 (artefact directory and index rows). The regulatory context now anchors on the AI Playbook for the UK Government (February 2025) and the Data and AI Ethics Framework (December 2025). Also records Playbook v19.9.20 (editorial pass, §4.3.15 Environmental Impact Considerations) and v19.9.21 (UK GDPR completeness: §5.5.2 international transfers, §5.6.5 records of processing, individual rights and complaints). Playbook v19.9.22 also restructures §3.8 for clarity (AIR-ID and UC-ID explained up front; the three routes described once; new §3.8.3 on AI already in use) and, following an independent read-through, removes repetition throughout so each rule is stated once, consolidates tier requirements in §4.5.9 and assurance in Chapter 6, and applies the author’s decisions (Proposed — for Council confirmation): the AI Assurance Board is advisory; a Board opinion for every High-risk use; the Responsible AI Assessment for Medium-risk uses before Gate 3; AI training before first use and at induction. Suite release v3.9.11.</w:t>
            </w:r>
          </w:p>
        </w:tc>
      </w:tr>
      <w:tr>
        <w:trPr>
          <w:cantSplit/>
        </w:trPr>
        <w:tc>
          <w:tcPr>
            <w:tcW w:type="dxa" w:w="1800"/>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rPr/>
            </w:pPr>
            <w:r>
              <w:rPr>
                <w:rFonts w:ascii="Arial" w:hAnsi="Arial"/>
                <w:sz w:val="16"/>
              </w:rPr>
              <w:t xml:space="preserve">1.37 draft</w:t>
            </w:r>
          </w:p>
        </w:tc>
        <w:tc>
          <w:tcPr>
            <w:tcW w:type="dxa" w:w="7862"/>
            <w:vAlign w:val="center"/>
            <w:shd w:fill="F5F8FB"/>
            <w:tcBorders>
              <w:top w:val="single" w:sz="4" w:color="D9D9D9"/>
              <w:left w:val="single" w:sz="4" w:color="D9D9D9"/>
              <w:bottom w:val="single" w:sz="4" w:color="D9D9D9"/>
              <w:right w:val="single" w:sz="4" w:color="D9D9D9"/>
            </w:tcBorders>
            <w:tcMar>
              <w:top w:w="70" w:type="dxa"/>
              <w:start w:w="90" w:type="dxa"/>
              <w:bottom w:w="70" w:type="dxa"/>
              <w:end w:w="90" w:type="dxa"/>
            </w:tcMar>
          </w:tcPr>
          <w:p>
            <w:pPr>
              <w:spacing w:after="0" w:line="259" w:lineRule="auto"/>
              <w:rPr/>
            </w:pPr>
            <w:r>
              <w:rPr>
                <w:rFonts w:ascii="Arial" w:hAnsi="Arial"/>
                <w:sz w:val="16"/>
              </w:rPr>
              <w:t xml:space="preserve">16 October 2026: v3.9.11 update (Proposed — for Council confirmation): agents built on an approved platform. Playbook AIG-GOV-02 v19.9.23 adds Appendix F.8 Agents Built on an Approved Platform: staff-built agents on a platform already on the AI Register (for example Microsoft 365 Copilot) are governed through platform guardrails set once, approved patterns, and seven triggers that bring higher-impact agents through individual intake, aligned with the LGA’s playbook for agentic AI in local government (9 October 2026). AIG-AGT-04 v0.7 adds a Platform Agent Inventory sheet recording each such agent with its class and named owner; its columns match the Multi-Board Triage tool’s platform agent screening download. No other artefact changed. Suite release v3.9.11.</w:t>
            </w:r>
          </w:p>
        </w:tc>
      </w:tr>
    </w:tbl>
    <w:p>
      <w:pPr>
        <w:spacing w:after="0"/>
      </w:pPr>
    </w:p>
    <w:p>
      <w:r>
        <w:t>Before release, reconcile IDs, titles, versions and draft status with AIG-GOV-03 and the filenames. AIG-AIMS-05 and AIG-AIMS-13 hold applicability and source checks. Approval of this suite would not itself delegate power for later amendments; the Council must confirm that authority and its transition rules.</w:t>
      </w:r>
    </w:p>
    <w:sectPr w:rsidR="00FC693F" w:rsidRPr="0006063C" w:rsidSect="00034616">
      <w:headerReference w:type="default" r:id="rId9"/>
      <w:footerReference w:type="default" r:id="rId10"/>
      <w:footerReference w:type="first" r:id="rId11"/>
      <w:footerReference w:type="even" r:id="rId12"/>
      <w:headerReference w:type="first" r:id="rId13"/>
      <w:headerReference w:type="even" r:id="rId14"/>
      <w:pgSz w:w="11909" w:h="16834"/>
      <w:pgMar w:top="1037" w:right="1123" w:bottom="965" w:left="1123"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05E6E"/>
        <w:sz w:val="16"/>
      </w:rPr>
      <w:t xml:space="preserve">AIG-GOV-01  ·  v1.3</w:t>
    </w:r>
    <w:r>
      <w:rPr>
        <w:rFonts w:ascii="Arial" w:hAnsi="Arial"/>
        <w:color w:val="505E6E"/>
        <w:sz w:val="16"/>
      </w:rPr>
      <w:t xml:space="preserve">7</w:t>
    </w:r>
    <w:r>
      <w:rPr>
        <w:rFonts w:ascii="Arial" w:hAnsi="Arial"/>
        <w:color w:val="505E6E"/>
        <w:sz w:val="16"/>
      </w:rPr>
      <w:t xml:space="preserve"> draft  ·  Draft for Council review  ·  OFFICIAL  ·  Page </w:t>
    </w:r>
    <w:fldSimple w:instr="PAGE"/>
    <w:r>
      <w:rPr>
        <w:rFonts w:ascii="Arial" w:hAnsi="Arial"/>
        <w:color w:val="505E6E"/>
        <w:sz w:val="16"/>
      </w:rPr>
      <w:t xml:space="preserve"> of </w:t>
    </w:r>
    <w:fldSimple w:instr="NUMPAGES"/>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05E6E"/>
        <w:sz w:val="16"/>
      </w:rPr>
      <w:t>The Council  |  AI Governance Implementation Suite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91E2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A2342"/>
      <w:sz w:val="23"/>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A2342"/>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0A2342"/>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The Council</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AIG-GOV-01 README and Artefact Directory</dc:title>
  <dc:subject>The Council AI governance suite v3.9.9</dc:subject>
  <dc:creator>AI Governance Lead</dc:creator>
  <cp:keywords>OFFICIAL; AI governance; draft for Council review</cp:keywords>
  <dc:description>Draft for Council review; not approved.</dc:description>
  <cp:lastModifiedBy>AI Governance Lead</cp:lastModifiedBy>
  <cp:revision>1</cp:revision>
  <dcterms:created xsi:type="dcterms:W3CDTF">2026-09-29T00:00:00Z</dcterms:created>
  <dcterms:modified xsi:type="dcterms:W3CDTF">2026-10-01T12:00:00Z</dcterms:modified>
  <cp:category>AI governance</cp:category>
  <cp:contentStatus>Draft for Council review</cp:contentStatus>
  <cp:version>1.34 draft</cp:version>
  <dc:language>en-GB</dc:language>
</cp:coreProperties>
</file>