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ns1="http://schemas.microsoft.com/office/word/2010/wordml" xmlns:r="http://schemas.openxmlformats.org/officeDocument/2006/relationships" xmlns:w="http://schemas.openxmlformats.org/wordprocessingml/2006/main">
  <w:body>
    <w:p w:rsidR="00000000" w:rsidDel="00000000" w:rsidP="00000000" w:rsidRDefault="00000000" w:rsidRPr="00000000" ns1:paraId="00000001">
      <w:pPr>
        <w:spacing w:after="20" w:lineRule="auto"/>
        <w:rPr/>
      </w:pPr>
      <w:r>
        <w:rPr>
          <w:rtl w:val="0"/>
        </w:rPr>
        <w:t>AIG-GOV-05 — The Council — AI Policy Statement</w:t>
      </w:r>
    </w:p>
    <w:p w:rsidR="00000000" w:rsidDel="00000000" w:rsidP="00000000" w:rsidRDefault="00000000" w:rsidRPr="00000000" ns1:paraId="00000002">
      <w:pPr>
        <w:spacing w:after="0" w:lineRule="auto"/>
        <w:rPr/>
      </w:pPr>
      <w:r>
        <w:rPr>
          <w:rtl w:val="0"/>
        </w:rPr>
        <w:t xml:space="preserve">AI Policy Statement</w:t>
      </w:r>
    </w:p>
    <w:p w:rsidR="00000000" w:rsidDel="00000000" w:rsidP="00000000" w:rsidRDefault="00000000" w:rsidRPr="00000000" ns1:paraId="00000003">
      <w:pPr>
        <w:pBdr>
          <w:bottom w:color="c9a442" w:space="2" w:sz="12" w:val="single"/>
        </w:pBdr>
        <w:spacing w:after="0" w:lineRule="auto"/>
        <w:rPr/>
      </w:pPr>
      <w:r>
        <w:rPr>
          <w:rtl w:val="0"/>
        </w:rPr>
        <w:t xml:space="preserve">AI Governance Playbook (Level 5 document)  ·  ISO/IEC 42001:2023 clause 5.2</w:t>
      </w:r>
    </w:p>
    <w:p w:rsidR="00000000" w:rsidDel="00000000" w:rsidP="00000000" w:rsidRDefault="00000000" w:rsidRPr="00000000" ns1:paraId="00000004">
      <w:pPr>
        <w:spacing w:after="120" w:before="140" w:lineRule="auto"/>
        <w:rPr/>
      </w:pPr>
      <w:r>
        <w:rPr>
          <w:rtl w:val="0"/>
        </w:rPr>
        <w:t xml:space="preserve">This statement carries the management-system commitments that ISO/IEC 42001:2023 clause 5.2 requires of an AI policy. It sits with, and does not replace, the Responsible AI Policy and Acceptable Use Policy in Chapter 5 of the playbook; it makes the clause 5.2 commitments explicit and controlled. It is proposed for formal adoption by the competent Council authority under the Constitution and Scheme of Delegation and reviewed at least annually at the AIMS management review (AIG-AIMS-09) and after material change. The AI Assurance Board provides assurance and recommendation unless a separate confirmed delegation assigns it adoption authority. Draft for Council review; clause references to be validated against the Council's licensed copy of the standard.</w:t>
      </w:r>
    </w:p>
    <w:p w:rsidR="00000000" w:rsidDel="00000000" w:rsidP="00000000" w:rsidRDefault="00000000" w:rsidRPr="00000000" ns1:paraId="00000005">
      <w:pPr>
        <w:shd w:fill="0a2342" w:val="clear"/>
        <w:spacing w:after="100" w:before="220" w:lineRule="auto"/>
        <w:rPr/>
      </w:pPr>
      <w:r>
        <w:rPr>
          <w:rFonts w:ascii="Arial" w:cs="Arial" w:eastAsia="Arial" w:hAnsi="Arial"/>
          <w:b w:val="1"/>
          <w:bCs w:val="1"/>
          <w:color w:val="ffffff"/>
          <w:sz w:val="20"/>
          <w:szCs w:val="20"/>
          <w:rtl w:val="0"/>
        </w:rPr>
        <w:t xml:space="preserve">  Policy statement</w:t>
      </w:r>
      <w:r>
        <w:rPr>
          <w:rtl w:val="0"/>
        </w:rPr>
      </w:r>
    </w:p>
    <w:p w:rsidR="00000000" w:rsidDel="00000000" w:rsidP="00000000" w:rsidRDefault="00000000" w:rsidRPr="00000000" ns1:paraId="00000006">
      <w:pPr>
        <w:spacing w:after="120" w:lineRule="auto"/>
        <w:jc w:val="both"/>
        <w:rPr/>
      </w:pPr>
      <w:r>
        <w:rPr>
          <w:rtl w:val="0"/>
        </w:rPr>
        <w:t xml:space="preserve">The Council is committed to adopting and operating artificial intelligence responsibly, so that its use is lawful, safe, fair, transparent, accountable and value-for-money, and serves residents and Council priorities. This policy applies to all AI systems within the scope of the AI Management System (AIMS).</w:t>
      </w:r>
    </w:p>
    <w:p>
      <w:pPr>
        <w:shd w:fill="0a2342" w:val="clear"/>
        <w:spacing w:after="100" w:before="220" w:lineRule="auto"/>
        <w:rPr/>
      </w:pPr>
      <w:r>
        <w:rPr>
          <w:rFonts w:ascii="Arial" w:cs="Arial" w:eastAsia="Arial" w:hAnsi="Arial"/>
          <w:b w:val="1"/>
          <w:bCs w:val="1"/>
          <w:color w:val="ffffff"/>
          <w:sz w:val="20"/>
          <w:szCs w:val="20"/>
          <w:rtl w:val="0"/>
        </w:rPr>
        <w:t xml:space="preserve">Scope of permission — system registration is not authority to use every capability or purpose. Staff and service owners must verify the current decision for the exact UC-ID, scope and conditions; materially different uses require separate risk/priority and delegated decision evidence. Ordinary use remains non-agentic unless it can take actions.</w:t>
      </w:r>
    </w:p>
    <w:p w:rsidR="00000000" w:rsidDel="00000000" w:rsidP="00000000" w:rsidRDefault="00000000" w:rsidRPr="00000000" ns1:paraId="00000007">
      <w:pPr>
        <w:shd w:fill="0a2342" w:val="clear"/>
        <w:spacing w:after="100" w:before="220" w:lineRule="auto"/>
        <w:rPr/>
      </w:pPr>
      <w:r>
        <w:rPr>
          <w:rFonts w:ascii="Arial" w:cs="Arial" w:eastAsia="Arial" w:hAnsi="Arial"/>
          <w:b w:val="1"/>
          <w:bCs w:val="1"/>
          <w:color w:val="ffffff"/>
          <w:sz w:val="20"/>
          <w:szCs w:val="20"/>
          <w:rtl w:val="0"/>
        </w:rPr>
        <w:t xml:space="preserve">  Our commitments</w:t>
      </w:r>
      <w:r>
        <w:rPr>
          <w:rtl w:val="0"/>
        </w:rPr>
      </w:r>
    </w:p>
    <w:p w:rsidR="00000000" w:rsidDel="00000000" w:rsidP="00000000" w:rsidRDefault="00000000" w:rsidRPr="00000000" ns1: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Purpose and context. This policy is appropriate to the purpose and context of the Council and to the nature of the AI risks it faces, and reflects the Council's strategic direction.</w:t>
      </w:r>
    </w:p>
    <w:p w:rsidR="00000000" w:rsidDel="00000000" w:rsidP="00000000" w:rsidRDefault="00000000" w:rsidRPr="00000000" ns1: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Framework for objectives. This policy, and the eight Responsible AI principles it upholds, provide the framework within which the Council's AIMS objectives are set and reviewed.</w:t>
      </w:r>
    </w:p>
    <w:p w:rsidR="00000000" w:rsidDel="00000000" w:rsidP="00000000" w:rsidRDefault="00000000" w:rsidRPr="00000000" ns1: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Applicable requirements. The Council commits to satisfying the legal, regulatory and other requirements applicable to its use of AI, as identified and kept current in the Applicable Requirements and Change Register (AIG-AIMS-05).</w:t>
      </w:r>
    </w:p>
    <w:p w:rsidR="00000000" w:rsidDel="00000000" w:rsidP="00000000" w:rsidRDefault="00000000" w:rsidRPr="00000000" ns1: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Continual improvement. The Council commits to the continual improvement of the AI Management System, so that its suitability, adequacy and effectiveness increase over time, informed by monitoring, audit, incidents and management review.</w:t>
      </w:r>
    </w:p>
    <w:p w:rsidR="00000000" w:rsidDel="00000000" w:rsidP="00000000" w:rsidRDefault="00000000" w:rsidRPr="00000000" ns1:paraId="0000000C">
      <w:pPr>
        <w:shd w:fill="0a2342" w:val="clear"/>
        <w:spacing w:after="100" w:before="220" w:lineRule="auto"/>
        <w:rPr/>
      </w:pPr>
      <w:r>
        <w:rPr>
          <w:rFonts w:ascii="Arial" w:cs="Arial" w:eastAsia="Arial" w:hAnsi="Arial"/>
          <w:b w:val="1"/>
          <w:bCs w:val="1"/>
          <w:color w:val="ffffff"/>
          <w:sz w:val="20"/>
          <w:szCs w:val="20"/>
          <w:rtl w:val="0"/>
        </w:rPr>
        <w:t xml:space="preserve">  Availability and communication</w:t>
      </w:r>
      <w:r>
        <w:rPr>
          <w:rtl w:val="0"/>
        </w:rPr>
      </w:r>
    </w:p>
    <w:p w:rsidR="00000000" w:rsidDel="00000000" w:rsidP="00000000" w:rsidRDefault="00000000" w:rsidRPr="00000000" ns1:paraId="0000000D">
      <w:pPr>
        <w:spacing w:after="120" w:lineRule="auto"/>
        <w:jc w:val="both"/>
        <w:rPr/>
      </w:pPr>
      <w:r>
        <w:rPr>
          <w:rtl w:val="0"/>
        </w:rPr>
        <w:t xml:space="preserve">This policy is documented and maintained as a controlled artefact. It is communicated to staff and to those who develop, procure or operate AI on the Council's behalf, and is made available to interested parties as appropriate, including through the Council's transparency arrangements. It is reviewed at least annually at the AIMS management review (AIG-AIMS-09) and after material change.</w:t>
      </w:r>
    </w:p>
    <w:p w:rsidR="00000000" w:rsidDel="00000000" w:rsidP="00000000" w:rsidRDefault="00000000" w:rsidRPr="00000000" ns1:paraId="0000000E">
      <w:pPr>
        <w:keepNext/>
        <w:shd w:fill="0a2342" w:val="clear"/>
        <w:spacing w:after="100" w:before="220" w:lineRule="auto"/>
        <w:rPr/>
      </w:pPr>
      <w:r>
        <w:rPr>
          <w:rFonts w:ascii="Arial" w:cs="Arial" w:eastAsia="Arial" w:hAnsi="Arial"/>
          <w:b w:val="1"/>
          <w:bCs w:val="1"/>
          <w:color w:val="ffffff"/>
          <w:sz w:val="20"/>
          <w:szCs w:val="20"/>
          <w:rtl w:val="0"/>
        </w:rPr>
        <w:t xml:space="preserve">  Adoption</w:t>
      </w:r>
      <w:r>
        <w:rPr>
          <w:rtl w:val="0"/>
        </w:rPr>
      </w:r>
    </w:p>
    <w:tbl>
      <w:tblPr>
        <w:tblStyle w:val="Table1"/>
        <w:tblW w:w="9600.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000"/>
      </w:tblPr>
      <w:tblGrid>
        <w:gridCol w:w="3200"/>
        <w:gridCol w:w="6400"/>
        <w:tblGridChange w:id="0">
          <w:tblGrid>
            <w:gridCol w:w="3200"/>
            <w:gridCol w:w="6400"/>
          </w:tblGrid>
        </w:tblGridChange>
      </w:tblGrid>
      <w:tr>
        <w:trPr>
          <w:cantSplit/>
          <w:tblHeader w:val="0"/>
        </w:trPr>
        <w:tc>
          <w:tcPr>
            <w:tcMar>
              <w:top w:w="50.0" w:type="dxa"/>
              <w:left w:w="100.0" w:type="dxa"/>
              <w:bottom w:w="50.0" w:type="dxa"/>
              <w:right w:w="100.0" w:type="dxa"/>
            </w:tcMar>
          </w:tcPr>
          <w:p w:rsidR="00000000" w:rsidDel="00000000" w:rsidP="00000000" w:rsidRDefault="00000000" w:rsidRPr="00000000" ns1:paraId="0000000F">
            <w:pPr>
              <w:keepNext/>
              <w:rPr/>
            </w:pPr>
            <w:r>
              <w:rPr>
                <w:rtl w:val="0"/>
              </w:rPr>
              <w:t xml:space="preserve">Adopting authority (under confirmed Council delegation)</w:t>
            </w:r>
          </w:p>
        </w:tc>
        <w:tc>
          <w:tcPr>
            <w:shd w:fill="ddebf7" w:val="clear"/>
            <w:tcMar>
              <w:top w:w="50.0" w:type="dxa"/>
              <w:left w:w="100.0" w:type="dxa"/>
              <w:bottom w:w="50.0" w:type="dxa"/>
              <w:right w:w="100.0" w:type="dxa"/>
            </w:tcMar>
          </w:tcPr>
          <w:p w:rsidR="00000000" w:rsidDel="00000000" w:rsidP="00000000" w:rsidRDefault="00000000" w:rsidRPr="00000000" ns1:paraId="00000010">
            <w:pPr>
              <w:keepNext/>
              <w:rPr/>
            </w:pPr>
            <w:r>
              <w:rPr>
                <w:rtl w:val="0"/>
              </w:rPr>
            </w:r>
          </w:p>
        </w:tc>
      </w:tr>
      <w:tr>
        <w:trPr>
          <w:cantSplit/>
          <w:tblHeader w:val="0"/>
        </w:trPr>
        <w:tc>
          <w:tcPr>
            <w:tcMar>
              <w:top w:w="50.0" w:type="dxa"/>
              <w:left w:w="100.0" w:type="dxa"/>
              <w:bottom w:w="50.0" w:type="dxa"/>
              <w:right w:w="100.0" w:type="dxa"/>
            </w:tcMar>
          </w:tcPr>
          <w:p w:rsidR="00000000" w:rsidDel="00000000" w:rsidP="00000000" w:rsidRDefault="00000000" w:rsidRPr="00000000" ns1:paraId="00000011">
            <w:pPr>
              <w:keepNext/>
              <w:rPr/>
            </w:pPr>
            <w:r>
              <w:rPr>
                <w:rtl w:val="0"/>
              </w:rPr>
              <w:t xml:space="preserve">Signature</w:t>
            </w:r>
          </w:p>
        </w:tc>
        <w:tc>
          <w:tcPr>
            <w:shd w:fill="ddebf7" w:val="clear"/>
            <w:tcMar>
              <w:top w:w="50.0" w:type="dxa"/>
              <w:left w:w="100.0" w:type="dxa"/>
              <w:bottom w:w="50.0" w:type="dxa"/>
              <w:right w:w="100.0" w:type="dxa"/>
            </w:tcMar>
          </w:tcPr>
          <w:p w:rsidR="00000000" w:rsidDel="00000000" w:rsidP="00000000" w:rsidRDefault="00000000" w:rsidRPr="00000000" ns1:paraId="00000012">
            <w:pPr>
              <w:keepNext/>
              <w:rPr/>
            </w:pPr>
            <w:r>
              <w:rPr>
                <w:rtl w:val="0"/>
              </w:rPr>
            </w:r>
          </w:p>
        </w:tc>
      </w:tr>
      <w:tr>
        <w:trPr>
          <w:cantSplit/>
          <w:tblHeader w:val="0"/>
        </w:trPr>
        <w:tc>
          <w:tcPr>
            <w:tcMar>
              <w:top w:w="50.0" w:type="dxa"/>
              <w:left w:w="100.0" w:type="dxa"/>
              <w:bottom w:w="50.0" w:type="dxa"/>
              <w:right w:w="100.0" w:type="dxa"/>
            </w:tcMar>
          </w:tcPr>
          <w:p w:rsidR="00000000" w:rsidDel="00000000" w:rsidP="00000000" w:rsidRDefault="00000000" w:rsidRPr="00000000" ns1:paraId="00000013">
            <w:pPr>
              <w:keepNext/>
              <w:rPr/>
            </w:pPr>
            <w:r>
              <w:rPr>
                <w:rtl w:val="0"/>
              </w:rPr>
              <w:t xml:space="preserve">Date of adoption</w:t>
            </w:r>
          </w:p>
        </w:tc>
        <w:tc>
          <w:tcPr>
            <w:shd w:fill="ddebf7" w:val="clear"/>
            <w:tcMar>
              <w:top w:w="50.0" w:type="dxa"/>
              <w:left w:w="100.0" w:type="dxa"/>
              <w:bottom w:w="50.0" w:type="dxa"/>
              <w:right w:w="100.0" w:type="dxa"/>
            </w:tcMar>
          </w:tcPr>
          <w:p w:rsidR="00000000" w:rsidDel="00000000" w:rsidP="00000000" w:rsidRDefault="00000000" w:rsidRPr="00000000" ns1:paraId="00000014">
            <w:pPr>
              <w:keepNext/>
              <w:rPr/>
            </w:pPr>
            <w:r>
              <w:rPr>
                <w:rtl w:val="0"/>
              </w:rPr>
            </w:r>
          </w:p>
        </w:tc>
      </w:tr>
      <w:tr>
        <w:trPr>
          <w:cantSplit/>
          <w:tblHeader w:val="0"/>
        </w:trPr>
        <w:tc>
          <w:tcPr>
            <w:tcMar>
              <w:top w:w="50.0" w:type="dxa"/>
              <w:left w:w="100.0" w:type="dxa"/>
              <w:bottom w:w="50.0" w:type="dxa"/>
              <w:right w:w="100.0" w:type="dxa"/>
            </w:tcMar>
          </w:tcPr>
          <w:p w:rsidR="00000000" w:rsidDel="00000000" w:rsidP="00000000" w:rsidRDefault="00000000" w:rsidRPr="00000000" ns1:paraId="00000015">
            <w:pPr>
              <w:rPr/>
            </w:pPr>
            <w:r>
              <w:rPr>
                <w:rtl w:val="0"/>
              </w:rPr>
              <w:t xml:space="preserve">Next review</w:t>
            </w:r>
          </w:p>
        </w:tc>
        <w:tc>
          <w:tcPr>
            <w:shd w:fill="ddebf7" w:val="clear"/>
            <w:tcMar>
              <w:top w:w="50.0" w:type="dxa"/>
              <w:left w:w="100.0" w:type="dxa"/>
              <w:bottom w:w="50.0" w:type="dxa"/>
              <w:right w:w="100.0" w:type="dxa"/>
            </w:tcMar>
          </w:tcPr>
          <w:p w:rsidR="00000000" w:rsidDel="00000000" w:rsidP="00000000" w:rsidRDefault="00000000" w:rsidRPr="00000000" ns1:paraId="00000016">
            <w:pPr>
              <w:rPr/>
            </w:pPr>
            <w:r>
              <w:rPr>
                <w:rtl w:val="0"/>
              </w:rPr>
            </w:r>
          </w:p>
        </w:tc>
      </w:tr>
    </w:tbl>
    <w:p w:rsidR="00000000" w:rsidDel="00000000" w:rsidP="00000000" w:rsidRDefault="00000000" w:rsidRPr="00000000" ns1: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pPr>
        <w:keepNext/>
        <w:shd w:fill="0a2342" w:val="clear"/>
        <w:spacing w:after="100" w:before="220" w:lineRule="auto"/>
        <w:rPr/>
      </w:pPr>
      <w:r>
        <w:rPr>
          <w:rFonts w:ascii="Arial" w:cs="Arial" w:eastAsia="Arial" w:hAnsi="Arial"/>
          <w:b w:val="1"/>
          <w:bCs w:val="1"/>
          <w:color w:val="ffffff"/>
          <w:sz w:val="20"/>
          <w:szCs w:val="20"/>
          <w:rtl w:val="0"/>
        </w:rPr>
        <w:t xml:space="preserve">  Document control</w:t>
      </w:r>
      <w:r>
        <w:rPr>
          <w:rtl w:val="0"/>
        </w:rPr>
      </w:r>
    </w:p>
    <w:tbl>
      <w:tblPr>
        <w:tblStyle w:val="Table1"/>
        <w:tblW w:w="960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000"/>
      </w:tblPr>
      <w:tblGrid>
        <w:gridCol w:w="3200"/>
        <w:gridCol w:w="6400"/>
      </w:tblGrid>
      <w:tr>
        <w:trPr>
          <w:cantSplit/>
        </w:trPr>
        <w:tc>
          <w:tcPr>
            <w:tcW w:type="dxa" w:w="3200"/>
            <w:tcMar>
              <w:top w:w="50" w:type="dxa"/>
              <w:left w:w="100" w:type="dxa"/>
              <w:bottom w:w="50" w:type="dxa"/>
              <w:right w:w="100" w:type="dxa"/>
            </w:tcMar>
          </w:tcPr>
          <w:p>
            <w:pPr>
              <w:spacing w:after="0"/>
            </w:pPr>
            <w:r>
              <w:t xml:space="preserve">Document ID</w:t>
            </w:r>
          </w:p>
        </w:tc>
        <w:tc>
          <w:tcPr>
            <w:tcW w:type="dxa" w:w="6400"/>
            <w:tcMar>
              <w:top w:w="50" w:type="dxa"/>
              <w:left w:w="100" w:type="dxa"/>
              <w:bottom w:w="50" w:type="dxa"/>
              <w:right w:w="100" w:type="dxa"/>
            </w:tcMar>
          </w:tcPr>
          <w:p>
            <w:pPr>
              <w:spacing w:after="0"/>
            </w:pPr>
            <w:r>
              <w:t xml:space="preserve">AIG-GOV-05</w:t>
            </w:r>
          </w:p>
        </w:tc>
      </w:tr>
      <w:tr>
        <w:trPr>
          <w:cantSplit/>
        </w:trPr>
        <w:tc>
          <w:tcPr>
            <w:tcW w:type="dxa" w:w="3200"/>
            <w:tcMar>
              <w:top w:w="50" w:type="dxa"/>
              <w:left w:w="100" w:type="dxa"/>
              <w:bottom w:w="50" w:type="dxa"/>
              <w:right w:w="100" w:type="dxa"/>
            </w:tcMar>
          </w:tcPr>
          <w:p>
            <w:pPr>
              <w:spacing w:after="0"/>
            </w:pPr>
            <w:r>
              <w:t xml:space="preserve">Version</w:t>
            </w:r>
          </w:p>
        </w:tc>
        <w:tc>
          <w:tcPr>
            <w:tcW w:type="dxa" w:w="6400"/>
            <w:tcMar>
              <w:top w:w="50" w:type="dxa"/>
              <w:left w:w="100" w:type="dxa"/>
              <w:bottom w:w="50" w:type="dxa"/>
              <w:right w:w="100" w:type="dxa"/>
            </w:tcMar>
          </w:tcPr>
          <w:p>
            <w:pPr>
              <w:spacing w:after="0"/>
            </w:pPr>
            <w:r>
              <w:t>1.4 draft</w:t>
            </w:r>
          </w:p>
        </w:tc>
      </w:tr>
      <w:tr>
        <w:trPr>
          <w:cantSplit/>
        </w:trPr>
        <w:tc>
          <w:tcPr>
            <w:tcW w:type="dxa" w:w="3200"/>
            <w:tcMar>
              <w:top w:w="50" w:type="dxa"/>
              <w:left w:w="100" w:type="dxa"/>
              <w:bottom w:w="50" w:type="dxa"/>
              <w:right w:w="100" w:type="dxa"/>
            </w:tcMar>
          </w:tcPr>
          <w:p>
            <w:pPr>
              <w:spacing w:after="0"/>
            </w:pPr>
            <w:r>
              <w:t xml:space="preserve">Status</w:t>
            </w:r>
          </w:p>
        </w:tc>
        <w:tc>
          <w:tcPr>
            <w:tcW w:type="dxa" w:w="6400"/>
            <w:tcMar>
              <w:top w:w="50" w:type="dxa"/>
              <w:left w:w="100" w:type="dxa"/>
              <w:bottom w:w="50" w:type="dxa"/>
              <w:right w:w="100" w:type="dxa"/>
            </w:tcMar>
          </w:tcPr>
          <w:p>
            <w:pPr>
              <w:spacing w:after="0"/>
            </w:pPr>
            <w:r>
              <w:t xml:space="preserve">Draft for Council review</w:t>
            </w:r>
          </w:p>
        </w:tc>
      </w:tr>
      <w:tr>
        <w:trPr>
          <w:cantSplit/>
        </w:trPr>
        <w:tc>
          <w:tcPr>
            <w:tcW w:type="dxa" w:w="3200"/>
            <w:tcMar>
              <w:top w:w="50" w:type="dxa"/>
              <w:left w:w="100" w:type="dxa"/>
              <w:bottom w:w="50" w:type="dxa"/>
              <w:right w:w="100" w:type="dxa"/>
            </w:tcMar>
          </w:tcPr>
          <w:p>
            <w:pPr>
              <w:spacing w:after="0"/>
            </w:pPr>
            <w:r>
              <w:t xml:space="preserve">Document owner</w:t>
            </w:r>
          </w:p>
        </w:tc>
        <w:tc>
          <w:tcPr>
            <w:tcW w:type="dxa" w:w="6400"/>
            <w:tcMar>
              <w:top w:w="50" w:type="dxa"/>
              <w:left w:w="100" w:type="dxa"/>
              <w:bottom w:w="50" w:type="dxa"/>
              <w:right w:w="100" w:type="dxa"/>
            </w:tcMar>
          </w:tcPr>
          <w:p>
            <w:pPr>
              <w:spacing w:after="0"/>
            </w:pPr>
            <w:r>
              <w:t xml:space="preserve">AI Governance Lead (proposed custodian; to be confirmed)</w:t>
            </w:r>
          </w:p>
        </w:tc>
      </w:tr>
      <w:tr>
        <w:trPr>
          <w:cantSplit/>
        </w:trPr>
        <w:tc>
          <w:tcPr>
            <w:tcW w:type="dxa" w:w="3200"/>
            <w:tcMar>
              <w:top w:w="50" w:type="dxa"/>
              <w:left w:w="100" w:type="dxa"/>
              <w:bottom w:w="50" w:type="dxa"/>
              <w:right w:w="100" w:type="dxa"/>
            </w:tcMar>
          </w:tcPr>
          <w:p>
            <w:pPr>
              <w:spacing w:after="0"/>
            </w:pPr>
            <w:r>
              <w:t xml:space="preserve">Adopting authority</w:t>
            </w:r>
          </w:p>
        </w:tc>
        <w:tc>
          <w:tcPr>
            <w:tcW w:type="dxa" w:w="6400"/>
            <w:tcMar>
              <w:top w:w="50" w:type="dxa"/>
              <w:left w:w="100" w:type="dxa"/>
              <w:bottom w:w="50" w:type="dxa"/>
              <w:right w:w="100" w:type="dxa"/>
            </w:tcMar>
          </w:tcPr>
          <w:p>
            <w:pPr>
              <w:spacing w:after="0"/>
            </w:pPr>
            <w:r>
              <w:t xml:space="preserve">Competent Council authority under the Constitution and Scheme of Delegation (to be confirmed; Monitoring Officer to verify). The AI Assurance Board provides assurance and recommendation unless a separate confirmed delegation assigns it adoption authority.</w:t>
            </w:r>
          </w:p>
        </w:tc>
      </w:tr>
      <w:tr>
        <w:trPr>
          <w:cantSplit/>
        </w:trPr>
        <w:tc>
          <w:tcPr>
            <w:tcW w:type="dxa" w:w="3200"/>
            <w:tcMar>
              <w:top w:w="50" w:type="dxa"/>
              <w:left w:w="100" w:type="dxa"/>
              <w:bottom w:w="50" w:type="dxa"/>
              <w:right w:w="100" w:type="dxa"/>
            </w:tcMar>
          </w:tcPr>
          <w:p>
            <w:pPr>
              <w:spacing w:after="0"/>
            </w:pPr>
            <w:r>
              <w:t xml:space="preserve">Review</w:t>
            </w:r>
          </w:p>
        </w:tc>
        <w:tc>
          <w:tcPr>
            <w:tcW w:type="dxa" w:w="6400"/>
            <w:tcMar>
              <w:top w:w="50" w:type="dxa"/>
              <w:left w:w="100" w:type="dxa"/>
              <w:bottom w:w="50" w:type="dxa"/>
              <w:right w:w="100" w:type="dxa"/>
            </w:tcMar>
          </w:tcPr>
          <w:p>
            <w:pPr>
              <w:spacing w:after="0"/>
            </w:pPr>
            <w:r>
              <w:t xml:space="preserve">At least annually at the AIMS management review (AIG-AIMS-09) and after material change</w:t>
            </w:r>
          </w:p>
        </w:tc>
      </w:tr>
      <w:tr>
        <w:trPr>
          <w:cantSplit/>
        </w:trPr>
        <w:tc>
          <w:tcPr>
            <w:tcW w:type="dxa" w:w="3200"/>
            <w:tcMar>
              <w:top w:w="50" w:type="dxa"/>
              <w:left w:w="100" w:type="dxa"/>
              <w:bottom w:w="50" w:type="dxa"/>
              <w:right w:w="100" w:type="dxa"/>
            </w:tcMar>
          </w:tcPr>
          <w:p>
            <w:pPr>
              <w:spacing w:after="0"/>
            </w:pPr>
            <w:r>
              <w:t xml:space="preserve">Classification</w:t>
            </w:r>
          </w:p>
        </w:tc>
        <w:tc>
          <w:tcPr>
            <w:tcW w:type="dxa" w:w="6400"/>
            <w:tcMar>
              <w:top w:w="50" w:type="dxa"/>
              <w:left w:w="100" w:type="dxa"/>
              <w:bottom w:w="50" w:type="dxa"/>
              <w:right w:w="100" w:type="dxa"/>
            </w:tcMar>
          </w:tcPr>
          <w:p>
            <w:pPr>
              <w:spacing w:after="0"/>
            </w:pPr>
            <w:r>
              <w:t xml:space="preserve">OFFICIAL</w:t>
            </w:r>
          </w:p>
        </w:tc>
      </w:tr>
    </w:tbl>
    <w:p w:rsidR="00000000" w:rsidDel="00000000" w:rsidP="00000000" w:rsidRDefault="00000000" w:rsidRPr="00000000">
      <w:pPr>
        <w:keepNext/>
        <w:shd w:fill="0a2342" w:val="clear"/>
        <w:spacing w:after="100" w:before="220" w:lineRule="auto"/>
        <w:rPr/>
      </w:pPr>
      <w:r>
        <w:rPr>
          <w:rFonts w:ascii="Arial" w:cs="Arial" w:eastAsia="Arial" w:hAnsi="Arial"/>
          <w:b w:val="1"/>
          <w:bCs w:val="1"/>
          <w:color w:val="ffffff"/>
          <w:sz w:val="20"/>
          <w:szCs w:val="20"/>
          <w:rtl w:val="0"/>
        </w:rPr>
        <w:t xml:space="preserve">  Change history</w:t>
      </w:r>
      <w:r>
        <w:rPr>
          <w:rtl w:val="0"/>
        </w:rPr>
      </w:r>
    </w:p>
    <w:tbl>
      <w:tblPr>
        <w:tblStyle w:val="Table1"/>
        <w:tblW w:w="960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000"/>
      </w:tblPr>
      <w:tblGrid>
        <w:gridCol w:w="1700"/>
        <w:gridCol w:w="1900"/>
        <w:gridCol w:w="6000"/>
      </w:tblGrid>
      <w:tr>
        <w:trPr>
          <w:cantSplit/>
          <w:tblHeader/>
        </w:trPr>
        <w:tc>
          <w:tcPr>
            <w:tcW w:type="dxa" w:w="1700"/>
            <w:shd w:fill="0A2342" w:val="clear"/>
            <w:tcMar>
              <w:top w:w="50" w:type="dxa"/>
              <w:left w:w="100" w:type="dxa"/>
              <w:bottom w:w="50" w:type="dxa"/>
              <w:right w:w="100" w:type="dxa"/>
            </w:tcMar>
          </w:tcPr>
          <w:p>
            <w:pPr>
              <w:spacing w:after="0"/>
            </w:pPr>
            <w:r>
              <w:rPr>
                <w:b/>
                <w:color w:val="FFFFFF"/>
              </w:rPr>
              <w:t xml:space="preserve">Version</w:t>
            </w:r>
          </w:p>
        </w:tc>
        <w:tc>
          <w:tcPr>
            <w:tcW w:type="dxa" w:w="1900"/>
            <w:shd w:fill="0A2342" w:val="clear"/>
            <w:tcMar>
              <w:top w:w="50" w:type="dxa"/>
              <w:left w:w="100" w:type="dxa"/>
              <w:bottom w:w="50" w:type="dxa"/>
              <w:right w:w="100" w:type="dxa"/>
            </w:tcMar>
          </w:tcPr>
          <w:p>
            <w:pPr>
              <w:spacing w:after="0"/>
            </w:pPr>
            <w:r>
              <w:rPr>
                <w:b/>
                <w:color w:val="FFFFFF"/>
              </w:rPr>
              <w:t xml:space="preserve">Date</w:t>
            </w:r>
          </w:p>
        </w:tc>
        <w:tc>
          <w:tcPr>
            <w:tcW w:type="dxa" w:w="6000"/>
            <w:shd w:fill="0A2342" w:val="clear"/>
            <w:tcMar>
              <w:top w:w="50" w:type="dxa"/>
              <w:left w:w="100" w:type="dxa"/>
              <w:bottom w:w="50" w:type="dxa"/>
              <w:right w:w="100" w:type="dxa"/>
            </w:tcMar>
          </w:tcPr>
          <w:p>
            <w:pPr>
              <w:spacing w:after="0"/>
            </w:pPr>
            <w:r>
              <w:rPr>
                <w:b/>
                <w:color w:val="FFFFFF"/>
              </w:rPr>
              <w:t xml:space="preserve">Change summary</w:t>
            </w:r>
          </w:p>
        </w:tc>
      </w:tr>
      <w:tr>
        <w:trPr>
          <w:cantSplit/>
        </w:trPr>
        <w:tc>
          <w:tcPr>
            <w:tcW w:type="dxa" w:w="1700"/>
            <w:tcMar>
              <w:top w:w="50" w:type="dxa"/>
              <w:left w:w="100" w:type="dxa"/>
              <w:bottom w:w="50" w:type="dxa"/>
              <w:right w:w="100" w:type="dxa"/>
            </w:tcMar>
          </w:tcPr>
          <w:p>
            <w:pPr>
              <w:spacing w:after="0"/>
            </w:pPr>
            <w:r>
              <w:t xml:space="preserve">1.0 draft</w:t>
            </w:r>
          </w:p>
        </w:tc>
        <w:tc>
          <w:tcPr>
            <w:tcW w:type="dxa" w:w="1900"/>
            <w:tcMar>
              <w:top w:w="50" w:type="dxa"/>
              <w:left w:w="100" w:type="dxa"/>
              <w:bottom w:w="50" w:type="dxa"/>
              <w:right w:w="100" w:type="dxa"/>
            </w:tcMar>
          </w:tcPr>
          <w:p>
            <w:pPr>
              <w:spacing w:after="0"/>
            </w:pPr>
            <w:r>
              <w:t xml:space="preserve">August 2026</w:t>
            </w:r>
          </w:p>
        </w:tc>
        <w:tc>
          <w:tcPr>
            <w:tcW w:type="dxa" w:w="6000"/>
            <w:tcMar>
              <w:top w:w="50" w:type="dxa"/>
              <w:left w:w="100" w:type="dxa"/>
              <w:bottom w:w="50" w:type="dxa"/>
              <w:right w:w="100" w:type="dxa"/>
            </w:tcMar>
          </w:tcPr>
          <w:p>
            <w:pPr>
              <w:spacing w:after="0"/>
            </w:pPr>
            <w:r>
              <w:t xml:space="preserve">Initial controlled draft of the clause 5.2 AI policy statement.</w:t>
            </w:r>
          </w:p>
        </w:tc>
      </w:tr>
      <w:tr>
        <w:trPr>
          <w:cantSplit/>
        </w:trPr>
        <w:tc>
          <w:tcPr>
            <w:tcW w:type="dxa" w:w="1700"/>
            <w:tcMar>
              <w:top w:w="50" w:type="dxa"/>
              <w:left w:w="100" w:type="dxa"/>
              <w:bottom w:w="50" w:type="dxa"/>
              <w:right w:w="100" w:type="dxa"/>
            </w:tcMar>
          </w:tcPr>
          <w:p>
            <w:pPr>
              <w:spacing w:after="0"/>
            </w:pPr>
            <w:r>
              <w:t xml:space="preserve">1.1 draft</w:t>
            </w:r>
          </w:p>
        </w:tc>
        <w:tc>
          <w:tcPr>
            <w:tcW w:type="dxa" w:w="1900"/>
            <w:tcMar>
              <w:top w:w="50" w:type="dxa"/>
              <w:left w:w="100" w:type="dxa"/>
              <w:bottom w:w="50" w:type="dxa"/>
              <w:right w:w="100" w:type="dxa"/>
            </w:tcMar>
          </w:tcPr>
          <w:p>
            <w:pPr>
              <w:spacing w:after="0"/>
            </w:pPr>
            <w:r>
              <w:t xml:space="preserve">29 September 2026</w:t>
            </w:r>
          </w:p>
        </w:tc>
        <w:tc>
          <w:tcPr>
            <w:tcW w:type="dxa" w:w="6000"/>
            <w:tcMar>
              <w:top w:w="50" w:type="dxa"/>
              <w:left w:w="100" w:type="dxa"/>
              <w:bottom w:w="50" w:type="dxa"/>
              <w:right w:w="100" w:type="dxa"/>
            </w:tcMar>
          </w:tcPr>
          <w:p>
            <w:pPr>
              <w:spacing w:after="0"/>
            </w:pPr>
            <w:r>
              <w:t xml:space="preserve">QA remediation — applied findings QA-005, QA-086, QA-125 (see QA change log). Single review rule; document control added.</w:t>
            </w:r>
          </w:p>
        </w:tc>
      </w:tr>
      <w:tr>
        <w:trPr>
          <w:cantSplit/>
        </w:trPr>
        <w:tc>
          <w:tcPr>
            <w:tcW w:type="dxa" w:w="1700"/>
            <w:tcMar>
              <w:top w:w="50" w:type="dxa"/>
              <w:left w:w="100" w:type="dxa"/>
              <w:bottom w:w="50" w:type="dxa"/>
              <w:right w:w="100" w:type="dxa"/>
            </w:tcMar>
          </w:tcPr>
          <w:p>
            <w:pPr>
              <w:spacing w:after="0"/>
            </w:pPr>
            <w:r>
              <w:t xml:space="preserve">1.2 draft</w:t>
            </w:r>
          </w:p>
        </w:tc>
        <w:tc>
          <w:tcPr>
            <w:tcW w:type="dxa" w:w="1900"/>
            <w:tcMar>
              <w:top w:w="50" w:type="dxa"/>
              <w:left w:w="100" w:type="dxa"/>
              <w:bottom w:w="50" w:type="dxa"/>
              <w:right w:w="100" w:type="dxa"/>
            </w:tcMar>
          </w:tcPr>
          <w:p>
            <w:pPr>
              <w:spacing w:after="0"/>
            </w:pPr>
            <w:r>
              <w:t xml:space="preserve">30 September 2026</w:t>
            </w:r>
          </w:p>
        </w:tc>
        <w:tc>
          <w:tcPr>
            <w:tcW w:type="dxa" w:w="6000"/>
            <w:tcMar>
              <w:top w:w="50" w:type="dxa"/>
              <w:left w:w="100" w:type="dxa"/>
              <w:bottom w:w="50" w:type="dxa"/>
              <w:right w:w="100" w:type="dxa"/>
            </w:tcMar>
          </w:tcPr>
          <w:p>
            <w:pPr>
              <w:spacing w:after="0"/>
            </w:pPr>
            <w:r>
              <w:t xml:space="preserve">v3.9.1: standards cross-reference note updated to the 54-entry requirement inventory (AIG-AIMS-05 REQ-054, Civil Contingencies Act 2004, added).</w:t>
            </w:r>
          </w:p>
        </w:tc>
      </w:tr>
      <w:tr>
        <w:trPr>
          <w:cantSplit/>
        </w:trPr>
        <w:tc>
          <w:tcPr>
            <w:tcW w:type="dxa" w:w="1700"/>
            <w:tcMar>
              <w:top w:w="50" w:type="dxa"/>
              <w:left w:w="100" w:type="dxa"/>
              <w:bottom w:w="50" w:type="dxa"/>
              <w:right w:w="100" w:type="dxa"/>
            </w:tcMar>
          </w:tcPr>
          <w:p>
            <w:pPr>
              <w:spacing w:after="0"/>
            </w:pPr>
            <w:r>
              <w:t xml:space="preserve">1.3 draft</w:t>
            </w:r>
          </w:p>
        </w:tc>
        <w:tc>
          <w:tcPr>
            <w:tcW w:type="dxa" w:w="1900"/>
            <w:tcMar>
              <w:top w:w="50" w:type="dxa"/>
              <w:left w:w="100" w:type="dxa"/>
              <w:bottom w:w="50" w:type="dxa"/>
              <w:right w:w="100" w:type="dxa"/>
            </w:tcMar>
          </w:tcPr>
          <w:p>
            <w:pPr>
              <w:spacing w:after="0"/>
            </w:pPr>
            <w:r>
              <w:t xml:space="preserve">1 October 2026</w:t>
            </w:r>
          </w:p>
        </w:tc>
        <w:tc>
          <w:tcPr>
            <w:tcW w:type="dxa" w:w="6000"/>
            <w:tcMar>
              <w:top w:w="50" w:type="dxa"/>
              <w:left w:w="100" w:type="dxa"/>
              <w:bottom w:w="50" w:type="dxa"/>
              <w:right w:w="100" w:type="dxa"/>
            </w:tcMar>
          </w:tcPr>
          <w:p>
            <w:pPr>
              <w:spacing w:after="0"/>
            </w:pPr>
            <w:r>
              <w:t xml:space="preserve">v3.9.3: standards cross-reference note cites the 55-entry requirement inventory (AIG-AIMS-05 REQ-055, NIST AI 600-1 Generative AI Profile, added).</w:t>
            </w:r>
          </w:p>
        </w:tc>
      </w:tr>
      <w:tr>
        <w:trPr>
          <w:cantSplit/>
        </w:trPr>
        <w:tc>
          <w:tcPr>
            <w:tcW w:type="dxa" w:w="1700"/>
            <w:tcMar>
              <w:top w:w="50" w:type="dxa"/>
              <w:left w:w="100" w:type="dxa"/>
              <w:bottom w:w="50" w:type="dxa"/>
              <w:right w:w="100" w:type="dxa"/>
            </w:tcMar>
          </w:tcPr>
          <w:p>
            <w:pPr>
              <w:spacing w:after="0"/>
            </w:pPr>
            <w:r>
              <w:t>1.4 draft</w:t>
            </w:r>
          </w:p>
        </w:tc>
        <w:tc>
          <w:tcPr>
            <w:tcW w:type="dxa" w:w="1900"/>
            <w:tcMar>
              <w:top w:w="50" w:type="dxa"/>
              <w:left w:w="100" w:type="dxa"/>
              <w:bottom w:w="50" w:type="dxa"/>
              <w:right w:w="100" w:type="dxa"/>
            </w:tcMar>
          </w:tcPr>
          <w:p>
            <w:pPr>
              <w:spacing w:after="0"/>
            </w:pPr>
            <w:r>
              <w:t>2 October 2026</w:t>
            </w:r>
          </w:p>
        </w:tc>
        <w:tc>
          <w:tcPr>
            <w:tcW w:type="dxa" w:w="6000"/>
            <w:tcMar>
              <w:top w:w="50" w:type="dxa"/>
              <w:left w:w="100" w:type="dxa"/>
              <w:bottom w:w="50" w:type="dxa"/>
              <w:right w:w="100" w:type="dxa"/>
            </w:tcMar>
          </w:tcPr>
          <w:p>
            <w:pPr>
              <w:spacing w:after="0"/>
            </w:pPr>
            <w:r>
              <w:t>v3.9.5: standards cross-reference note cites the 56-entry requirement inventory (AIG-AIMS-05 REQ-056, SI 2026/425 ICO statutory code of practice on AI and automated decision-making, added). Proposed — for Council confirmation.</w:t>
            </w:r>
          </w:p>
        </w:tc>
      </w:tr>
      <w:tr>
        <w:trPr>
          <w:cantSplit/>
        </w:trPr>
        <w:tc>
          <w:tcPr>
            <w:tcW w:type="dxa" w:w="1700"/>
            <w:tcMar>
              <w:top w:w="50" w:type="dxa"/>
              <w:left w:w="100" w:type="dxa"/>
              <w:bottom w:w="50" w:type="dxa"/>
              <w:right w:w="100" w:type="dxa"/>
            </w:tcMar>
          </w:tcPr>
          <w:p>
            <w:pPr>
              <w:spacing w:after="0"/>
            </w:pPr>
            <w:r>
              <w:t>1.5 draft</w:t>
            </w:r>
          </w:p>
        </w:tc>
        <w:tc>
          <w:tcPr>
            <w:tcW w:type="dxa" w:w="1900"/>
            <w:tcMar>
              <w:top w:w="50" w:type="dxa"/>
              <w:left w:w="100" w:type="dxa"/>
              <w:bottom w:w="50" w:type="dxa"/>
              <w:right w:w="100" w:type="dxa"/>
            </w:tcMar>
          </w:tcPr>
          <w:p>
            <w:pPr>
              <w:spacing w:after="0"/>
            </w:pPr>
            <w:r>
              <w:t>12 October 2026: v3.9.10: standards cross-reference note cites the 58-entry requirement inventory (AIG-AIMS-05 REQ-057 DAMA-DMBOK and REQ-058 ISO/IEC 5259, added as voluntary data governance references).</w:t>
            </w:r>
          </w:p>
        </w:tc>
        <w:tc>
          <w:tcPr>
            <w:tcW w:type="dxa" w:w="6000"/>
            <w:tcMar>
              <w:top w:w="50" w:type="dxa"/>
              <w:left w:w="100" w:type="dxa"/>
              <w:bottom w:w="50" w:type="dxa"/>
              <w:right w:w="100" w:type="dxa"/>
            </w:tcMar>
          </w:tcPr>
          <w:p>
            <w:pPr>
              <w:spacing w:after="0"/>
            </w:pPr>
            <w:r>
              <w:t>v3.9.5: standards cross-reference note cites the 56-entry requirement inventory (AIG-AIMS-05 REQ-056, SI 2026/425 ICO statutory code of practice on AI and automated decision-making, added). Proposed — for Council confirmation.</w:t>
            </w:r>
          </w:p>
        </w:tc>
      </w:tr>
    </w:tbl>
    <w:p>
      <w:r>
        <w:br w:type="page"/>
      </w:r>
    </w:p>
    <w:p>
      <w:pPr>
        <w:spacing w:before="160" w:after="160"/>
      </w:pPr>
      <w:r>
        <w:rPr>
          <w:b/>
          <w:color w:val="1F4E79"/>
          <w:sz w:val="32"/>
        </w:rPr>
        <w:t>PROPOSED INTEGRATION ADDITIONS — REVIEW REQUIRED</w:t>
      </w:r>
    </w:p>
    <w:p>
      <w:r>
        <w:rPr>
          <w:b/>
          <w:color w:val="9C0006"/>
        </w:rPr>
        <w:t xml:space="preserve">NOT APPROVED. </w:t>
      </w:r>
      <w:r>
        <w:t>Additive review annex only; original paragraphs and tables above are retained. These proposals do not record live facts, completed actions, delegated authority, Council adoption or approval. Until an approved migration, the current Register and Gate Log practice remains authoritative; the AIG-INV-04/AIG-DEC-04 joins below are proposed design only.</w:t>
      </w:r>
    </w:p>
    <w:p>
      <w:pPr>
        <w:spacing w:before="160" w:after="60"/>
      </w:pPr>
      <w:r>
        <w:rPr>
          <w:b/>
          <w:color w:val="1F4E79"/>
          <w:sz w:val="24"/>
        </w:rPr>
        <w:t>Status and policy force</w:t>
      </w:r>
    </w:p>
    <w:p>
      <w:pPr>
        <w:keepLines/>
        <w:spacing w:after="120"/>
      </w:pPr>
      <w:r>
        <w:t>The policy statement remains a proposal until adopted by the competent authority under confirmed Council delegations. Do not represent its text as an operative Council policy or assert Council adoption, communication, publication or approval. Validate clause 5.2 wording against the licensed standard and reconcile it with current Responsible AI/Acceptable Use policies rather than displacing them.</w:t>
      </w:r>
    </w:p>
    <w:p>
      <w:pPr>
        <w:spacing w:before="160" w:after="60"/>
      </w:pPr>
      <w:r>
        <w:rPr>
          <w:b/>
          <w:color w:val="1F4E79"/>
          <w:sz w:val="24"/>
        </w:rPr>
        <w:t>Scope and requirements consistency</w:t>
      </w:r>
    </w:p>
    <w:p>
      <w:pPr>
        <w:keepLines/>
        <w:spacing w:after="120"/>
      </w:pPr>
      <w:r>
        <w:t>The policy’s AIMS scope should match the finally approved AIG-AIMS-01 boundary. AIG-AIMS-05 remains the requirements/change source, with specialist decisions distinguishing law, statutory or regulatory guidance, Council policy, voluntary standard and case-specific contract. Generic citations and proposed suite artefacts do not prove the policy’s commitments are implemented.</w:t>
      </w:r>
    </w:p>
    <w:p>
      <w:pPr>
        <w:spacing w:before="160" w:after="60"/>
      </w:pPr>
      <w:r>
        <w:rPr>
          <w:b/>
          <w:color w:val="1F4E79"/>
          <w:sz w:val="24"/>
        </w:rPr>
        <w:t>Objective and control alignment</w:t>
      </w:r>
    </w:p>
    <w:p>
      <w:pPr>
        <w:keepLines/>
        <w:spacing w:after="120"/>
      </w:pPr>
      <w:r>
        <w:t>Relate future approved objectives and control treatment to AIG-AIMS-03 and AIG-AIMS-02. AIR-ID links system-specific scope, applicability evidence and current status in proposed AIG-INV-04; it does not make the AIMS-wide policy per-system approval. Actual system gate events/conditions belong in AIG-DEC-04 with links to substantive authorised AIG-DEC-03/native decisions and Evidence IDs.</w:t>
      </w:r>
    </w:p>
    <w:p>
      <w:pPr>
        <w:spacing w:before="160" w:after="60"/>
      </w:pPr>
      <w:r>
        <w:rPr>
          <w:b/>
          <w:color w:val="1F4E79"/>
          <w:sz w:val="24"/>
        </w:rPr>
        <w:t>Communication / review evidence</w:t>
      </w:r>
    </w:p>
    <w:p>
      <w:pPr>
        <w:keepLines/>
        <w:spacing w:after="120"/>
      </w:pPr>
      <w:r>
        <w:t>If adopted, preserve controlled policy version, approving authority, effective date, accessible publication/availability, audience and communication evidence, and planned review. Record actual communications in the approved source; AIG-DEC-04 is not a policy publication log. Review after material legal/context change and at the adopted cadence, report actual changes to top management, and retain decisions/actions in AIG-AIMS-09/AIG-AIMS-03.</w:t>
      </w:r>
    </w:p>
    <w:p>
      <w:pPr>
        <w:spacing w:before="160" w:after="60"/>
      </w:pPr>
      <w:r>
        <w:rPr>
          <w:b/>
          <w:color w:val="1F4E79"/>
          <w:sz w:val="24"/>
        </w:rPr>
        <w:t>Adoption checks</w:t>
      </w:r>
    </w:p>
    <w:p>
      <w:pPr>
        <w:keepLines/>
        <w:spacing w:after="120"/>
      </w:pPr>
      <w:r>
        <w:t>Confirm adopting authority and existing policy hierarchy; validate objective framework, requirement route, staff/supplier communication, interested-party availability and review triggers. Keep signature, date and next-review fields uncompleted until the relevant approval and control arrangements exist.</w:t>
      </w:r>
    </w:p>
    <w:p>
      <w:pPr>
        <w:pStyle w:val="Heading2"/>
      </w:pPr>
      <w:r>
        <w:t>Policy adoption and later changes require distinct authority checks</w:t>
      </w:r>
    </w:p>
    <w:p>
      <w:r>
        <w:t>POST-ADOPTION CHANGE AUTHORITY GAP. The blank adopting-authority field concerns this policy's initial adoption. After adoption, later policy or suite amendments need a confirmed delegated approver under the current Constitution, Scheme of Delegation and document-control rules, with specialist review, decision evidence, version, effective date and communication. Neither document custody nor a per-system gate decision supplies that authority automatically.</w:t>
      </w:r>
    </w:p>
    <w:p>
      <w:pPr>
        <w:pStyle w:val="Heading2"/>
      </w:pPr>
      <w:r>
        <w:t>Standards and legal applicability — proposed QA cross-reference</w:t>
      </w:r>
    </w:p>
    <w:p>
      <w:r>
        <w:t>PROPOSED QA INDEX — NOT APPROVED LEGAL ADVICE OR EVIDENCE OF COMPLIANCE. The listed instruments may be relevant to this artefact, but applicability depends on the case, service and Council delegation. Legislation, official guidance, Council policy and voluntary standards are different authority classes. The full 58-entry requirement inventory, authoritative URLs, validation owners and current versions are in AIG-AIMS-05; source checks are in AIG-AIMS-13. Do not treat a template, plan or cross-reference as completed assessment, adopted policy, ISO conformity or legal sign-off.</w:t>
      </w:r>
    </w:p>
    <w:tbl>
      <w:tblPr>
        <w:tblW w:type="auto" w:w="0"/>
        <w:tblLook w:firstColumn="1" w:firstRow="1" w:lastColumn="0" w:lastRow="0" w:noHBand="0" w:noVBand="1" w:val="04A0"/>
      </w:tblPr>
      <w:tblGrid>
        <w:gridCol w:w="3213"/>
        <w:gridCol w:w="3213"/>
        <w:gridCol w:w="3213"/>
      </w:tblGrid>
      <w:tr>
        <w:tc>
          <w:tcPr>
            <w:tcW w:type="dxa" w:w="3213"/>
          </w:tcPr>
          <w:p>
            <w:r>
              <w:t>Requirement / instrument</w:t>
            </w:r>
          </w:p>
        </w:tc>
        <w:tc>
          <w:tcPr>
            <w:tcW w:type="dxa" w:w="3213"/>
          </w:tcPr>
          <w:p>
            <w:r>
              <w:t>Why check it here</w:t>
            </w:r>
          </w:p>
        </w:tc>
        <w:tc>
          <w:tcPr>
            <w:tcW w:type="dxa" w:w="3213"/>
          </w:tcPr>
          <w:p>
            <w:r>
              <w:t>Source</w:t>
            </w:r>
          </w:p>
        </w:tc>
      </w:tr>
      <w:tr>
        <w:tc>
          <w:tcPr>
            <w:tcW w:type="dxa" w:w="3213"/>
          </w:tcPr>
          <w:p>
            <w:r>
              <w:t>REQ-040 — ISO/IEC 42001:2023 Artificial intelligence management system</w:t>
            </w:r>
          </w:p>
        </w:tc>
        <w:tc>
          <w:tcPr>
            <w:tcW w:type="dxa" w:w="3213"/>
          </w:tcPr>
          <w:p>
            <w:r>
              <w:t>Proposed management-system design mapping; licensed clause review and adoption needed.</w:t>
            </w:r>
          </w:p>
        </w:tc>
        <w:tc>
          <w:tcPr>
            <w:tcW w:type="dxa" w:w="3213"/>
          </w:tcPr>
          <w:p>
            <w:r>
              <w:t>https://www.iso.org/standard/42001</w:t>
            </w:r>
          </w:p>
        </w:tc>
      </w:tr>
      <w:tr>
        <w:tc>
          <w:tcPr>
            <w:tcW w:type="dxa" w:w="3213"/>
          </w:tcPr>
          <w:p>
            <w:r>
              <w:t>REQ-044 — Council AI Governance Playbook — proposed edition/version and currency to be owner-validated</w:t>
            </w:r>
          </w:p>
        </w:tc>
        <w:tc>
          <w:tcPr>
            <w:tcW w:type="dxa" w:w="3213"/>
          </w:tcPr>
          <w:p>
            <w:r>
              <w:t>Proposed Council suite edition and controlled adoption remain unconfirmed.</w:t>
            </w:r>
          </w:p>
        </w:tc>
        <w:tc>
          <w:tcPr>
            <w:tcW w:type="dxa" w:w="3213"/>
          </w:tcPr>
          <w:p>
            <w:r>
              <w:t>Internal controlled suite — 52 purpose-grouped artefacts (see AIG-GOV-03)</w:t>
            </w:r>
          </w:p>
        </w:tc>
      </w:tr>
    </w:tbl>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jc w:val="center"/>
      <w:rPr/>
    </w:pPr>
    <w:r w:rsidDel="00000000" w:rsidR="00000000" w:rsidRPr="00000000">
      <w:rPr>
        <w:rFonts w:ascii="Arial" w:cs="Arial" w:eastAsia="Arial" w:hAnsi="Arial"/>
        <w:color w:val="536072"/>
        <w:sz w:val="16"/>
        <w:szCs w:val="16"/>
        <w:rtl w:val="0"/>
      </w:rPr>
      <w:t xml:space="preserve">AIG-GOV-05  ·  v1.5 draft  ·  Draft for Council review  ·  OFFICIAL  ·  Page </w:t>
    </w:r>
    <w:r w:rsidDel="00000000" w:rsidR="00000000" w:rsidRPr="00000000">
      <w:rPr>
        <w:rFonts w:ascii="Arial" w:cs="Arial" w:eastAsia="Arial" w:hAnsi="Arial"/>
        <w:color w:val="536072"/>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536072"/>
        <w:sz w:val="16"/>
        <w:szCs w:val="16"/>
        <w:rtl w:val="0"/>
      </w:rPr>
      <w:t xml:space="preserve"> of </w:t>
    </w:r>
    <w:r w:rsidDel="00000000" w:rsidR="00000000" w:rsidRPr="00000000">
      <w:rPr>
        <w:rFonts w:ascii="Arial" w:cs="Arial" w:eastAsia="Arial" w:hAnsi="Arial"/>
        <w:color w:val="536072"/>
        <w:sz w:val="16"/>
        <w:szCs w:val="16"/>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pBdr>
        <w:bottom w:color="dce3ea" w:space="7" w:sz="4" w:val="single"/>
      </w:pBdr>
      <w:spacing w:after="0" w:lineRule="auto"/>
      <w:jc w:val="right"/>
      <w:rPr/>
    </w:pPr>
    <w:r w:rsidDel="00000000" w:rsidR="00000000" w:rsidRPr="00000000">
      <w:rPr>
        <w:rFonts w:ascii="Arial" w:cs="Arial" w:eastAsia="Arial" w:hAnsi="Arial"/>
        <w:color w:val="536072"/>
        <w:sz w:val="17"/>
        <w:szCs w:val="17"/>
        <w:rtl w:val="0"/>
      </w:rPr>
      <w:t xml:space="preserve">The Council — AI Policy Statement</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DzZU0Zqm+W7VIuwO+KDFbY6fJQ==">CgMxLjA4AHIhMUsteTVRdTltTXYwUnN4dkQtYnEtYVh1V2dpUVVtcElP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AIG-GOV-05 AI Policy Statement</dc:title>
  <dc:subject>The Council AI governance suite v3.9.9</dc:subject>
  <dc:creator>AI Governance Lead</dc:creator>
  <cp:keywords>OFFICIAL; AI governance; draft for Council review</cp:keywords>
  <dc:description>Draft for Council review; not approved.</dc:description>
  <cp:lastModifiedBy>AI Governance Lead</cp:lastModifiedBy>
  <cp:revision>1</cp:revision>
  <dcterms:created xsi:type="dcterms:W3CDTF">2026-08-07T22:48:21.985Z</dcterms:created>
  <dcterms:modified xsi:type="dcterms:W3CDTF">2026-10-01T12:00:00Z</dcterms:modified>
  <cp:category>AI governance</cp:category>
  <cp:contentStatus>Draft for Council review</cp:contentStatus>
  <cp:version>1.4 draft</cp:version>
  <dc:language>en-GB</dc:language>
</cp:coreProperties>
</file>

<file path=docProps/custom.xml><?xml version="1.0" encoding="utf-8"?>
<Properties xmlns="http://schemas.openxmlformats.org/officeDocument/2006/custom-properties" xmlns:vt="http://schemas.openxmlformats.org/officeDocument/2006/docPropsVTypes"/>
</file>