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14="http://schemas.microsoft.com/office/word/2010/wordml" xmlns:w15="http://schemas.microsoft.com/office/word/2012/wordml" xmlns:wp14="http://schemas.microsoft.com/office/word/2010/wordprocessingDrawing" xmlns:mc="http://schemas.openxmlformats.org/markup-compatibility/2006" xmlns:r="http://schemas.openxmlformats.org/officeDocument/2006/relationships" xmlns:w="http://schemas.openxmlformats.org/wordprocessingml/2006/main" mc:Ignorable="w14 w15 wp14">
  <w:body>
    <w:p>
      <w:pPr>
        <w:pStyle w:val="Heading1"/>
        <w:spacing w:after="30" w:before="0"/>
      </w:pPr>
      <w:r>
        <w:t>AI Incident Report Form</w:t>
      </w:r>
    </w:p>
    <w:p>
      <w:pPr>
        <w:pBdr>
          <w:bottom w:val="single" w:color="C9A442" w:sz="18" w:space="6"/>
        </w:pBdr>
        <w:spacing w:after="60" w:before="0"/>
      </w:pPr>
      <w:r>
        <w:t>The Council  ·  AI Governance Playbook (Level 5 document, §6.8)</w:t>
      </w:r>
    </w:p>
    <w:p>
      <w:pPr>
        <w:spacing w:after="120" w:before="120"/>
      </w:pPr>
      <w:r>
        <w:t>Use this form to report, classify, investigate and close an AI-related incident.</w:t>
      </w:r>
    </w:p>
    <w:p>
      <w:pPr>
        <w:spacing w:after="40" w:before="40" w:line="264"/>
      </w:pPr>
      <w:r>
        <w:t xml:space="preserve">Use this form to report any event associated with an AI system that caused, or could cause, harm, disruption, a governance concern, regulatory non-compliance or reputational impact. Report early — raising a concern is not a sign of governance failure. Report to your Service Owner without delay using Part A; the Service Owner assesses provisional severity and sends Part A to the AI Governance Lead the same working day (immediately for a suspected High or Critical incident or any statutory route). Refer a suspected personal-data breach to the DPO immediately at Part A; do not wait for AI triage. Part B is completed during management and investigation (Playbook §6.8).</w:t>
      </w:r>
    </w:p>
    <w:p>
      <w:pPr>
        <w:spacing w:after="120" w:before="0"/>
      </w:pPr>
      <w:r>
        <w:rPr>
          <w:sz w:val="4"/>
          <w:szCs w:val="4"/>
        </w:rPr>
      </w:r>
    </w:p>
    <w:tbl>
      <w:tblPr>
        <w:tblW w:type="dxa" w:w="9638"/>
        <w:tblBorders>
          <w:top w:val="none"/>
          <w:left w:val="none"/>
          <w:bottom w:val="none"/>
          <w:right w:val="none"/>
          <w:insideH w:val="none"/>
          <w:insideV w:val="none"/>
        </w:tblBorders>
        <w:tblCaption w:val="AI Incident Report Form: PART A — INITIAL REPORT (reporter and Service Owner complete)"/>
        <w:tblDescription w:val="Section heading for PART A — INITIAL REPORT (reporter and Service Owner complete)."/>
      </w:tblPr>
      <w:tblGrid>
        <w:gridCol w:w="9638"/>
      </w:tblGrid>
      <w:tr>
        <w:trPr>
          <w:tblHeader w:val="true"/>
        </w:trPr>
        <w:tc>
          <w:tcPr>
            <w:tcBorders>
              <w:top w:val="none"/>
              <w:left w:val="none"/>
              <w:bottom w:val="none"/>
              <w:right w:val="none"/>
            </w:tcBorders>
            <w:shd w:fill="C9A442" w:color="auto" w:val="clear"/>
            <w:tcMar>
              <w:top w:type="dxa" w:w="110"/>
              <w:left w:type="dxa" w:w="160"/>
              <w:bottom w:type="dxa" w:w="110"/>
              <w:right w:type="dxa" w:w="160"/>
            </w:tcMar>
          </w:tcPr>
          <w:p>
            <w:pPr>
              <w:pStyle w:val="Heading2"/>
              <w:spacing w:after="0" w:before="0"/>
            </w:pPr>
            <w:r>
              <w:t xml:space="preserve">PART A — INITIAL REPORT (reporter and Service Owner complete)</w:t>
            </w:r>
          </w:p>
        </w:tc>
      </w:tr>
    </w:tbl>
    <w:p>
      <w:pPr>
        <w:spacing w:after="100" w:before="0"/>
      </w:pPr>
      <w:r>
        <w:rPr>
          <w:sz w:val="4"/>
          <w:szCs w:val="4"/>
        </w:rPr>
      </w:r>
    </w:p>
    <w:tbl>
      <w:tblPr>
        <w:tblW w:type="dxa" w:w="9638"/>
        <w:tblBorders>
          <w:top w:val="none"/>
          <w:left w:val="none"/>
          <w:bottom w:val="none"/>
          <w:right w:val="none"/>
          <w:insideH w:val="none"/>
          <w:insideV w:val="none"/>
        </w:tblBorders>
        <w:tblCaption w:val="AI Incident Report Form: 1. Reporter and System"/>
        <w:tblDescription w:val="Section heading for 1. Reporter and System."/>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1.</w:t>
            </w:r>
            <w:r>
              <w:rPr>
                <w:rFonts w:ascii="Arial" w:hAnsi="Arial" w:eastAsia="Arial" w:cs="Arial"/>
                <w:b/>
                <w:bCs/>
                <w:color w:val="FFFFFF"/>
                <w:sz w:val="22"/>
                <w:szCs w:val="22"/>
              </w:rPr>
              <w:t xml:space="preserve">  Reporter and System</w:t>
            </w:r>
          </w:p>
        </w:tc>
      </w:tr>
    </w:tbl>
    <w:p>
      <w:pPr>
        <w:spacing w:after="30" w:before="40" w:line="264"/>
      </w:pPr>
      <w:r/>
      <w:r>
        <w:rPr>
          <w:b/>
        </w:rPr>
        <w:t xml:space="preserve">Affected-use identification — </w:t>
      </w:r>
      <w:r>
        <w:t xml:space="preserve">record AIR-ID and every known affected UC-ID; mark UC-ID unknown when facts are incomplete. For each use record its current decision/conditions, risk/priority impact, containment and reassessment/re-authorisation reference. One incident may affect multiple UC-IDs; a shared system identifier alone is not enough to establish scope or approval.</w:t>
      </w:r>
    </w:p>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Incident Report Form: Reported by"/>
        <w:tblDescription w:val="Form table with 6 rows and 2 columns, beginning with Reported by. The first row is identified as the table header."/>
      </w:tblPr>
      <w:tblGrid>
        <w:gridCol w:w="3600"/>
        <w:gridCol w:w="6038"/>
      </w:tblGrid>
      <w:tr>
        <w:trPr>
          <w:tblHeader w:val="true"/>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Reported by</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Role / team</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Contact email</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Date &amp; time identified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AI system / model name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AIR-ID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AIR-XXXX (if known)</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Affected UC-ID(s)</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List each known affected use; use Unknown when scope is not yet established.</w:t>
            </w:r>
          </w:p>
        </w:tc>
      </w:tr>
    </w:tbl>
    <w:p>
      <w:pPr>
        <w:spacing w:after="140" w:before="0"/>
      </w:pPr>
      <w:r>
        <w:rPr>
          <w:sz w:val="4"/>
          <w:szCs w:val="4"/>
        </w:rPr>
      </w:r>
    </w:p>
    <w:tbl>
      <w:tblPr>
        <w:tblW w:type="dxa" w:w="9638"/>
        <w:tblBorders>
          <w:top w:val="none"/>
          <w:left w:val="none"/>
          <w:bottom w:val="none"/>
          <w:right w:val="none"/>
          <w:insideH w:val="none"/>
          <w:insideV w:val="none"/>
        </w:tblBorders>
        <w:tblCaption w:val="AI Incident Report Form: 2. What Happened"/>
        <w:tblDescription w:val="Section heading for 2. What Happened."/>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2.</w:t>
            </w:r>
            <w:r>
              <w:rPr>
                <w:rFonts w:ascii="Arial" w:hAnsi="Arial" w:eastAsia="Arial" w:cs="Arial"/>
                <w:b/>
                <w:bCs/>
                <w:color w:val="FFFFFF"/>
                <w:sz w:val="22"/>
                <w:szCs w:val="22"/>
              </w:rPr>
              <w:t xml:space="preserve">  What Happened</w:t>
            </w:r>
          </w:p>
        </w:tc>
      </w:tr>
    </w:tbl>
    <w:p>
      <w:pPr>
        <w:spacing w:after="60" w:before="0"/>
      </w:pPr>
      <w:r>
        <w:rPr>
          <w:sz w:val="4"/>
          <w:szCs w:val="4"/>
        </w:rPr>
      </w:r>
    </w:p>
    <w:p>
      <w:pPr>
        <w:spacing w:after="30" w:before="40" w:line="264"/>
      </w:pPr>
      <w:r>
        <w:t>Describe the incident: what occurred, when, how it came to light, and what the AI system was doing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Incident Report Form: response area 5"/>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Incident Report Form: How was it identified? | e.g. monitoring, user feedback, complaint, audit, supplier notice"/>
        <w:tblDescription w:val="Form table with 2 rows and 2 columns, beginning with How was it identified? | e.g. monitoring, user feedback, complaint, audit, supplier notice. The first row is identified as the table header."/>
      </w:tblPr>
      <w:tblGrid>
        <w:gridCol w:w="3600"/>
        <w:gridCol w:w="6038"/>
      </w:tblGrid>
      <w:tr>
        <w:trPr>
          <w:tblHeader w:val="true"/>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How was it identified?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e.g. monitoring, user feedback, complaint, audit, supplier notice</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Is the incident ongoing?</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Yes / No</w:t>
            </w:r>
          </w:p>
        </w:tc>
      </w:tr>
      <w:tr>
        <w:tc>
          <w:tcPr>
            <w:tcW w:type="dxa" w:w="3600"/>
            <w:shd w:fill="DCE6F1"/>
            <w:tcMar>
              <w:top w:w="90" w:type="dxa"/>
              <w:start w:w="90" w:type="dxa"/>
              <w:bottom w:w="90" w:type="dxa"/>
              <w:end w:w="90" w:type="dxa"/>
            </w:tcMar>
            <w:vAlign w:val="center"/>
          </w:tcPr>
          <w:p>
            <w:pPr>
              <w:spacing w:before="0" w:after="0" w:line="240" w:lineRule="auto"/>
              <w:jc w:val="left"/>
            </w:pPr>
            <w:r>
              <w:t>Event classification</w:t>
            </w:r>
          </w:p>
        </w:tc>
        <w:tc>
          <w:tcPr>
            <w:tcW w:type="dxa" w:w="6038"/>
            <w:shd w:fill="FFF8E5"/>
            <w:tcMar>
              <w:top w:w="90" w:type="dxa"/>
              <w:start w:w="90" w:type="dxa"/>
              <w:bottom w:w="90" w:type="dxa"/>
              <w:end w:w="90" w:type="dxa"/>
            </w:tcMar>
            <w:vAlign w:val="center"/>
          </w:tcPr>
          <w:p>
            <w:pPr>
              <w:spacing w:before="0" w:after="0" w:line="240" w:lineRule="auto"/>
              <w:jc w:val="left"/>
            </w:pPr>
            <w:r>
              <w:t>Incident / Near miss / Concern — near misses follow the same early-reporting and triage route</w:t>
            </w:r>
          </w:p>
        </w:tc>
      </w:tr>
    </w:tbl>
    <w:p>
      <w:pPr>
        <w:spacing w:after="140" w:before="0"/>
      </w:pPr>
      <w:r>
        <w:rPr>
          <w:sz w:val="4"/>
          <w:szCs w:val="4"/>
        </w:rPr>
      </w:r>
    </w:p>
    <w:p>
      <w:pPr>
        <w:spacing w:before="0" w:after="0"/>
      </w:pPr>
      <w:r/>
    </w:p>
    <w:tbl>
      <w:tblPr>
        <w:tblW w:type="dxa" w:w="9638"/>
        <w:tblBorders>
          <w:top w:val="none"/>
          <w:left w:val="none"/>
          <w:bottom w:val="none"/>
          <w:right w:val="none"/>
          <w:insideH w:val="none"/>
          <w:insideV w:val="none"/>
        </w:tblBorders>
        <w:tblCaption w:val="AI Incident Report Form: 3. Who and What Is Affected"/>
        <w:tblDescription w:val="Section heading for 3. Who and What Is Affected."/>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3.</w:t>
            </w:r>
            <w:r>
              <w:rPr>
                <w:rFonts w:ascii="Arial" w:hAnsi="Arial" w:eastAsia="Arial" w:cs="Arial"/>
                <w:b/>
                <w:bCs/>
                <w:color w:val="FFFFFF"/>
                <w:sz w:val="22"/>
                <w:szCs w:val="22"/>
              </w:rPr>
              <w:t xml:space="preserve">  Who and What Is Affected</w:t>
            </w:r>
          </w:p>
        </w:tc>
      </w:tr>
    </w:tbl>
    <w:p>
      <w:pPr>
        <w:spacing w:after="60" w:before="0"/>
      </w:pPr>
      <w:r>
        <w:rPr>
          <w:sz w:val="4"/>
          <w:szCs w:val="4"/>
        </w:rPr>
      </w:r>
    </w:p>
    <w:p>
      <w:pPr>
        <w:spacing w:after="30" w:before="30"/>
      </w:pPr>
      <w:r>
        <w:t>☐  Residents / service users     ☐  Staff     ☐  A vulnerable group     ☐  Personal / special category data</w:t>
      </w:r>
    </w:p>
    <w:p>
      <w:pPr>
        <w:spacing w:after="30" w:before="30"/>
      </w:pPr>
      <w:r>
        <w:t>☐  Service availability     ☐  Decision-making about individuals     ☐  Supplier / third party     ☐  Reputation</w:t>
      </w:r>
    </w:p>
    <w:p>
      <w:pPr>
        <w:spacing w:after="40" w:before="0"/>
      </w:pPr>
      <w:r>
        <w:rPr>
          <w:sz w:val="4"/>
          <w:szCs w:val="4"/>
        </w:rPr>
      </w:r>
    </w:p>
    <w:p>
      <w:pPr>
        <w:spacing w:after="30" w:before="40" w:line="264"/>
      </w:pPr>
      <w:r>
        <w:t>Describe the actual or potential impact and the approximate number of people affected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Incident Report Form: response area 8"/>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AI Incident Report Form: 4. Initial Severity (provisional)"/>
        <w:tblDescription w:val="Section heading for 4. Initial Severity (provisional)."/>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4.</w:t>
            </w:r>
            <w:r>
              <w:rPr>
                <w:rFonts w:ascii="Arial" w:hAnsi="Arial" w:eastAsia="Arial" w:cs="Arial"/>
                <w:b/>
                <w:bCs/>
                <w:color w:val="FFFFFF"/>
                <w:sz w:val="22"/>
                <w:szCs w:val="22"/>
              </w:rPr>
              <w:t xml:space="preserve">  Initial Severity (provisional)</w:t>
            </w:r>
          </w:p>
        </w:tc>
      </w:tr>
    </w:tbl>
    <w:p>
      <w:pPr>
        <w:spacing w:after="60" w:before="0"/>
      </w:pPr>
      <w:r>
        <w:rPr>
          <w:sz w:val="4"/>
          <w:szCs w:val="4"/>
        </w:rPr>
      </w:r>
    </w:p>
    <w:p>
      <w:pPr>
        <w:spacing w:after="40" w:before="40" w:line="264"/>
      </w:pPr>
      <w:r>
        <w:t>Where uncertain, apply the higher level until more is known. Multiple low-severity events that show a systemic weakness may be treated as higher severity.</w:t>
      </w:r>
    </w:p>
    <w:p>
      <w:pPr>
        <w:spacing w:after="40" w:before="40" w:line="264"/>
      </w:pPr>
      <w:r>
        <w:t xml:space="preserve">Mandatory triggers (Playbook §4.7.17; Proposed — for Council confirmation): significant bias resulting in adverse outcomes, a data protection breach involving AI-processed data, a security incident affecting AI system integrity, or a governance failure indicating an inadequate control environment. Escalate to the AI Governance Lead immediately (the same working day), whatever the provisional severity, consider a precautionary pause, and classify the incident at least High.</w:t>
      </w:r>
    </w:p>
    <w:p>
      <w:pPr>
        <w:spacing w:after="4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Incident Report Form: Severity | When it applies | Escalation"/>
        <w:tblDescription w:val="Structured table with 5 rows and 3 columns. The first row contains the column headings: Severity | When it applies | Escalation."/>
      </w:tblPr>
      <w:tblGrid>
        <w:gridCol w:w="1300"/>
        <w:gridCol w:w="5538"/>
        <w:gridCol w:w="2800"/>
      </w:tblGrid>
      <w:tr>
        <w:trPr>
          <w:tblHeader w:val="true"/>
        </w:trPr>
        <w:tc>
          <w:tcPr>
            <w:tcW w:type="dxa" w:w="13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Severity</w:t>
            </w:r>
          </w:p>
        </w:tc>
        <w:tc>
          <w:tcPr>
            <w:tcW w:type="dxa" w:w="5538"/>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When it applies</w:t>
            </w:r>
          </w:p>
        </w:tc>
        <w:tc>
          <w:tcPr>
            <w:tcW w:type="dxa" w:w="28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Escalation</w:t>
            </w:r>
          </w:p>
        </w:tc>
      </w:tr>
      <w:tr>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Low</w:t>
            </w:r>
          </w:p>
        </w:tc>
        <w:tc>
          <w:tcPr>
            <w:tcW w:type="dxa" w:w="55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Limited operational impact; no significant legal, ethical or service consequences. Indicators: an isolated minor output inaccuracy (for example one wrong date or figure, corrected before harm), an isolated user complaint, a documentation error or a non-material process failure.</w:t>
            </w:r>
          </w:p>
        </w:tc>
        <w:tc>
          <w:tcPr>
            <w:tcW w:type="dxa" w:w="28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Service Owner review and local remediation; Part A to the AI Governance Lead the same working day; logged in the incident record and summarised in the AIG-OPS-02 monitoring log within 10 working days (the AI Register holds only a link/status)</w:t>
            </w:r>
          </w:p>
        </w:tc>
      </w:tr>
      <w:tr>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Medium</w:t>
            </w:r>
          </w:p>
        </w:tc>
        <w:tc>
          <w:tcPr>
            <w:tcW w:type="dxa" w:w="55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Moderate impact requiring management attention and corrective action. Indicators: repeated inaccurate outputs, policy non-compliance, control failures, minor service disruption or recurring user complaints.</w:t>
            </w:r>
          </w:p>
        </w:tc>
        <w:tc>
          <w:tcPr>
            <w:tcW w:type="dxa" w:w="28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AI Governance Lead notified the same working day (Part A); documented remediation plan agreed within five working days</w:t>
            </w:r>
          </w:p>
        </w:tc>
      </w:tr>
      <w:tr>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High</w:t>
            </w:r>
          </w:p>
        </w:tc>
        <w:tc>
          <w:tcPr>
            <w:tcW w:type="dxa" w:w="55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Significant operational, legal, ethical or reputational impact. Indicators: material bias findings, significant model drift, operational disruption, security weaknesses, repeated control failures or significant service impacts.</w:t>
            </w:r>
          </w:p>
        </w:tc>
        <w:tc>
          <w:tcPr>
            <w:tcW w:type="dxa" w:w="28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AI Governance Working Group within 2 working days; formal governance review</w:t>
            </w:r>
          </w:p>
        </w:tc>
      </w:tr>
      <w:tr>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Critical</w:t>
            </w:r>
          </w:p>
        </w:tc>
        <w:tc>
          <w:tcPr>
            <w:tcW w:type="dxa" w:w="55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Actual or potential harm to individuals, major legal/reputational exposure or statutory breach. Indicators: data breaches, unlawful automated decision-making, significant impacts on vulnerable individuals, major regulatory concerns, widespread service failure or substantial media scrutiny.</w:t>
            </w:r>
          </w:p>
        </w:tc>
        <w:tc>
          <w:tcPr>
            <w:tcW w:type="dxa" w:w="28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Immediate escalation, and within 24 hours at most, to AI Assurance Board, Executive Sponsor and Executive Leadership</w:t>
            </w:r>
          </w:p>
        </w:tc>
      </w:tr>
    </w:tbl>
    <w:p>
      <w:pPr>
        <w:spacing w:after="4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Incident Report Form: Provisional severity | Low / Medium / High / Critical"/>
        <w:tblDescription w:val="Form table with 6 rows and 2 columns, beginning with Provisional severity | Low / Medium / High / Critical."/>
      </w:tblPr>
      <w:tblGrid>
        <w:gridCol w:w="3600"/>
        <w:gridCol w:w="6038"/>
      </w:tblGrid>
      <w:tr>
        <w:trPr>
          <w:cantSplit/>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Provisional severity</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Low / Medium / High / Critical</w:t>
            </w:r>
          </w:p>
        </w:tc>
      </w:tr>
      <w:tr>
        <w:trPr>
          <w:cantSplit/>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Immediate action taken</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e.g. system paused, output withheld, users notified</w:t>
            </w:r>
          </w:p>
        </w:tc>
      </w:tr>
      <w:tr>
        <w:trPr>
          <w:cantSplit/>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Precautionary pause applied? Gate Log event ID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Yes / No. If Yes: who applied it, date and time, and the AIG-DEC-04 Gate events ID (Event type “Precautionary pause (containment)”, outcome “Paused — pending decision”). The pause is containment, not a decision; continued suspension, resumption or withdrawal is decided by the officer or forum with confirmed delegation (Playbook §4.7.17), and a resumption is logged as a Decision with Outcome “Resume” (approval unchanged) or “Re-authorise” (after reassessment) (Proposed — for Council confirmation)</w:t>
            </w:r>
          </w:p>
        </w:tc>
      </w:tr>
      <w:tr>
        <w:trPr>
          <w:cantSplit/>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Suspected personal data breach?</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Yes / No / Uncertain — if Yes or Uncertain, refer to the DPO / Information Governance route now, before AI triage. Where notifiable, the ICO must be told without undue delay and, where feasible, not later than 72 hours after the Council becomes aware (UK GDPR Art 33). Date and time referred: ____</w:t>
            </w:r>
          </w:p>
        </w:tc>
      </w:tr>
      <w:tr>
        <w:trPr>
          <w:cantSplit/>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Security or safeguarding concern?</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Yes / No — if Yes, refer now to the Information and Cyber Security lead or under the Council’s safeguarding procedures; those routes lead on their own duties (Playbook §6.8.6.5)</w:t>
            </w:r>
          </w:p>
        </w:tc>
      </w:tr>
      <w:tr>
        <w:trPr>
          <w:cantSplit/>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External notification may be required?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Yes / No / Unsure — e.g. ICO, other regulator, data subjects, partners; decided by the DPO or specialist route and recorded in §8</w:t>
            </w:r>
          </w:p>
        </w:tc>
      </w:tr>
      <w:tr>
        <w:trPr>
          <w:cantSplit/>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Part A sent to AI Governance Lead (date)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Service Owner sends Part A the same working day</w:t>
            </w:r>
          </w:p>
        </w:tc>
      </w:tr>
    </w:tbl>
    <w:p>
      <w:r/>
    </w:p>
    <w:tbl>
      <w:tblPr>
        <w:tblW w:type="dxa" w:w="9638"/>
        <w:tblBorders>
          <w:top w:val="none"/>
          <w:left w:val="none"/>
          <w:bottom w:val="none"/>
          <w:right w:val="none"/>
          <w:insideH w:val="none"/>
          <w:insideV w:val="none"/>
        </w:tblBorders>
        <w:tblCaption w:val="AI Incident Report Form: PART B — MANAGEMENT &amp; INVESTIGATION (AI Governance Lead)"/>
        <w:tblDescription w:val="Section heading for PART B — MANAGEMENT &amp; INVESTIGATION (AI Governance Lead)."/>
      </w:tblPr>
      <w:tblGrid>
        <w:gridCol w:w="9638"/>
      </w:tblGrid>
      <w:tr>
        <w:trPr>
          <w:tblHeader w:val="true"/>
        </w:trPr>
        <w:tc>
          <w:tcPr>
            <w:tcBorders>
              <w:top w:val="none"/>
              <w:left w:val="none"/>
              <w:bottom w:val="none"/>
              <w:right w:val="none"/>
            </w:tcBorders>
            <w:shd w:fill="C9A442" w:color="auto" w:val="clear"/>
            <w:tcMar>
              <w:top w:type="dxa" w:w="110"/>
              <w:left w:type="dxa" w:w="160"/>
              <w:bottom w:type="dxa" w:w="110"/>
              <w:right w:type="dxa" w:w="160"/>
            </w:tcMar>
          </w:tcPr>
          <w:p>
            <w:pPr>
              <w:pStyle w:val="Heading2"/>
              <w:spacing w:after="0" w:before="0"/>
            </w:pPr>
            <w:r>
              <w:t>PART B — MANAGEMENT &amp; INVESTIGATION (AI Governance Lead)</w:t>
            </w:r>
          </w:p>
        </w:tc>
      </w:tr>
    </w:tbl>
    <w:p>
      <w:pPr>
        <w:spacing w:after="100" w:before="0"/>
      </w:pPr>
      <w:r>
        <w:rPr>
          <w:sz w:val="4"/>
          <w:szCs w:val="4"/>
        </w:rPr>
      </w:r>
    </w:p>
    <w:tbl>
      <w:tblPr>
        <w:tblW w:type="dxa" w:w="9638"/>
        <w:tblBorders>
          <w:top w:val="none"/>
          <w:left w:val="none"/>
          <w:bottom w:val="none"/>
          <w:right w:val="none"/>
          <w:insideH w:val="none"/>
          <w:insideV w:val="none"/>
        </w:tblBorders>
        <w:tblCaption w:val="AI Incident Report Form: 5. Triage and Confirmed Classification"/>
        <w:tblDescription w:val="Section heading for 5. Triage and Confirmed Classification."/>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5.</w:t>
            </w:r>
            <w:r>
              <w:rPr>
                <w:rFonts w:ascii="Arial" w:hAnsi="Arial" w:eastAsia="Arial" w:cs="Arial"/>
                <w:b/>
                <w:bCs/>
                <w:color w:val="FFFFFF"/>
                <w:sz w:val="22"/>
                <w:szCs w:val="22"/>
              </w:rPr>
              <w:t xml:space="preserve">  Triage and Confirmed Classification</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Incident Report Form: Date received by AI Governance Lead"/>
        <w:tblDescription w:val="Form table with 5 rows and 2 columns, beginning with Date received by AI Governance Lead. The first row is identified as the table header."/>
      </w:tblPr>
      <w:tblGrid>
        <w:gridCol w:w="3600"/>
        <w:gridCol w:w="6038"/>
      </w:tblGrid>
      <w:tr>
        <w:trPr>
          <w:tblHeader w:val="true"/>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Date received by AI Governance Lead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Confirmed severity</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Low / Medium / High / Critical</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Recorded in governance records?</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Yes — required for all severities; Low incidents are logged in the incident record and summarised in the AIG-OPS-02 monitoring log</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Register link/status updated?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Yes / No — the AI Register holds only a link to this record and current status</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Risk reclassification needed?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Yes / No</w:t>
            </w:r>
          </w:p>
        </w:tc>
      </w:tr>
    </w:tbl>
    <w:p>
      <w:pPr>
        <w:spacing w:after="40" w:before="0"/>
      </w:pPr>
      <w:r>
        <w:rPr>
          <w:sz w:val="4"/>
          <w:szCs w:val="4"/>
        </w:rPr>
      </w:r>
    </w:p>
    <w:p>
      <w:pPr>
        <w:spacing w:after="10" w:before="40" w:line="264"/>
      </w:pPr>
      <w:r>
        <w:t>Critical-incident considerations (tick any triggered)</w:t>
      </w:r>
    </w:p>
    <w:p>
      <w:pPr>
        <w:spacing w:after="30" w:before="30"/>
      </w:pPr>
      <w:r>
        <w:t>☐  Temporary suspension     ☐  Enhanced monitoring     ☐  Independent assurance review</w:t>
      </w:r>
    </w:p>
    <w:p>
      <w:pPr>
        <w:spacing w:after="30" w:before="30"/>
      </w:pPr>
      <w:r>
        <w:t>☐  Regulatory notification     ☐  Risk reclassification     ☐  Additional controls / mitigations</w:t>
      </w:r>
    </w:p>
    <w:p>
      <w:pPr>
        <w:spacing w:after="140" w:before="0"/>
      </w:pPr>
      <w:r>
        <w:rPr>
          <w:sz w:val="4"/>
          <w:szCs w:val="4"/>
        </w:rPr>
      </w:r>
    </w:p>
    <w:tbl>
      <w:tblPr>
        <w:tblW w:type="dxa" w:w="9638"/>
        <w:tblBorders>
          <w:top w:val="none"/>
          <w:left w:val="none"/>
          <w:bottom w:val="none"/>
          <w:right w:val="none"/>
          <w:insideH w:val="none"/>
          <w:insideV w:val="none"/>
        </w:tblBorders>
        <w:tblCaption w:val="AI Incident Report Form: 6. Investigation"/>
        <w:tblDescription w:val="Section heading for 6. Investigation."/>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6.</w:t>
            </w:r>
            <w:r>
              <w:rPr>
                <w:rFonts w:ascii="Arial" w:hAnsi="Arial" w:eastAsia="Arial" w:cs="Arial"/>
                <w:b/>
                <w:bCs/>
                <w:color w:val="FFFFFF"/>
                <w:sz w:val="22"/>
                <w:szCs w:val="22"/>
              </w:rPr>
              <w:t xml:space="preserve">  Investigation</w:t>
            </w:r>
          </w:p>
        </w:tc>
      </w:tr>
    </w:tbl>
    <w:p>
      <w:pPr>
        <w:spacing w:after="60" w:before="0"/>
      </w:pPr>
      <w:r>
        <w:rPr>
          <w:sz w:val="4"/>
          <w:szCs w:val="4"/>
        </w:rPr>
      </w:r>
    </w:p>
    <w:p>
      <w:pPr>
        <w:spacing w:after="30" w:before="40" w:line="264"/>
      </w:pPr>
      <w:r>
        <w:t>What occurred (confirmed sequence of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Incident Report Form: response area 16"/>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p>
      <w:pPr>
        <w:spacing w:after="30" w:before="40" w:line="264"/>
      </w:pPr>
      <w:r>
        <w:t>Root cause(s) — technical, data, process, control or supplier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Incident Report Form: response area 17"/>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p>
      <w:pPr>
        <w:spacing w:after="30" w:before="40" w:line="264"/>
      </w:pPr>
      <w:r>
        <w:t>Why governance controls did or did not detect and contain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Incident Report Form: response area 18"/>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AI Incident Report Form: 7. Corrective and Preventative Actions"/>
        <w:tblDescription w:val="Section heading for 7. Corrective and Preventative Actions."/>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7.</w:t>
            </w:r>
            <w:r>
              <w:rPr>
                <w:rFonts w:ascii="Arial" w:hAnsi="Arial" w:eastAsia="Arial" w:cs="Arial"/>
                <w:b/>
                <w:bCs/>
                <w:color w:val="FFFFFF"/>
                <w:sz w:val="22"/>
                <w:szCs w:val="22"/>
              </w:rPr>
              <w:t xml:space="preserve">  Corrective and Preventative Actions</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Incident Report Form: Action | Owner | Due date | Type (corrective / preventative)"/>
        <w:tblDescription w:val="Structured table with 4 rows and 4 columns. The first row contains the column headings: Action | Owner | Due date | Type (corrective / preventative)."/>
      </w:tblPr>
      <w:tblGrid>
        <w:gridCol w:w="4200"/>
        <w:gridCol w:w="2200"/>
        <w:gridCol w:w="1500"/>
        <w:gridCol w:w="1738"/>
      </w:tblGrid>
      <w:tr>
        <w:trPr>
          <w:tblHeader w:val="true"/>
        </w:trPr>
        <w:tc>
          <w:tcPr>
            <w:tcW w:type="dxa" w:w="42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Action</w:t>
            </w:r>
          </w:p>
        </w:tc>
        <w:tc>
          <w:tcPr>
            <w:tcW w:type="dxa" w:w="22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Owner</w:t>
            </w:r>
          </w:p>
        </w:tc>
        <w:tc>
          <w:tcPr>
            <w:tcW w:type="dxa" w:w="15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Due date</w:t>
            </w:r>
          </w:p>
        </w:tc>
        <w:tc>
          <w:tcPr>
            <w:tcW w:type="dxa" w:w="1738"/>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Type (corrective / preventative)</w:t>
            </w:r>
          </w:p>
        </w:tc>
      </w:tr>
      <w:tr>
        <w:tc>
          <w:tcPr>
            <w:tcW w:type="dxa" w:w="4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5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7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4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5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7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4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5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7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bl>
    <w:p>
      <w:pPr>
        <w:spacing w:after="140" w:before="0"/>
      </w:pPr>
      <w:r>
        <w:rPr>
          <w:sz w:val="4"/>
          <w:szCs w:val="4"/>
        </w:rPr>
      </w:r>
    </w:p>
    <w:tbl>
      <w:tblPr>
        <w:tblW w:type="dxa" w:w="9638"/>
        <w:tblBorders>
          <w:top w:val="none"/>
          <w:left w:val="none"/>
          <w:bottom w:val="none"/>
          <w:right w:val="none"/>
          <w:insideH w:val="none"/>
          <w:insideV w:val="none"/>
        </w:tblBorders>
        <w:tblCaption w:val="AI Incident Report Form: 8. Notification and Closure"/>
        <w:tblDescription w:val="Section heading for 8. Notification and Closure."/>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8.</w:t>
            </w:r>
            <w:r>
              <w:rPr>
                <w:rFonts w:ascii="Arial" w:hAnsi="Arial" w:eastAsia="Arial" w:cs="Arial"/>
                <w:b/>
                <w:bCs/>
                <w:color w:val="FFFFFF"/>
                <w:sz w:val="22"/>
                <w:szCs w:val="22"/>
              </w:rPr>
              <w:t xml:space="preserve">  Notification and Closure</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Incident Report Form: 8. Notification and Closure"/>
        <w:tblDescription w:val="Form table with 15 rows and 2 columns, beginning with Personal data breach confirmed?, and ending with Incident closed (date)."/>
      </w:tblPr>
      <w:tblGrid>
        <w:gridCol w:w="3600"/>
        <w:gridCol w:w="6038"/>
      </w:tblGrid>
      <w:tr>
        <w:trPr>
          <w:cantSplit/>
        </w:trPr>
        <w:tc>
          <w:tcPr>
            <w:tcW w:type="dxa" w:w="3600"/>
            <w:shd w:fill="DCE6F1"/>
            <w:tcMar>
              <w:top w:w="90" w:type="dxa"/>
              <w:start w:w="90" w:type="dxa"/>
              <w:bottom w:w="90" w:type="dxa"/>
              <w:end w:w="90" w:type="dxa"/>
            </w:tcMar>
            <w:vAlign w:val="center"/>
          </w:tcPr>
          <w:p>
            <w:pPr>
              <w:spacing w:before="0" w:after="0" w:line="240" w:lineRule="auto"/>
              <w:jc w:val="left"/>
            </w:pPr>
            <w:r>
              <w:t xml:space="preserve">Personal data breach confirmed?</w:t>
            </w:r>
          </w:p>
        </w:tc>
        <w:tc>
          <w:tcPr>
            <w:tcW w:type="dxa" w:w="6038"/>
            <w:shd w:fill="FFF8E5"/>
            <w:tcMar>
              <w:top w:w="90" w:type="dxa"/>
              <w:start w:w="90" w:type="dxa"/>
              <w:bottom w:w="90" w:type="dxa"/>
              <w:end w:w="90" w:type="dxa"/>
            </w:tcMar>
            <w:vAlign w:val="center"/>
          </w:tcPr>
          <w:p>
            <w:pPr>
              <w:spacing w:before="0" w:after="0" w:line="240" w:lineRule="auto"/>
              <w:jc w:val="left"/>
            </w:pPr>
            <w:r>
              <w:t xml:space="preserve">Yes / No / Uncertain — DPO referral made at Part A §4 (date and DPO reference); the DPO and the data breach procedure lead</w:t>
            </w:r>
          </w:p>
        </w:tc>
      </w:tr>
      <w:tr>
        <w:trPr>
          <w:cantSplit/>
        </w:trPr>
        <w:tc>
          <w:tcPr>
            <w:tcW w:type="dxa" w:w="3600"/>
            <w:shd w:fill="DCE6F1"/>
            <w:tcMar>
              <w:top w:w="90" w:type="dxa"/>
              <w:start w:w="90" w:type="dxa"/>
              <w:bottom w:w="90" w:type="dxa"/>
              <w:end w:w="90" w:type="dxa"/>
            </w:tcMar>
            <w:vAlign w:val="center"/>
          </w:tcPr>
          <w:p>
            <w:pPr>
              <w:spacing w:before="0" w:after="0" w:line="240" w:lineRule="auto"/>
              <w:jc w:val="left"/>
            </w:pPr>
            <w:r>
              <w:t>Controller awareness date and time</w:t>
            </w:r>
          </w:p>
        </w:tc>
        <w:tc>
          <w:tcPr>
            <w:tcW w:type="dxa" w:w="6038"/>
            <w:shd w:fill="FFF8E5"/>
            <w:tcMar>
              <w:top w:w="90" w:type="dxa"/>
              <w:start w:w="90" w:type="dxa"/>
              <w:bottom w:w="90" w:type="dxa"/>
              <w:end w:w="90" w:type="dxa"/>
            </w:tcMar>
            <w:vAlign w:val="center"/>
          </w:tcPr>
          <w:p>
            <w:pPr>
              <w:spacing w:before="0" w:after="0" w:line="240" w:lineRule="auto"/>
              <w:jc w:val="left"/>
            </w:pPr>
            <w:r>
              <w:t>Record when the Council had a reasonable degree of certainty that a personal data breach occurred</w:t>
            </w:r>
          </w:p>
        </w:tc>
      </w:tr>
      <w:tr>
        <w:trPr>
          <w:cantSplit/>
        </w:trPr>
        <w:tc>
          <w:tcPr>
            <w:tcW w:type="dxa" w:w="3600"/>
            <w:shd w:fill="DCE6F1"/>
            <w:tcMar>
              <w:top w:w="90" w:type="dxa"/>
              <w:start w:w="90" w:type="dxa"/>
              <w:bottom w:w="90" w:type="dxa"/>
              <w:end w:w="90" w:type="dxa"/>
            </w:tcMar>
            <w:vAlign w:val="center"/>
          </w:tcPr>
          <w:p>
            <w:pPr>
              <w:spacing w:before="0" w:after="0" w:line="240" w:lineRule="auto"/>
              <w:jc w:val="left"/>
            </w:pPr>
            <w:r>
              <w:t>Risk to individuals' rights and freedoms</w:t>
            </w:r>
          </w:p>
        </w:tc>
        <w:tc>
          <w:tcPr>
            <w:tcW w:type="dxa" w:w="6038"/>
            <w:shd w:fill="FFF8E5"/>
            <w:tcMar>
              <w:top w:w="90" w:type="dxa"/>
              <w:start w:w="90" w:type="dxa"/>
              <w:bottom w:w="90" w:type="dxa"/>
              <w:end w:w="90" w:type="dxa"/>
            </w:tcMar>
            <w:vAlign w:val="center"/>
          </w:tcPr>
          <w:p>
            <w:pPr>
              <w:spacing w:before="0" w:after="0" w:line="240" w:lineRule="auto"/>
              <w:jc w:val="left"/>
            </w:pPr>
            <w:r>
              <w:t>Assessment, rationale, assessor and date; record whether risk or high risk is likely</w:t>
            </w:r>
          </w:p>
        </w:tc>
      </w:tr>
      <w:tr>
        <w:trPr>
          <w:cantSplit/>
        </w:trPr>
        <w:tc>
          <w:tcPr>
            <w:tcW w:type="dxa" w:w="3600"/>
            <w:shd w:fill="DCE6F1"/>
            <w:tcMar>
              <w:top w:w="90" w:type="dxa"/>
              <w:start w:w="90" w:type="dxa"/>
              <w:bottom w:w="90" w:type="dxa"/>
              <w:end w:w="90" w:type="dxa"/>
            </w:tcMar>
            <w:vAlign w:val="center"/>
          </w:tcPr>
          <w:p>
            <w:pPr>
              <w:spacing w:before="0" w:after="0" w:line="240" w:lineRule="auto"/>
              <w:jc w:val="left"/>
            </w:pPr>
            <w:r>
              <w:t>ICO notifiability decision and DPO advice</w:t>
            </w:r>
          </w:p>
        </w:tc>
        <w:tc>
          <w:tcPr>
            <w:tcW w:type="dxa" w:w="6038"/>
            <w:shd w:fill="FFF8E5"/>
            <w:tcMar>
              <w:top w:w="90" w:type="dxa"/>
              <w:start w:w="90" w:type="dxa"/>
              <w:bottom w:w="90" w:type="dxa"/>
              <w:end w:w="90" w:type="dxa"/>
            </w:tcMar>
            <w:vAlign w:val="center"/>
          </w:tcPr>
          <w:p>
            <w:pPr>
              <w:spacing w:before="0" w:after="0" w:line="240" w:lineRule="auto"/>
              <w:jc w:val="left"/>
            </w:pPr>
            <w:r>
              <w:t>Notifiable / Not notifiable / Further assessment; rationale, decision owner and DPO advice reference</w:t>
            </w:r>
          </w:p>
        </w:tc>
      </w:tr>
      <w:tr>
        <w:trPr>
          <w:cantSplit/>
        </w:trPr>
        <w:tc>
          <w:tcPr>
            <w:tcW w:type="dxa" w:w="3600"/>
            <w:shd w:fill="DCE6F1"/>
            <w:tcMar>
              <w:top w:w="90" w:type="dxa"/>
              <w:start w:w="90" w:type="dxa"/>
              <w:bottom w:w="90" w:type="dxa"/>
              <w:end w:w="90" w:type="dxa"/>
            </w:tcMar>
            <w:vAlign w:val="center"/>
          </w:tcPr>
          <w:p>
            <w:pPr>
              <w:spacing w:before="0" w:after="0" w:line="240" w:lineRule="auto"/>
              <w:jc w:val="left"/>
            </w:pPr>
            <w:r>
              <w:t>ICO deadline and notification reference</w:t>
            </w:r>
          </w:p>
        </w:tc>
        <w:tc>
          <w:tcPr>
            <w:tcW w:type="dxa" w:w="6038"/>
            <w:shd w:fill="FFF8E5"/>
            <w:tcMar>
              <w:top w:w="90" w:type="dxa"/>
              <w:start w:w="90" w:type="dxa"/>
              <w:bottom w:w="90" w:type="dxa"/>
              <w:end w:w="90" w:type="dxa"/>
            </w:tcMar>
            <w:vAlign w:val="center"/>
          </w:tcPr>
          <w:p>
            <w:pPr>
              <w:spacing w:before="0" w:after="0" w:line="240" w:lineRule="auto"/>
              <w:jc w:val="left"/>
            </w:pPr>
            <w:r>
              <w:t xml:space="preserve">If notifiable, notify without undue delay and, where feasible, not later than 72 hours after becoming aware (UK GDPR Art 33); reasons for any delay must accompany a late notification. Record deadline, sent time and delay reasons</w:t>
            </w:r>
          </w:p>
        </w:tc>
      </w:tr>
      <w:tr>
        <w:trPr>
          <w:cantSplit/>
        </w:trPr>
        <w:tc>
          <w:tcPr>
            <w:tcW w:type="dxa" w:w="3600"/>
            <w:shd w:fill="DCE6F1"/>
            <w:tcMar>
              <w:top w:w="90" w:type="dxa"/>
              <w:start w:w="90" w:type="dxa"/>
              <w:bottom w:w="90" w:type="dxa"/>
              <w:end w:w="90" w:type="dxa"/>
            </w:tcMar>
            <w:vAlign w:val="center"/>
          </w:tcPr>
          <w:p>
            <w:pPr>
              <w:spacing w:before="0" w:after="0" w:line="240" w:lineRule="auto"/>
              <w:jc w:val="left"/>
            </w:pPr>
            <w:r>
              <w:t>Data-subject notification decision</w:t>
            </w:r>
          </w:p>
        </w:tc>
        <w:tc>
          <w:tcPr>
            <w:tcW w:type="dxa" w:w="6038"/>
            <w:shd w:fill="FFF8E5"/>
            <w:tcMar>
              <w:top w:w="90" w:type="dxa"/>
              <w:start w:w="90" w:type="dxa"/>
              <w:bottom w:w="90" w:type="dxa"/>
              <w:end w:w="90" w:type="dxa"/>
            </w:tcMar>
            <w:vAlign w:val="center"/>
          </w:tcPr>
          <w:p>
            <w:pPr>
              <w:spacing w:before="0" w:after="0" w:line="240" w:lineRule="auto"/>
              <w:jc w:val="left"/>
            </w:pPr>
            <w:r>
              <w:t xml:space="preserve">Required / Not required — where a high risk to individuals is likely, tell data subjects without undue delay (UK GDPR Art 34); high-risk rationale, message owner, date and evidence reference</w:t>
            </w:r>
          </w:p>
        </w:tc>
      </w:tr>
      <w:tr>
        <w:trPr>
          <w:cantSplit/>
        </w:trPr>
        <w:tc>
          <w:tcPr>
            <w:tcW w:type="dxa" w:w="3600"/>
            <w:shd w:fill="DCE6F1"/>
            <w:tcMar>
              <w:top w:w="90" w:type="dxa"/>
              <w:start w:w="90" w:type="dxa"/>
              <w:bottom w:w="90" w:type="dxa"/>
              <w:end w:w="90" w:type="dxa"/>
            </w:tcMar>
            <w:vAlign w:val="center"/>
          </w:tcPr>
          <w:p>
            <w:pPr>
              <w:spacing w:before="0" w:after="0" w:line="240" w:lineRule="auto"/>
              <w:jc w:val="left"/>
            </w:pPr>
            <w:r>
              <w:t>Other regulator, contractual or partner notifications</w:t>
            </w:r>
          </w:p>
        </w:tc>
        <w:tc>
          <w:tcPr>
            <w:tcW w:type="dxa" w:w="6038"/>
            <w:shd w:fill="FFF8E5"/>
            <w:tcMar>
              <w:top w:w="90" w:type="dxa"/>
              <w:start w:w="90" w:type="dxa"/>
              <w:bottom w:w="90" w:type="dxa"/>
              <w:end w:w="90" w:type="dxa"/>
            </w:tcMar>
            <w:vAlign w:val="center"/>
          </w:tcPr>
          <w:p>
            <w:pPr>
              <w:spacing w:before="0" w:after="0" w:line="240" w:lineRule="auto"/>
              <w:jc w:val="left"/>
            </w:pPr>
            <w:r>
              <w:t>Recipient, legal/contractual basis, deadline, owner, date and reference</w:t>
            </w:r>
          </w:p>
        </w:tc>
      </w:tr>
      <w:tr>
        <w:trPr>
          <w:cantSplit/>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Notifications made (dates)</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rPr>
          <w:cantSplit/>
        </w:trPr>
        <w:tc>
          <w:tcPr>
            <w:tcW w:type="dxa" w:w="3600"/>
            <w:shd w:fill="DCE6F1"/>
            <w:tcMar>
              <w:top w:w="90" w:type="dxa"/>
              <w:start w:w="90" w:type="dxa"/>
              <w:bottom w:w="90" w:type="dxa"/>
              <w:end w:w="90" w:type="dxa"/>
            </w:tcMar>
            <w:vAlign w:val="center"/>
          </w:tcPr>
          <w:p>
            <w:pPr>
              <w:spacing w:before="0" w:after="0" w:line="240" w:lineRule="auto"/>
              <w:jc w:val="left"/>
            </w:pPr>
            <w:r>
              <w:t>Specialist routes engaged (Playbook §6.8.6.5)</w:t>
            </w:r>
          </w:p>
        </w:tc>
        <w:tc>
          <w:tcPr>
            <w:tcW w:type="dxa" w:w="6038"/>
            <w:shd w:fill="FFF8E5"/>
            <w:tcMar>
              <w:top w:w="90" w:type="dxa"/>
              <w:start w:w="90" w:type="dxa"/>
              <w:bottom w:w="90" w:type="dxa"/>
              <w:end w:w="90" w:type="dxa"/>
            </w:tcMar>
            <w:vAlign w:val="center"/>
          </w:tcPr>
          <w:p>
            <w:pPr>
              <w:spacing w:before="0" w:after="0" w:line="240" w:lineRule="auto"/>
              <w:jc w:val="left"/>
            </w:pPr>
            <w:r>
              <w:t>Tick and date each: data breach / DPO; cyber security; safeguarding; complaints; supplier / contract; corporate risk. The specialist route leads on its own duties; this record runs alongside it.</w:t>
            </w:r>
          </w:p>
        </w:tc>
      </w:tr>
      <w:tr>
        <w:trPr>
          <w:cantSplit/>
        </w:trPr>
        <w:tc>
          <w:tcPr>
            <w:tcW w:type="dxa" w:w="3600"/>
          </w:tcPr>
          <w:p>
            <w:r>
              <w:t>AIG-OPS-02 monitoring record updated?</w:t>
            </w:r>
          </w:p>
        </w:tc>
        <w:tc>
          <w:tcPr>
            <w:tcW w:type="dxa" w:w="6038"/>
          </w:tcPr>
          <w:p>
            <w:r>
              <w:t>Yes / No / N/A — record incident/near miss outcome and any changed monitoring requirement against the AIR-ID</w:t>
            </w:r>
          </w:p>
        </w:tc>
      </w:tr>
      <w:tr>
        <w:trPr>
          <w:cantSplit/>
        </w:trPr>
        <w:tc>
          <w:tcPr>
            <w:tcW w:type="dxa" w:w="3600"/>
          </w:tcPr>
          <w:p>
            <w:r>
              <w:t>Risk reassessment required?</w:t>
            </w:r>
          </w:p>
        </w:tc>
        <w:tc>
          <w:tcPr>
            <w:tcW w:type="dxa" w:w="6038"/>
          </w:tcPr>
          <w:p>
            <w:r>
              <w:t>Yes / No — mandatory documented consideration for material incidents, threshold breaches, recurring complaint patterns or adverse override trends</w:t>
            </w:r>
          </w:p>
        </w:tc>
      </w:tr>
      <w:tr>
        <w:trPr>
          <w:cantSplit/>
        </w:trPr>
        <w:tc>
          <w:tcPr>
            <w:tcW w:type="dxa" w:w="3600"/>
          </w:tcPr>
          <w:p>
            <w:r>
              <w:t>Residual risk / risk tier changed?</w:t>
            </w:r>
          </w:p>
        </w:tc>
        <w:tc>
          <w:tcPr>
            <w:tcW w:type="dxa" w:w="6038"/>
          </w:tcPr>
          <w:p>
            <w:r>
              <w:t>Yes / No — if Yes, update AIG-ASS-02 and current state in AIG-INV-04</w:t>
            </w:r>
          </w:p>
        </w:tc>
      </w:tr>
      <w:tr>
        <w:trPr>
          <w:cantSplit/>
        </w:trPr>
        <w:tc>
          <w:tcPr>
            <w:tcW w:type="dxa" w:w="3600"/>
          </w:tcPr>
          <w:p>
            <w:r>
              <w:t>Governance re-entry / Gate Log event required?</w:t>
            </w:r>
          </w:p>
        </w:tc>
        <w:tc>
          <w:tcPr>
            <w:tcW w:type="dxa" w:w="6038"/>
          </w:tcPr>
          <w:p>
            <w:r>
              <w:t>Yes / No — if Yes, record decision/event in AIG-DEC-04</w:t>
            </w:r>
          </w:p>
        </w:tc>
      </w:tr>
      <w:tr>
        <w:trPr>
          <w:cantSplit/>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Lessons learned captured?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Yes / No — fed into continuous improvement</w:t>
            </w:r>
          </w:p>
        </w:tc>
      </w:tr>
      <w:tr>
        <w:trPr>
          <w:cantSplit/>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Incident closed (date)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bl>
    <w:p>
      <w:pPr>
        <w:spacing w:after="4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Incident Report Form: AI Governance Lead name"/>
        <w:tblDescription w:val="Form table with 3 rows and 2 columns, beginning with AI Governance Lead name. The first row is identified as the table header."/>
      </w:tblPr>
      <w:tblGrid>
        <w:gridCol w:w="3600"/>
        <w:gridCol w:w="6038"/>
      </w:tblGrid>
      <w:tr>
        <w:trPr>
          <w:tblHeader w:val="true"/>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AI Governance Lead name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Signature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Date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bl>
    <w:p>
      <w:r/>
    </w:p>
    <w:p>
      <w:pPr>
        <w:pStyle w:val="Heading1"/>
        <w:keepNext/>
      </w:pPr>
      <w:r>
        <w:t>Document control</w:t>
      </w:r>
    </w:p>
    <w:p>
      <w:pPr>
        <w:spacing w:after="160"/>
      </w:pPr>
      <w:r>
        <w:t>Administrative control record. This artefact remains a working draft until formally approved.</w:t>
      </w:r>
    </w:p>
    <w:tbl>
      <w:tblPr>
        <w:tblW w:type="dxa" w:w="9638"/>
        <w:tblLook w:firstColumn="1" w:firstRow="1" w:lastColumn="0" w:lastRow="0" w:noHBand="0" w:noVBand="1" w:val="04A0"/>
        <w:tblInd w:w="0" w:type="dxa"/>
        <w:tblLayout w:type="fixed"/>
        <w:tblCaption w:val="AIG-OPS-03: document-control metadata"/>
        <w:tblDescription w:val="Controlled metadata table with two columns, Field and Controlled value. The first row is identified as the table header."/>
      </w:tblPr>
      <w:tblGrid>
        <w:gridCol w:w="2602"/>
        <w:gridCol w:w="7036"/>
      </w:tblGrid>
      <w:tr>
        <w:trPr>
          <w:cantSplit/>
          <w:tblHeader w:val="true"/>
        </w:trPr>
        <w:tc>
          <w:tcPr>
            <w:tcW w:type="dxa" w:w="2602"/>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Field</w:t>
            </w:r>
          </w:p>
        </w:tc>
        <w:tc>
          <w:tcPr>
            <w:tcW w:type="dxa" w:w="7036"/>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Controlled value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Document ID</w:t>
            </w:r>
          </w:p>
        </w:tc>
        <w:tc>
          <w:tcPr>
            <w:tcW w:type="dxa" w:w="7036"/>
            <w:vAlign w:val="center"/>
            <w:tcMar>
              <w:top w:w="85" w:type="dxa"/>
              <w:start w:w="110" w:type="dxa"/>
              <w:bottom w:w="85" w:type="dxa"/>
              <w:end w:w="110" w:type="dxa"/>
            </w:tcMar>
          </w:tcPr>
          <w:p>
            <w:pPr>
              <w:spacing w:before="0" w:after="0" w:line="240" w:lineRule="auto"/>
            </w:pPr>
            <w:r>
              <w:t>AIG-OPS-03</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Version</w:t>
            </w:r>
          </w:p>
        </w:tc>
        <w:tc>
          <w:tcPr>
            <w:tcW w:type="dxa" w:w="7036"/>
            <w:vAlign w:val="center"/>
            <w:tcMar>
              <w:top w:w="85" w:type="dxa"/>
              <w:start w:w="110" w:type="dxa"/>
              <w:bottom w:w="85" w:type="dxa"/>
              <w:end w:w="110" w:type="dxa"/>
            </w:tcMar>
          </w:tcPr>
          <w:p>
            <w:r>
              <w:t>1.10 draft</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Status</w:t>
            </w:r>
          </w:p>
        </w:tc>
        <w:tc>
          <w:tcPr>
            <w:tcW w:type="dxa" w:w="7036"/>
            <w:vAlign w:val="center"/>
            <w:tcMar>
              <w:top w:w="85" w:type="dxa"/>
              <w:start w:w="110" w:type="dxa"/>
              <w:bottom w:w="85" w:type="dxa"/>
              <w:end w:w="110" w:type="dxa"/>
            </w:tcMar>
          </w:tcPr>
          <w:p>
            <w:pPr>
              <w:spacing w:before="0" w:after="0" w:line="240" w:lineRule="auto"/>
            </w:pPr>
            <w:r>
              <w:t xml:space="preserve">Draft for Council review</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Document owner</w:t>
            </w:r>
          </w:p>
        </w:tc>
        <w:tc>
          <w:tcPr>
            <w:tcW w:type="dxa" w:w="7036"/>
            <w:vAlign w:val="center"/>
            <w:tcMar>
              <w:top w:w="85" w:type="dxa"/>
              <w:start w:w="110" w:type="dxa"/>
              <w:bottom w:w="85" w:type="dxa"/>
              <w:end w:w="110" w:type="dxa"/>
            </w:tcMar>
          </w:tcPr>
          <w:p>
            <w:pPr>
              <w:spacing w:before="0" w:after="0" w:line="240" w:lineRule="auto"/>
            </w:pPr>
            <w:r>
              <w:t>AI Governance Lead</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Approving body</w:t>
            </w:r>
          </w:p>
        </w:tc>
        <w:tc>
          <w:tcPr>
            <w:tcW w:type="dxa" w:w="7036"/>
            <w:vAlign w:val="center"/>
            <w:tcMar>
              <w:top w:w="85" w:type="dxa"/>
              <w:start w:w="110" w:type="dxa"/>
              <w:bottom w:w="85" w:type="dxa"/>
              <w:end w:w="110" w:type="dxa"/>
            </w:tcMar>
          </w:tcPr>
          <w:p>
            <w:r>
              <w:t>Pending — competent Council authority under confirmed Constitution / Scheme of Delegation; AI Assurance Board provides assurance only unless formally delegated.</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Approval date</w:t>
            </w:r>
          </w:p>
        </w:tc>
        <w:tc>
          <w:tcPr>
            <w:tcW w:type="dxa" w:w="7036"/>
            <w:vAlign w:val="center"/>
            <w:tcMar>
              <w:top w:w="85" w:type="dxa"/>
              <w:start w:w="110" w:type="dxa"/>
              <w:bottom w:w="85" w:type="dxa"/>
              <w:end w:w="110" w:type="dxa"/>
            </w:tcMar>
          </w:tcPr>
          <w:p>
            <w:pPr>
              <w:spacing w:before="0" w:after="0" w:line="240" w:lineRule="auto"/>
            </w:pPr>
            <w:r>
              <w:t>Not yet approved</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Effective date</w:t>
            </w:r>
          </w:p>
        </w:tc>
        <w:tc>
          <w:tcPr>
            <w:tcW w:type="dxa" w:w="7036"/>
            <w:vAlign w:val="center"/>
            <w:tcMar>
              <w:top w:w="85" w:type="dxa"/>
              <w:start w:w="110" w:type="dxa"/>
              <w:bottom w:w="85" w:type="dxa"/>
              <w:end w:w="110" w:type="dxa"/>
            </w:tcMar>
          </w:tcPr>
          <w:p>
            <w:pPr>
              <w:spacing w:before="0" w:after="0" w:line="240" w:lineRule="auto"/>
            </w:pPr>
            <w:r>
              <w:t>Not yet effective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Next review date</w:t>
            </w:r>
          </w:p>
        </w:tc>
        <w:tc>
          <w:tcPr>
            <w:tcW w:type="dxa" w:w="7036"/>
            <w:vAlign w:val="center"/>
            <w:tcMar>
              <w:top w:w="85" w:type="dxa"/>
              <w:start w:w="110" w:type="dxa"/>
              <w:bottom w:w="85" w:type="dxa"/>
              <w:end w:w="110" w:type="dxa"/>
            </w:tcMar>
          </w:tcPr>
          <w:p>
            <w:pPr>
              <w:spacing w:before="0" w:after="0" w:line="240" w:lineRule="auto"/>
            </w:pPr>
            <w:r>
              <w:t>To be set on approval: 12 months after the effective date, or sooner following material change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Classification</w:t>
            </w:r>
          </w:p>
        </w:tc>
        <w:tc>
          <w:tcPr>
            <w:tcW w:type="dxa" w:w="7036"/>
            <w:vAlign w:val="center"/>
            <w:tcMar>
              <w:top w:w="85" w:type="dxa"/>
              <w:start w:w="110" w:type="dxa"/>
              <w:bottom w:w="85" w:type="dxa"/>
              <w:end w:w="110" w:type="dxa"/>
            </w:tcMar>
          </w:tcPr>
          <w:p>
            <w:pPr>
              <w:spacing w:before="0" w:after="0" w:line="240" w:lineRule="auto"/>
            </w:pPr>
            <w:r>
              <w:t>OFFICIAL</w:t>
            </w:r>
          </w:p>
        </w:tc>
      </w:tr>
    </w:tbl>
    <w:p>
      <w:pPr>
        <w:pStyle w:val="Heading2"/>
        <w:keepNext/>
        <w:spacing w:before="200" w:after="100"/>
      </w:pPr>
      <w:r>
        <w:t>Change history</w:t>
      </w:r>
    </w:p>
    <w:tbl>
      <w:tblPr>
        <w:tblW w:type="dxa" w:w="9638"/>
        <w:tblLook w:firstColumn="1" w:firstRow="1" w:lastColumn="0" w:lastRow="0" w:noHBand="0" w:noVBand="1" w:val="04A0"/>
        <w:tblInd w:w="0" w:type="dxa"/>
        <w:tblLayout w:type="fixed"/>
        <w:tblCaption w:val="AIG-OPS-03: change history"/>
        <w:tblDescription w:val="Change-history table with four columns: Version, Date, Change summary and Owner. The first row is identified as the table header."/>
      </w:tblPr>
      <w:tblGrid>
        <w:gridCol w:w="1349"/>
        <w:gridCol w:w="1734"/>
        <w:gridCol w:w="4819"/>
        <w:gridCol w:w="1736"/>
      </w:tblGrid>
      <w:tr>
        <w:trPr>
          <w:cantSplit/>
          <w:tblHeader w:val="true"/>
        </w:trPr>
        <w:tc>
          <w:tcPr>
            <w:tcW w:type="dxa" w:w="1349"/>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Version</w:t>
            </w:r>
          </w:p>
        </w:tc>
        <w:tc>
          <w:tcPr>
            <w:tcW w:type="dxa" w:w="1734"/>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Date</w:t>
            </w:r>
          </w:p>
        </w:tc>
        <w:tc>
          <w:tcPr>
            <w:tcW w:type="dxa" w:w="4819"/>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Change summary</w:t>
            </w:r>
          </w:p>
        </w:tc>
        <w:tc>
          <w:tcPr>
            <w:tcW w:type="dxa" w:w="1736"/>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Owner</w:t>
            </w:r>
          </w:p>
        </w:tc>
      </w:tr>
      <w:tr>
        <w:trPr>
          <w:cantSplit/>
        </w:trPr>
        <w:tc>
          <w:tcPr>
            <w:tcW w:type="dxa" w:w="1349"/>
            <w:vAlign w:val="center"/>
            <w:tcMar>
              <w:top w:w="85" w:type="dxa"/>
              <w:start w:w="110" w:type="dxa"/>
              <w:bottom w:w="85" w:type="dxa"/>
              <w:end w:w="110" w:type="dxa"/>
            </w:tcMar>
          </w:tcPr>
          <w:p>
            <w:pPr>
              <w:spacing w:before="0" w:after="0" w:line="240" w:lineRule="auto"/>
            </w:pPr>
            <w:r>
              <w:t>1.0 draft</w:t>
            </w:r>
          </w:p>
        </w:tc>
        <w:tc>
          <w:tcPr>
            <w:tcW w:type="dxa" w:w="1734"/>
            <w:vAlign w:val="center"/>
            <w:tcMar>
              <w:top w:w="85" w:type="dxa"/>
              <w:start w:w="110" w:type="dxa"/>
              <w:bottom w:w="85" w:type="dxa"/>
              <w:end w:w="110" w:type="dxa"/>
            </w:tcMar>
          </w:tcPr>
          <w:p>
            <w:pPr>
              <w:spacing w:before="0" w:after="0" w:line="240" w:lineRule="auto"/>
            </w:pPr>
            <w:r>
              <w:t>6 August 2026</w:t>
            </w:r>
          </w:p>
        </w:tc>
        <w:tc>
          <w:tcPr>
            <w:tcW w:type="dxa" w:w="4819"/>
            <w:vAlign w:val="center"/>
            <w:tcMar>
              <w:top w:w="85" w:type="dxa"/>
              <w:start w:w="110" w:type="dxa"/>
              <w:bottom w:w="85" w:type="dxa"/>
              <w:end w:w="110" w:type="dxa"/>
            </w:tcMar>
          </w:tcPr>
          <w:p>
            <w:pPr>
              <w:spacing w:before="0" w:after="0" w:line="240" w:lineRule="auto"/>
            </w:pPr>
            <w:r>
              <w:t>Document-control baseline established following full-suite quality assurance; no substantive content change.</w:t>
            </w:r>
          </w:p>
        </w:tc>
        <w:tc>
          <w:tcPr>
            <w:tcW w:type="dxa" w:w="1736"/>
            <w:vAlign w:val="center"/>
            <w:tcMar>
              <w:top w:w="85" w:type="dxa"/>
              <w:start w:w="110" w:type="dxa"/>
              <w:bottom w:w="85" w:type="dxa"/>
              <w:end w:w="110" w:type="dxa"/>
            </w:tcMar>
          </w:tcPr>
          <w:p>
            <w:pPr>
              <w:spacing w:before="0" w:after="0" w:line="240" w:lineRule="auto"/>
            </w:pPr>
            <w:r>
              <w:t>AI Governance Lead</w:t>
            </w:r>
          </w:p>
        </w:tc>
      </w:tr>
      <w:tr>
        <w:trPr>
          <w:cantSplit/>
        </w:trPr>
        <w:tc>
          <w:tcPr>
            <w:tcW w:type="dxa" w:w="1349"/>
            <w:vAlign w:val="center"/>
            <w:tcMar>
              <w:top w:w="85" w:type="dxa"/>
              <w:start w:w="110" w:type="dxa"/>
              <w:bottom w:w="85" w:type="dxa"/>
              <w:end w:w="110" w:type="dxa"/>
            </w:tcMar>
          </w:tcPr>
          <w:p>
            <w:r>
              <w:t>1.1 draft</w:t>
            </w:r>
          </w:p>
        </w:tc>
        <w:tc>
          <w:tcPr>
            <w:tcW w:type="dxa" w:w="1734"/>
            <w:vAlign w:val="center"/>
            <w:tcMar>
              <w:top w:w="85" w:type="dxa"/>
              <w:start w:w="110" w:type="dxa"/>
              <w:bottom w:w="85" w:type="dxa"/>
              <w:end w:w="110" w:type="dxa"/>
            </w:tcMar>
          </w:tcPr>
          <w:p>
            <w:r>
              <w:t>6 August 2026</w:t>
            </w:r>
          </w:p>
        </w:tc>
        <w:tc>
          <w:tcPr>
            <w:tcW w:type="dxa" w:w="4819"/>
            <w:vAlign w:val="center"/>
            <w:tcMar>
              <w:top w:w="85" w:type="dxa"/>
              <w:start w:w="110" w:type="dxa"/>
              <w:bottom w:w="85" w:type="dxa"/>
              <w:end w:w="110" w:type="dxa"/>
            </w:tcMar>
          </w:tcPr>
          <w:p>
            <w:r>
              <w:t>QA revision: added near-miss classification and controller data-breach decision controls.</w:t>
            </w:r>
          </w:p>
        </w:tc>
        <w:tc>
          <w:tcPr>
            <w:tcW w:type="dxa" w:w="1736"/>
            <w:vAlign w:val="center"/>
            <w:tcMar>
              <w:top w:w="85" w:type="dxa"/>
              <w:start w:w="110" w:type="dxa"/>
              <w:bottom w:w="85" w:type="dxa"/>
              <w:end w:w="110" w:type="dxa"/>
            </w:tcMar>
          </w:tcPr>
          <w:p>
            <w:r>
              <w:t>AI Governance Lead</w:t>
            </w:r>
          </w:p>
        </w:tc>
      </w:tr>
      <w:tr>
        <w:tc>
          <w:tcPr>
            <w:tcW w:type="dxa" w:w="1349"/>
          </w:tcPr>
          <w:p>
            <w:r>
              <w:t>1.2 draft</w:t>
            </w:r>
          </w:p>
        </w:tc>
        <w:tc>
          <w:tcPr>
            <w:tcW w:type="dxa" w:w="1734"/>
          </w:tcPr>
          <w:p>
            <w:r>
              <w:t>3 September 2026</w:t>
            </w:r>
          </w:p>
        </w:tc>
        <w:tc>
          <w:tcPr>
            <w:tcW w:type="dxa" w:w="4819"/>
          </w:tcPr>
          <w:p>
            <w:r>
              <w:t xml:space="preserve">Post-deployment QA: linked incident closure to the Monitoring and Review Log (AIG-OPS-02), risk reassessment, residual-risk update and governance re-entry.</w:t>
            </w:r>
          </w:p>
        </w:tc>
        <w:tc>
          <w:tcPr>
            <w:tcW w:type="dxa" w:w="1736"/>
          </w:tcPr>
          <w:p>
            <w:r>
              <w:t>AI Governance Lead</w:t>
            </w:r>
          </w:p>
        </w:tc>
      </w:tr>
      <w:tr>
        <w:tc>
          <w:tcPr>
            <w:tcW w:type="dxa" w:w="1349"/>
          </w:tcPr>
          <w:p>
            <w:r>
              <w:t>1.3 draft</w:t>
            </w:r>
          </w:p>
        </w:tc>
        <w:tc>
          <w:tcPr>
            <w:tcW w:type="dxa" w:w="1734"/>
          </w:tcPr>
          <w:p>
            <w:r>
              <w:t>26 September 2026</w:t>
            </w:r>
          </w:p>
        </w:tc>
        <w:tc>
          <w:tcPr>
            <w:tcW w:type="dxa" w:w="4819"/>
          </w:tcPr>
          <w:p>
            <w:r>
              <w:t xml:space="preserve">Aligned to the Playbook (AIG-GOV-02): severity timescales added to the escalation table; “Specialist routes engaged” row added; review point updated to record that pause/resume authority and specialist handoffs are now set out in Playbook §4.7.17 and §6.8.6.5.</w:t>
            </w:r>
          </w:p>
        </w:tc>
        <w:tc>
          <w:tcPr>
            <w:tcW w:type="dxa" w:w="1736"/>
          </w:tcPr>
          <w:p>
            <w:r>
              <w:t>AI Governance Lead</w:t>
            </w:r>
          </w:p>
        </w:tc>
      </w:tr>
      <w:tr>
        <w:tc>
          <w:tcPr>
            <w:tcW w:type="dxa" w:w="1349"/>
          </w:tcPr>
          <w:p>
            <w:r>
              <w:t xml:space="preserve">1.4 draft</w:t>
            </w:r>
          </w:p>
        </w:tc>
        <w:tc>
          <w:tcPr>
            <w:tcW w:type="dxa" w:w="1734"/>
          </w:tcPr>
          <w:p>
            <w:r>
              <w:t xml:space="preserve">29 September 2026</w:t>
            </w:r>
          </w:p>
        </w:tc>
        <w:tc>
          <w:tcPr>
            <w:tcW w:type="dxa" w:w="4819"/>
          </w:tcPr>
          <w:p>
            <w:r>
              <w:t xml:space="preserve">QA remediation — applied findings QA-011, QA-040, QA-059, QA-072, QA-091, QA-099, QA-172, QA-183, QA-185, QA-195, QA-200, QA-206, QA-221, QA-010 (see QA change log). Reporting route via Service Owner (same working day); DPO breach referral, security/safeguarding routes and external-notification question moved to Part A; Art 33/34 wording; Low incidents logged in the incident record and AIG-OPS-02; §8 reordered with closure last. Final tidy-up: self-referencing cross-reference removed from the standards row(s) REQ-033, REQ-039.</w:t>
            </w:r>
          </w:p>
        </w:tc>
        <w:tc>
          <w:tcPr>
            <w:tcW w:type="dxa" w:w="1736"/>
          </w:tcPr>
          <w:p>
            <w:r>
              <w:t xml:space="preserve">AI Governance Lead</w:t>
            </w:r>
          </w:p>
        </w:tc>
      </w:tr>
      <w:tr>
        <w:tc>
          <w:tcPr>
            <w:tcW w:type="dxa" w:w="1349"/>
          </w:tcPr>
          <w:p>
            <w:r>
              <w:t xml:space="preserve">1.5 draft</w:t>
            </w:r>
          </w:p>
        </w:tc>
        <w:tc>
          <w:tcPr>
            <w:tcW w:type="dxa" w:w="1734"/>
          </w:tcPr>
          <w:p>
            <w:r>
              <w:t xml:space="preserve">30 September 2026</w:t>
            </w:r>
          </w:p>
        </w:tc>
        <w:tc>
          <w:tcPr>
            <w:tcW w:type="dxa" w:w="4819"/>
          </w:tcPr>
          <w:p>
            <w:r>
              <w:t xml:space="preserve">v3.9.1: standards cross-reference note updated to the 54-entry requirement inventory (AIG-AIMS-05 REQ-054, Civil Contingencies Act 2004, added).</w:t>
            </w:r>
          </w:p>
        </w:tc>
        <w:tc>
          <w:tcPr>
            <w:tcW w:type="dxa" w:w="1736"/>
          </w:tcPr>
          <w:p>
            <w:r>
              <w:t xml:space="preserve">AI Governance Lead</w:t>
            </w:r>
          </w:p>
        </w:tc>
      </w:tr>
      <w:tr>
        <w:tc>
          <w:tcPr>
            <w:tcW w:type="dxa" w:w="1349"/>
          </w:tcPr>
          <w:p>
            <w:r>
              <w:t xml:space="preserve">1.6 draft</w:t>
            </w:r>
          </w:p>
        </w:tc>
        <w:tc>
          <w:tcPr>
            <w:tcW w:type="dxa" w:w="1734"/>
          </w:tcPr>
          <w:p>
            <w:r>
              <w:t xml:space="preserve">30 September 2026</w:t>
            </w:r>
          </w:p>
        </w:tc>
        <w:tc>
          <w:tcPr>
            <w:tcW w:type="dxa" w:w="4819"/>
          </w:tcPr>
          <w:p>
            <w:r>
              <w:t xml:space="preserve">v3.9.2 (pilot-readiness fixes from the scenario test; see QA change log): Part A section 4: each severity (including Low) now has its own indicator wording from Playbook §6.8.4.1, so a Low incident can be selected (T-06); the §4.7.17 mandatory triggers are escalated immediately, whatever the provisional severity, and classified at least High (W-04); new Part A row “Precautionary pause applied? Gate Log event ID” linking the pause to the AIG-DEC-04 Precautionary pause event (W-06). Proposed — for Council confirmation.</w:t>
            </w:r>
          </w:p>
        </w:tc>
        <w:tc>
          <w:tcPr>
            <w:tcW w:type="dxa" w:w="1736"/>
          </w:tcPr>
          <w:p>
            <w:r>
              <w:t xml:space="preserve">AI Governance Lead</w:t>
            </w:r>
          </w:p>
        </w:tc>
      </w:tr>
      <w:tr>
        <w:tc>
          <w:tcPr>
            <w:tcW w:type="dxa" w:w="1349"/>
          </w:tcPr>
          <w:p>
            <w:r>
              <w:t xml:space="preserve">1.7 draft</w:t>
            </w:r>
          </w:p>
        </w:tc>
        <w:tc>
          <w:tcPr>
            <w:tcW w:type="dxa" w:w="1734"/>
          </w:tcPr>
          <w:p>
            <w:r>
              <w:t xml:space="preserve">1 October 2026</w:t>
            </w:r>
          </w:p>
        </w:tc>
        <w:tc>
          <w:tcPr>
            <w:tcW w:type="dxa" w:w="4819"/>
          </w:tcPr>
          <w:p>
            <w:r>
              <w:t xml:space="preserve">v3.9.3: standards cross-reference note cites the 55-entry requirement inventory (AIG-AIMS-05 REQ-055, NIST AI 600-1 Generative AI Profile, added).</w:t>
            </w:r>
          </w:p>
        </w:tc>
        <w:tc>
          <w:tcPr>
            <w:tcW w:type="dxa" w:w="1736"/>
          </w:tcPr>
          <w:p>
            <w:r>
              <w:t xml:space="preserve">AI Governance Lead</w:t>
            </w:r>
          </w:p>
        </w:tc>
      </w:tr>
      <w:tr>
        <w:tc>
          <w:tcPr>
            <w:tcW w:type="dxa" w:w="1349"/>
          </w:tcPr>
          <w:p>
            <w:r>
              <w:t>1.8 draft</w:t>
            </w:r>
          </w:p>
        </w:tc>
        <w:tc>
          <w:tcPr>
            <w:tcW w:type="dxa" w:w="1734"/>
          </w:tcPr>
          <w:p>
            <w:r>
              <w:t>2 October 2026</w:t>
            </w:r>
          </w:p>
        </w:tc>
        <w:tc>
          <w:tcPr>
            <w:tcW w:type="dxa" w:w="4819"/>
          </w:tcPr>
          <w:p>
            <w:r>
              <w:t>v3.9.5: standards cross-reference note cites the 56-entry requirement inventory (AIG-AIMS-05 REQ-056, SI 2026/425 ICO statutory code of practice on AI and automated decision-making, added). Proposed — for Council confirmation.</w:t>
            </w:r>
          </w:p>
        </w:tc>
        <w:tc>
          <w:tcPr>
            <w:tcW w:type="dxa" w:w="1736"/>
          </w:tcPr>
          <w:p>
            <w:r>
              <w:t xml:space="preserve">AI Governance Lead</w:t>
            </w:r>
          </w:p>
        </w:tc>
      </w:tr>
      <w:tr>
        <w:tc>
          <w:tcPr>
            <w:tcW w:type="dxa" w:w="1349"/>
          </w:tcPr>
          <w:p>
            <w:r>
              <w:t>1.9 draft</w:t>
            </w:r>
          </w:p>
        </w:tc>
        <w:tc>
          <w:tcPr>
            <w:tcW w:type="dxa" w:w="1734"/>
          </w:tcPr>
          <w:p>
            <w:r>
              <w:t>3 October 2026</w:t>
            </w:r>
          </w:p>
        </w:tc>
        <w:tc>
          <w:tcPr>
            <w:tcW w:type="dxa" w:w="4819"/>
          </w:tcPr>
          <w:p>
            <w:r>
              <w:t>v3.9.8: Part A pause row names how a resumption is logged (Outcome “Resume” or “Re-authorise”); confirmation note cites AIG-DEC-04 v1.3. Proposed — for Council confirmation.</w:t>
            </w:r>
          </w:p>
        </w:tc>
        <w:tc>
          <w:tcPr>
            <w:tcW w:type="dxa" w:w="1736"/>
          </w:tcPr>
          <w:p>
            <w:r>
              <w:t>AI Governance Lead</w:t>
            </w:r>
          </w:p>
        </w:tc>
      </w:tr>
      <w:tr>
        <w:tc>
          <w:tcPr>
            <w:tcW w:type="dxa" w:w="1349"/>
          </w:tcPr>
          <w:p>
            <w:r>
              <w:t>1.10 draft</w:t>
            </w:r>
          </w:p>
        </w:tc>
        <w:tc>
          <w:tcPr>
            <w:tcW w:type="dxa" w:w="1734"/>
          </w:tcPr>
          <w:p>
            <w:r>
              <w:t>12 October 2026</w:t>
            </w:r>
          </w:p>
        </w:tc>
        <w:tc>
          <w:tcPr>
            <w:tcW w:type="dxa" w:w="4819"/>
          </w:tcPr>
          <w:p>
            <w:r>
              <w:t>v3.9.10: standards cross-reference note cites the 58-entry requirement inventory (AIG-AIMS-05 REQ-057 DAMA-DMBOK and REQ-058 ISO/IEC 5259, added as voluntary data governance references). Proposed — for Council confirmation.</w:t>
            </w:r>
          </w:p>
        </w:tc>
        <w:tc>
          <w:tcPr>
            <w:tcW w:type="dxa" w:w="1736"/>
          </w:tcPr>
          <w:p>
            <w:r>
              <w:t>AI Governance Lead</w:t>
            </w:r>
          </w:p>
        </w:tc>
      </w:tr>
    </w:tbl>
    <w:p>
      <w:r>
        <w:br w:type="page"/>
      </w:r>
    </w:p>
    <w:p>
      <w:r>
        <w:rPr>
          <w:b/>
          <w:sz w:val="32"/>
        </w:rPr>
        <w:t>PROPOSED INTEGRATION ADDITIONS — REVIEW REQUIRED</w:t>
      </w:r>
    </w:p>
    <w:p>
      <w:pPr>
        <w:pStyle w:val="Heading2"/>
      </w:pPr>
      <w:r>
        <w:t>Proposed map reference in incident triage</w:t>
      </w:r>
    </w:p>
    <w:p>
      <w:pPr/>
      <w:r>
        <w:t xml:space="preserve">For an incident involving a system or component represented in AIG-INV-05, record the incident under the existing AIR-ID and cite the verified map version/Edge ID only as contextual provenance. Do not create an incident identity from a map ID or treat a map relationship as proof of cause or permission. Governance uses the evidence to reassess and, if required, creates an AIG-DEC-04 Plan or records an actual dated Event and updates AIG-INV-04 only after an authorised decision.</w:t>
      </w:r>
    </w:p>
    <w:p>
      <w:r>
        <w:rPr>
          <w:b w:val="0"/>
          <w:sz w:val="20"/>
        </w:rPr>
        <w:t xml:space="preserve">This integrated draft includes revisions to body content above; the annex below is supplementary proposed content for Council review. This draft and annex do not record live facts, completed actions, delegated authority, Council adoption or approval.</w:t>
      </w:r>
    </w:p>
    <w:p>
      <w:r>
        <w:rPr>
          <w:b/>
          <w:sz w:val="24"/>
        </w:rPr>
        <w:t>PROPOSED incident-to-register and re-entry linkage</w:t>
      </w:r>
    </w:p>
    <w:p>
      <w:r>
        <w:t>Identify the system using permanent AIR-ID and obtain identity/current state from AIG-INV-04. If AIR-ID is not issued, retain provisional intake reference and route for Register-steward matching; do not invent an ID. Link incident to AIG-DEC-04 using an event reference, keeping actual occurrence, discovery, notification and response timestamps separate.</w:t>
      </w:r>
    </w:p>
    <w:p>
      <w:r>
        <w:t>Incident report records facts, uncertainty, impact, actions and evidence; it is not an approval, finding of fault, risk reclassification or closure of a condition. Keep planned response milestones separate from actual dated AIG-DEC-04 events. Record action owner, due date, evidence and actual completion/verification date.</w:t>
      </w:r>
    </w:p>
    <w:p>
      <w:r>
        <w:t>Material incident, near miss, control failure or significant complaint pattern triggers documented governance re-entry: relevant notification; containment/pause consideration; risk and impact reassessment; decision on refresh of AIG-ASS-03/AIG-ASS-11/AIG-OPS-02/AIG-AGT-04 and other assessments; delegated decision through AIG-DEC-03 with authoritative minutes/written-decision reference; controlled AIG-INV-04 update; and resulting gate/actions in AIG-DEC-04.</w:t>
      </w:r>
    </w:p>
    <w:p>
      <w:r>
        <w:t>Operational containment/incident closure may coexist with open governance actions. Record both states separately. Resumption after pause requires competent delegated authority, closure or explicit authorised acceptance of relevant conditions, and controlled AIG-INV-04/AIG-DEC-04 updates.</w:t>
      </w:r>
    </w:p>
    <w:p>
      <w:r>
        <w:rPr>
          <w:b/>
          <w:sz w:val="24"/>
        </w:rPr>
        <w:t>PROPOSED material-change re-entry</w:t>
      </w:r>
    </w:p>
    <w:p>
      <w:r>
        <w:t>Material change to purpose, model/provider, data, affected population, decision impact, authority/capabilities, integrations, environment or controls triggers documented re-entry before changed use proceeds. Where urgent change is needed to prevent harm, pause or restrict the use under Playbook §4.7.17 until the delegated decision is made. Record change, date, identifier, impact/risk review, evidence refreshed, delegated decision/effective date and updated conditions. Incident reporting does not substitute for updated intake/decision when change control is required.</w:t>
      </w:r>
    </w:p>
    <w:p>
      <w:r>
        <w:rPr>
          <w:b/>
          <w:sz w:val="24"/>
        </w:rPr>
        <w:t>Review points — not yet decided</w:t>
      </w:r>
    </w:p>
    <w:p>
      <w:r>
        <w:t>Now set in the Playbook (AIG-GOV-02): severity timescales (§5.10.2, §6.8.4.1); pause and resume authority (§4.7.17: an immediate precautionary pause by the Service Owner, and continued suspension, resumption or withdrawal by the competent delegated authority); and handoffs to existing incident, security, safeguarding and statutory routes (§6.8.6.5). Still to confirm: named officers under the Scheme of Delegation, named contacts for each specialist route, and confirmation of the AIG-DEC-04 precautionary pause event type (AIG-DEC-04 v1.3, proposed, including the Resume outcome). No live event is asserted.</w:t>
      </w:r>
    </w:p>
    <w:p>
      <w:pPr>
        <w:pStyle w:val="Heading2"/>
      </w:pPr>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3213"/>
        <w:gridCol w:w="3213"/>
        <w:gridCol w:w="3213"/>
      </w:tblGrid>
      <w:tr>
        <w:tc>
          <w:tcPr>
            <w:tcW w:type="dxa" w:w="3213"/>
          </w:tcPr>
          <w:p>
            <w:r>
              <w:t>Requirement / instrument</w:t>
            </w:r>
          </w:p>
        </w:tc>
        <w:tc>
          <w:tcPr>
            <w:tcW w:type="dxa" w:w="3213"/>
          </w:tcPr>
          <w:p>
            <w:r>
              <w:t>Why check it here</w:t>
            </w:r>
          </w:p>
        </w:tc>
        <w:tc>
          <w:tcPr>
            <w:tcW w:type="dxa" w:w="3213"/>
          </w:tcPr>
          <w:p>
            <w:r>
              <w:t>Source</w:t>
            </w:r>
          </w:p>
        </w:tc>
      </w:tr>
      <w:tr>
        <w:tc>
          <w:tcPr>
            <w:tcW w:type="dxa" w:w="3213"/>
          </w:tcPr>
          <w:p>
            <w:r>
              <w:t>REQ-001 — UK General Data Protection Regulation (UK GDPR), as amended</w:t>
            </w:r>
          </w:p>
        </w:tc>
        <w:tc>
          <w:tcPr>
            <w:tcW w:type="dxa" w:w="3213"/>
          </w:tcPr>
          <w:p>
            <w:r>
              <w:t>Where personal data is processed; test each UK GDPR provision separately.</w:t>
            </w:r>
          </w:p>
        </w:tc>
        <w:tc>
          <w:tcPr>
            <w:tcW w:type="dxa" w:w="3213"/>
          </w:tcPr>
          <w:p>
            <w:r>
              <w:t>https://www.legislation.gov.uk/eur/2016/679/contents</w:t>
            </w:r>
          </w:p>
        </w:tc>
      </w:tr>
      <w:tr>
        <w:tc>
          <w:tcPr>
            <w:tcW w:type="dxa" w:w="3213"/>
          </w:tcPr>
          <w:p>
            <w:r>
              <w:t>REQ-002 — Data Protection Act 2018, as amended</w:t>
            </w:r>
          </w:p>
        </w:tc>
        <w:tc>
          <w:tcPr>
            <w:tcW w:type="dxa" w:w="3213"/>
          </w:tcPr>
          <w:p>
            <w:r>
              <w:t>Where DPA 2018 processing/rights rules are engaged; DPO to validate.</w:t>
            </w:r>
          </w:p>
        </w:tc>
        <w:tc>
          <w:tcPr>
            <w:tcW w:type="dxa" w:w="3213"/>
          </w:tcPr>
          <w:p>
            <w:r>
              <w:t>https://www.legislation.gov.uk/ukpga/2018/12/contents</w:t>
            </w:r>
          </w:p>
        </w:tc>
      </w:tr>
      <w:tr>
        <w:tc>
          <w:tcPr>
            <w:tcW w:type="dxa" w:w="3213"/>
          </w:tcPr>
          <w:p>
            <w:r>
              <w:t>REQ-033 — ICO Guidance on AI and Data Protection and AI Risk Toolkit</w:t>
            </w:r>
          </w:p>
        </w:tc>
        <w:tc>
          <w:tcPr>
            <w:tcW w:type="dxa" w:w="3213"/>
          </w:tcPr>
          <w:p>
            <w:r>
              <w:t>Screen the regulatory guidance requirement against this artefact's actual use and record evidence/version.</w:t>
            </w:r>
          </w:p>
        </w:tc>
        <w:tc>
          <w:tcPr>
            <w:tcW w:type="dxa" w:w="3213"/>
          </w:tcPr>
          <w:p>
            <w:r>
              <w:t>https://ico.org.uk/for-organisations/uk-gdpr-guidance-and-resources/artificial-intelligence/guidance-on-ai-and-data-protection/</w:t>
            </w:r>
          </w:p>
        </w:tc>
      </w:tr>
      <w:tr>
        <w:tc>
          <w:tcPr>
            <w:tcW w:type="dxa" w:w="3213"/>
          </w:tcPr>
          <w:p>
            <w:r>
              <w:t>REQ-039 — NCSC Guidelines for Secure AI System Development</w:t>
            </w:r>
          </w:p>
        </w:tc>
        <w:tc>
          <w:tcPr>
            <w:tcW w:type="dxa" w:w="3213"/>
          </w:tcPr>
          <w:p>
            <w:r>
              <w:t>Screen the government security guidance requirement against this artefact's actual use and record evidence/version.</w:t>
            </w:r>
          </w:p>
        </w:tc>
        <w:tc>
          <w:tcPr>
            <w:tcW w:type="dxa" w:w="3213"/>
          </w:tcPr>
          <w:p>
            <w:r>
              <w:t>https://www.ncsc.gov.uk/collection/guidelines-secure-ai-system-development/introduction</w:t>
            </w:r>
          </w:p>
        </w:tc>
      </w:tr>
    </w:tbl>
    <w:sectPr>
      <w:headerReference w:type="default" r:id="rId7"/>
      <w:footerReference w:type="default" r:id="rId8"/>
      <w:footerReference w:type="first" r:id="rId10"/>
      <w:footerReference w:type="even" r:id="rId11"/>
      <w:headerReference w:type="first" r:id="rId12"/>
      <w:headerReference w:type="even" r:id="rId13"/>
      <w:pgSz w:w="11906" w:h="16838" w:orient="portrait"/>
      <w:pgMar w:top="1134" w:right="1134" w:bottom="1134" w:left="1134"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line="240" w:lineRule="auto"/>
      <w:jc w:val="center"/>
    </w:pPr>
    <w:r>
      <w:rPr>
        <w:rFonts w:ascii="Arial" w:hAnsi="Arial"/>
        <w:color w:val="536072"/>
        <w:sz w:val="16"/>
      </w:rPr>
      <w:t xml:space="preserve">AIG-OPS-03  ·  v1.10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7" w:color="DCE3EA"/>
      </w:pBdr>
      <w:spacing w:after="0"/>
      <w:jc w:val="right"/>
    </w:pPr>
    <w:r>
      <w:rPr>
        <w:rFonts w:ascii="Arial" w:hAnsi="Arial"/>
        <w:color w:val="536072"/>
        <w:sz w:val="17"/>
      </w:rPr>
      <w:t>The Council — AI Incident Report Form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lang w:val="en-GB" w:eastAsia="en-GB" w:bidi="en-G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Heading1">
    <w:name w:val="heading 1"/>
    <w:pPr>
      <w:outlineLvl w:val="0"/>
    </w:pPr>
    <w:qFormat/>
    <w:uiPriority w:val="10"/>
  </w:style>
  <w:style w:type="paragraph" w:customStyle="1" w:styleId="Heading2">
    <w:name w:val="heading 2"/>
    <w:pPr>
      <w:outlineLvl w:val="1"/>
    </w:pPr>
    <w:qFormat/>
    <w:uiPriority w:val="11"/>
  </w:style>
  <w:style w:type="paragraph" w:customStyle="1" w:styleId="Heading3">
    <w:name w:val="heading 3"/>
    <w:pPr>
      <w:outlineLvl w:val="2"/>
    </w:pPr>
    <w:qFormat/>
    <w:uiPriority w:val="12"/>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2.xml"/><Relationship Id="rId13"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AIG-OPS-03 AI Incident Report Form</dc:title>
  <dc:creator>AI Governance working draft</dc:creator>
  <cp:lastModifiedBy>AI Governance working draft</cp:lastModifiedBy>
  <cp:revision>1</cp:revision>
  <dcterms:created xsi:type="dcterms:W3CDTF">2026-06-27T20:20:05.441Z</dcterms:created>
  <dcterms:modified xsi:type="dcterms:W3CDTF">2026-10-01T12:00:00Z</dcterms:modified>
  <dc:subject>Proposed grouped-ID suite; not approved</dc:subject>
  <cp:keywords>Proposed grouped-ID suite; not approved</cp:keywords>
  <dc:identifier/>
  <cp:version>1.9 draft</cp:version>
  <cp:contentStatus>Draft for Council review</cp:contentStatus>
  <cp:category>AI governance</cp:category>
  <dc:language>en-GB</dc:language>
  <dc:description>Proposed grouped-ID suite; not approved</dc:description>
</cp:coreProperties>
</file>

<file path=docProps/custom.xml><?xml version="1.0" encoding="utf-8"?>
<Properties xmlns="http://schemas.openxmlformats.org/officeDocument/2006/custom-properties" xmlns:vt="http://schemas.openxmlformats.org/officeDocument/2006/docPropsVTypes"/>
</file>