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color w:val="0A2540"/>
          <w:sz w:val="28"/>
        </w:rPr>
        <w:t>DUY TAN UNIVERSITY</w:t>
        <w:br/>
        <w:t>FACULTY OF COMPUTER SCIENCE</w:t>
      </w:r>
    </w:p>
    <w:p/>
    <w:p/>
    <w:p>
      <w:pPr>
        <w:spacing w:after="240"/>
        <w:jc w:val="center"/>
      </w:pPr>
      <w:r>
        <w:rPr>
          <w:rFonts w:ascii="Times New Roman" w:hAnsi="Times New Roman"/>
          <w:b/>
          <w:color w:val="0A2540"/>
          <w:sz w:val="36"/>
        </w:rPr>
        <w:t>COMBINED INDIVIDUAL ASSIGNMENTS</w:t>
        <w:br/>
        <w:t>RECOMMENDATION SYSTEM PROJECT</w:t>
      </w:r>
    </w:p>
    <w:p>
      <w:pPr>
        <w:jc w:val="center"/>
      </w:pPr>
      <w:r>
        <w:rPr>
          <w:rFonts w:ascii="Times New Roman" w:hAnsi="Times New Roman"/>
          <w:i/>
          <w:sz w:val="23"/>
        </w:rPr>
        <w:t>Course: Machine Learning with Large Datasets (DS 423 SA1)</w:t>
        <w:br/>
        <w:t>Academic Year 2025–2026</w:t>
        <w:br/>
        <w:t>Lecturers: Puri Vikram, Trần Quốc Đạt</w:t>
      </w:r>
    </w:p>
    <w:p/>
    <w:p/>
    <w:p/>
    <w:p/>
    <w:p>
      <w:pPr>
        <w:spacing w:after="360"/>
        <w:jc w:val="center"/>
      </w:pPr>
      <w:r>
        <w:rPr>
          <w:rFonts w:ascii="Times New Roman" w:hAnsi="Times New Roman"/>
          <w:b/>
          <w:sz w:val="24"/>
        </w:rPr>
        <w:t>GROUP 06 MEMBERS &amp; ASSIGNED SCENARIOS</w:t>
      </w:r>
    </w:p>
    <w:tbl>
      <w:tblPr>
        <w:tblW w:type="auto" w:w="0"/>
        <w:jc w:val="center"/>
        <w:tblLook w:firstColumn="1" w:firstRow="1" w:lastColumn="0" w:lastRow="0" w:noHBand="0" w:noVBand="1" w:val="04A0"/>
      </w:tblPr>
      <w:tblGrid>
        <w:gridCol w:w="2268"/>
        <w:gridCol w:w="2268"/>
        <w:gridCol w:w="2268"/>
        <w:gridCol w:w="2268"/>
      </w:tblGrid>
      <w:tr>
        <w:tc>
          <w:tcPr>
            <w:tcW w:type="dxa" w:w="2268"/>
          </w:tcPr>
          <w:p>
            <w:pPr>
              <w:spacing w:line="276" w:lineRule="auto" w:after="80"/>
              <w:jc w:val="left"/>
            </w:pPr>
            <w:r>
              <w:rPr>
                <w:rFonts w:ascii="Times New Roman" w:hAnsi="Times New Roman"/>
                <w:b/>
                <w:sz w:val="20"/>
              </w:rPr>
              <w:t>Member Name</w:t>
            </w:r>
          </w:p>
        </w:tc>
        <w:tc>
          <w:tcPr>
            <w:tcW w:type="dxa" w:w="2268"/>
          </w:tcPr>
          <w:p>
            <w:pPr>
              <w:spacing w:line="276" w:lineRule="auto" w:after="80"/>
              <w:jc w:val="left"/>
            </w:pPr>
            <w:r>
              <w:rPr>
                <w:rFonts w:ascii="Times New Roman" w:hAnsi="Times New Roman"/>
                <w:b/>
                <w:sz w:val="20"/>
              </w:rPr>
              <w:t>Student ID</w:t>
            </w:r>
          </w:p>
        </w:tc>
        <w:tc>
          <w:tcPr>
            <w:tcW w:type="dxa" w:w="2268"/>
          </w:tcPr>
          <w:p>
            <w:pPr>
              <w:spacing w:line="276" w:lineRule="auto" w:after="80"/>
              <w:jc w:val="left"/>
            </w:pPr>
            <w:r>
              <w:rPr>
                <w:rFonts w:ascii="Times New Roman" w:hAnsi="Times New Roman"/>
                <w:b/>
                <w:sz w:val="20"/>
              </w:rPr>
              <w:t>Scenario Assigned</w:t>
            </w:r>
          </w:p>
        </w:tc>
        <w:tc>
          <w:tcPr>
            <w:tcW w:type="dxa" w:w="2268"/>
          </w:tcPr>
          <w:p>
            <w:pPr>
              <w:spacing w:line="276" w:lineRule="auto" w:after="80"/>
              <w:jc w:val="left"/>
            </w:pPr>
            <w:r>
              <w:rPr>
                <w:rFonts w:ascii="Times New Roman" w:hAnsi="Times New Roman"/>
                <w:b/>
                <w:sz w:val="20"/>
              </w:rPr>
              <w:t>Business Objective</w:t>
            </w:r>
          </w:p>
        </w:tc>
      </w:tr>
      <w:tr>
        <w:tc>
          <w:tcPr>
            <w:tcW w:type="dxa" w:w="2268"/>
          </w:tcPr>
          <w:p>
            <w:pPr>
              <w:spacing w:line="276" w:lineRule="auto" w:after="80"/>
            </w:pPr>
            <w:r>
              <w:rPr>
                <w:rFonts w:ascii="Times New Roman" w:hAnsi="Times New Roman"/>
                <w:sz w:val="20"/>
              </w:rPr>
              <w:t>Lê Kim Dũng</w:t>
            </w:r>
          </w:p>
        </w:tc>
        <w:tc>
          <w:tcPr>
            <w:tcW w:type="dxa" w:w="2268"/>
          </w:tcPr>
          <w:p>
            <w:pPr>
              <w:spacing w:line="276" w:lineRule="auto" w:after="80"/>
            </w:pPr>
            <w:r>
              <w:rPr>
                <w:rFonts w:ascii="Times New Roman" w:hAnsi="Times New Roman"/>
                <w:sz w:val="20"/>
              </w:rPr>
              <w:t>28211452455</w:t>
            </w:r>
          </w:p>
        </w:tc>
        <w:tc>
          <w:tcPr>
            <w:tcW w:type="dxa" w:w="2268"/>
          </w:tcPr>
          <w:p>
            <w:pPr>
              <w:spacing w:line="276" w:lineRule="auto" w:after="80"/>
            </w:pPr>
            <w:r>
              <w:rPr>
                <w:rFonts w:ascii="Times New Roman" w:hAnsi="Times New Roman"/>
                <w:sz w:val="20"/>
              </w:rPr>
              <w:t>HireLink (20M Candidates, 5M Jobs)</w:t>
            </w:r>
          </w:p>
        </w:tc>
        <w:tc>
          <w:tcPr>
            <w:tcW w:type="dxa" w:w="2268"/>
          </w:tcPr>
          <w:p>
            <w:pPr>
              <w:spacing w:line="276" w:lineRule="auto" w:after="80"/>
            </w:pPr>
            <w:r>
              <w:rPr>
                <w:rFonts w:ascii="Times New Roman" w:hAnsi="Times New Roman"/>
                <w:sz w:val="20"/>
              </w:rPr>
              <w:t>Increase Qualified Applications</w:t>
            </w:r>
          </w:p>
        </w:tc>
      </w:tr>
      <w:tr>
        <w:tc>
          <w:tcPr>
            <w:tcW w:type="dxa" w:w="2268"/>
          </w:tcPr>
          <w:p>
            <w:pPr>
              <w:spacing w:line="276" w:lineRule="auto" w:after="80"/>
            </w:pPr>
            <w:r>
              <w:rPr>
                <w:rFonts w:ascii="Times New Roman" w:hAnsi="Times New Roman"/>
                <w:sz w:val="20"/>
              </w:rPr>
              <w:t>Võ Minh Chính</w:t>
            </w:r>
          </w:p>
        </w:tc>
        <w:tc>
          <w:tcPr>
            <w:tcW w:type="dxa" w:w="2268"/>
          </w:tcPr>
          <w:p>
            <w:pPr>
              <w:spacing w:line="276" w:lineRule="auto" w:after="80"/>
            </w:pPr>
            <w:r>
              <w:rPr>
                <w:rFonts w:ascii="Times New Roman" w:hAnsi="Times New Roman"/>
                <w:sz w:val="20"/>
              </w:rPr>
              <w:t>28212306297</w:t>
            </w:r>
          </w:p>
        </w:tc>
        <w:tc>
          <w:tcPr>
            <w:tcW w:type="dxa" w:w="2268"/>
          </w:tcPr>
          <w:p>
            <w:pPr>
              <w:spacing w:line="276" w:lineRule="auto" w:after="80"/>
            </w:pPr>
            <w:r>
              <w:rPr>
                <w:rFonts w:ascii="Times New Roman" w:hAnsi="Times New Roman"/>
                <w:sz w:val="20"/>
              </w:rPr>
              <w:t>PageNest (12M Users, 3M Titles)</w:t>
            </w:r>
          </w:p>
        </w:tc>
        <w:tc>
          <w:tcPr>
            <w:tcW w:type="dxa" w:w="2268"/>
          </w:tcPr>
          <w:p>
            <w:pPr>
              <w:spacing w:line="276" w:lineRule="auto" w:after="80"/>
            </w:pPr>
            <w:r>
              <w:rPr>
                <w:rFonts w:ascii="Times New Roman" w:hAnsi="Times New Roman"/>
                <w:sz w:val="20"/>
              </w:rPr>
              <w:t>Increase Add-to-Carts</w:t>
            </w:r>
          </w:p>
        </w:tc>
      </w:tr>
    </w:tbl>
    <w:p>
      <w:r>
        <w:br w:type="page"/>
      </w:r>
    </w:p>
    <w:p>
      <w:pPr>
        <w:spacing w:after="360"/>
        <w:jc w:val="left"/>
      </w:pPr>
      <w:r>
        <w:rPr>
          <w:rFonts w:ascii="Times New Roman" w:hAnsi="Times New Roman"/>
          <w:b/>
          <w:color w:val="0A2540"/>
          <w:sz w:val="28"/>
        </w:rPr>
        <w:t>PART I: INDIVIDUAL ASSIGNMENT REPORT</w:t>
        <w:br/>
        <w:t>CANDIDATE: LÊ KIM DŨNG (ID: 28211452455)</w:t>
        <w:br/>
        <w:t>SCENARIO: HIRE LINK JOB PORTAL</w:t>
      </w:r>
    </w:p>
    <w:p>
      <w:pPr>
        <w:keepNext/>
        <w:spacing w:before="360" w:after="200"/>
      </w:pPr>
      <w:r>
        <w:rPr>
          <w:rFonts w:ascii="Times New Roman" w:hAnsi="Times New Roman"/>
          <w:b/>
          <w:color w:val="0A2540"/>
          <w:sz w:val="26"/>
        </w:rPr>
        <w:t>1. Problem Statement &amp; Recommendation Objective</w:t>
      </w:r>
    </w:p>
    <w:p>
      <w:r>
        <w:t>In the contemporary digital recruitment landscape, job portals face a significant paradox: the abundance of options leads to extreme cognitive overload for job seekers, while recruiters are inundated with high volumes of low-quality or irrelevant applications. HireLink, a major online job portal, exemplifies this scale with approximately 20 million active candidates and 5 million active job postings. The platform logs over 2 billion interactions, including detail page views, search logs, and application events. The core business objective of HireLink is to increase the total number of qualified applications—interactions where the candidate's skills align with the job specifications, and the employer is highly likely to engage in the selection process. Achieving this objective directly improves recruitment yield, reduces the time-to-hire metric, and builds long-term platform loyalty.</w:t>
      </w:r>
    </w:p>
    <w:p>
      <w:r>
        <w:t>Deploying an intelligent machine-learning recommendation system is the only viable methodology to address HireLink's business needs. Traditional keyword search mechanisms fail to capture the semantic nuances of resume skills and job requirements, leading to high search friction. Recommendation systems proactively match candidates with jobs by learning latent preferences from historical interaction data. However, a key technical challenge is two-sided matching. Unlike standard one-sided consumer recommendations (e.g., Netflix predicting user-to-movie preferences), HireLink operates in a marketplace where both parties must agree. Recommending a software engineering position to an unqualified candidate might trigger an application, but it will lead to immediate rejection by the employer, wasting administrative resources. Conversely, recommending an overqualified candidate to a entry-level role may lead to recruiter rejection or candidate disinterest. Thus, success is defined not just by an increase in total clicks or applications, but by the reciprocal alignment of candidate capabilities and employer requirements, resulting in a higher conversion rate from application to initial interview.</w:t>
      </w:r>
    </w:p>
    <w:p>
      <w:pPr>
        <w:keepNext/>
        <w:spacing w:before="360" w:after="200"/>
      </w:pPr>
      <w:r>
        <w:rPr>
          <w:rFonts w:ascii="Times New Roman" w:hAnsi="Times New Roman"/>
          <w:b/>
          <w:color w:val="0A2540"/>
          <w:sz w:val="26"/>
        </w:rPr>
        <w:t>2. Working with the Large Dataset</w:t>
      </w:r>
    </w:p>
    <w:p>
      <w:r>
        <w:t>The Scale of HireLink's data presents unique challenges across three dimensions: volume, sparsity, and skew. The volume is defined by 20 million candidates, 5 million jobs, and 2 billion interaction records. Sparsity is extremely high; if we model candidate-job interactions as a matrix, the total number of possible combinations is 100 trillion (20M x 5M), meaning the 2 billion actual events fill only 0.002% of the matrix. This extreme sparsity makes traditional collaborative filtering algorithms highly susceptible to the first-stage rating bottleneck. Skew refers to the power-law distribution of data; a small fraction of jobs (e.g., remote entry-level administrative positions) receive a massive share of views and applications, whereas highly specialized jobs remain unvisited. Similarly, a small subset of highly active candidates generates a disproportionate number of interaction events.</w:t>
      </w:r>
    </w:p>
    <w:p>
      <w:r>
        <w:t>To manage this scale, a distributed data pipeline is required. Real-time event ingestion is handled by Apache Kafka, capturing events (candidate views job, candidate applies to job) and routing them to a distributed file system (HDFS or AWS S3). The data storage layer is structured using Delta Lake, which provides ACID transactions and schema enforcement over Parquet columnar files. Data processing, cleaning, and feature engineering are executed in batch and streaming modes using Apache Spark. Cleaning involves deduplicating rapid clicks, filtering out bot activity, and resolving missing values (e.g., inferring missing job locations using company registration metadata). Spark-based distributed feature extraction builds rich feature vectors. For candidates, text-based resumes are parsed using Spark NLP to extract tokenized skills, education level, and experience duration, which are then vectorized. For jobs, requirements and descriptions are converted into dense vector embeddings using pre-trained sentence transformer models (e.g., Sentence-BERT). To prevent resource bottlenecks during model training, the dataset is partitioned by candidate geographical regions, and stratified sampling is used to maintain a balanced ratio of positive interaction labels (applications) and negative labels (views without applications).</w:t>
      </w:r>
    </w:p>
    <w:p>
      <w:pPr>
        <w:keepNext/>
        <w:spacing w:before="360" w:after="200"/>
      </w:pPr>
      <w:r>
        <w:rPr>
          <w:rFonts w:ascii="Times New Roman" w:hAnsi="Times New Roman"/>
          <w:b/>
          <w:color w:val="0A2540"/>
          <w:sz w:val="26"/>
        </w:rPr>
        <w:t>3. Recommendation Approach</w:t>
      </w:r>
    </w:p>
    <w:p>
      <w:r>
        <w:t>To satisfy the two-sided matching challenge at HireLink, we propose a Reciprocal Hybrid Recommendation System. Traditional collaborative filtering or content-based algorithms operate under a single-directed preference. For HireLink, we formulate the problem as a reciprocal recommendation, which optimizes the mutual utility: the candidate's utility of applying to the job, and the employer's utility of shortlisting the candidate. A hybrid approach combining deep content representation and collaborative latent factors is selected. Content-based filtering guarantees coverage for newly posted jobs and candidates (solving the cold-start problem), while matrix factorization captures collaborative behavior patterns from historical applications.</w:t>
      </w:r>
    </w:p>
    <w:p>
      <w:r>
        <w:t>For collaborative representation, we utilize the Alternating Least Squares (ALS) matrix factorization algorithm, which is optimized for distributed execution on Spark. ALS decomposes the sparse interaction matrix into candidate latent vectors and job latent vectors. However, to incorporate the reciprocal challenge, the system deploys a Multi-Task Deep Learning model (such as a Multi-gate Mixture-of-Experts, or MMoE) in the ranking phase. The input to this network consists of concatenated candidate features, job features, and collaborative latent vectors. The model shares lower-level representation layers and uses separate 'expert' sub-networks to output two distinct probabilities:</w:t>
      </w:r>
    </w:p>
    <w:p>
      <w:pPr>
        <w:jc w:val="center"/>
      </w:pPr>
      <w:r>
        <w:rPr>
          <w:b/>
          <w:i/>
        </w:rPr>
        <w:t>1. Candidate Application Probability: P(apply | candidate, job)</w:t>
        <w:br/>
        <w:t>2. Employer Shortlist Probability: P(shortlist | employer, candidate)</w:t>
      </w:r>
    </w:p>
    <w:p>
      <w:r>
        <w:t>The final reciprocal recommendation score (R) is computed as the geometric mean of these two probabilities: R = sqrt( P(apply) * P(shortlist) ). By ranking the jobs according to this joint probability, the system guarantees that highly-ranked jobs are both appealing to the candidate and accessible to them based on their qualifications, directly maximizing the likelihood of a 'qualified application'. When a candidate is new (user cold-start), the SVD collaborative features are unavailable. The model dynamically falls back to Content-Based Filtering, extracting TF-IDF vectors from the candidate's parsed resume and calculating the Cosine Similarity against the TF-IDF vectors of job descriptions. This ensures that even without historical application data, the system can instantly suggest jobs that match the candidate's explicit skills.</w:t>
      </w:r>
    </w:p>
    <w:p>
      <w:pPr>
        <w:keepNext/>
        <w:spacing w:before="360" w:after="200"/>
      </w:pPr>
      <w:r>
        <w:rPr>
          <w:rFonts w:ascii="Times New Roman" w:hAnsi="Times New Roman"/>
          <w:b/>
          <w:color w:val="0A2540"/>
          <w:sz w:val="26"/>
        </w:rPr>
        <w:t>4. Scalable System Design</w:t>
      </w:r>
    </w:p>
    <w:p>
      <w:r>
        <w:t>Processing recommendations for 20 million users against 5 million jobs in real-time requires a highly scalable architecture. A single-stage ranking model trying to score all 5 million jobs for every user would suffer from unacceptable latency. Thus, we implement a two-stage recommendation architecture: Candidate Generation (Retrieval) and Detailed Ranking.</w:t>
      </w:r>
    </w:p>
    <w:p>
      <w:r>
        <w:t>In the Candidate Generation stage, the search space is aggressively reduced from 5 million jobs to the top 500 candidate jobs. This is achieved by utilizing a Two-Tower Deep Structured Semantic Model (DSSM). One tower processes the candidate profile features (skills, location, preferred salary) to output a dense 128-dimensional embedding, while the other tower processes the job metadata (description, role, requirements) to output a matching 128-dimensional embedding. These job embeddings are indexed offline into a HNSW graph index in a distributed vector database, such as Milvus or FAISS. When an active candidate logs in, the candidate tower generates their embedding in real-time, and a similarity query retrieves the top 500 nearest neighbors in under 10ms. In the second stage (Detailed Ranking), these 500 candidate jobs are scored by the MMoE ranking model. The model computes the final reciprocal matching score using candidate features, job features, and real-time context (candidate's recent search keywords, geographic distance to the job location). Real-time context features are cached in Redis, allowing the ranking engine (Triton Inference Server) to perform scoring in less than 40ms.</w:t>
      </w:r>
    </w:p>
    <w:p>
      <w:pPr>
        <w:keepNext/>
        <w:spacing w:before="360" w:after="200"/>
      </w:pPr>
      <w:r>
        <w:rPr>
          <w:rFonts w:ascii="Times New Roman" w:hAnsi="Times New Roman"/>
          <w:b/>
          <w:color w:val="0A2540"/>
          <w:sz w:val="26"/>
        </w:rPr>
        <w:t>5. Evaluation Framework &amp; Challenges</w:t>
      </w:r>
    </w:p>
    <w:p>
      <w:r>
        <w:t>For offline evaluation, the datasets are split chronologically to prevent data leakage. Classification accuracy is measured using AUC-ROC for both P(apply) and P(shortlist) models. More importantly, top-K ranking quality is measured using NDCG@10 and MAP@10, where an interaction is considered relevant only if the application leads to an employer shortlist or interview invitation. Online evaluation is conducted via A/B testing, splitting candidate traffic between the legacy search system (control) and the reciprocal recommendation engine (treatment). The primary online metric is the Qualified Application Rate (QAR), calculated as the total shortlisted applications divided by total recommendations served.</w:t>
      </w:r>
    </w:p>
    <w:p>
      <w:r>
        <w:t>Key operational and ethical challenges must be addressed. Popularity bias is mitigated by implementing a popularity-penalization factor in the ranking scoring and applying diversity filters. Furthermore, automated recruitment systems are highly prone to demographic bias (gender, age, and race) inherited from historical hiring data. To enforce fairness, HireLink's design applies adversarial debiasing. During feature engineering, demographic identifiers are strictly removed. We also train a secondary network that attempts to predict a candidate's demographic features from the generated embeddings. The primary ranking network is then trained to maximize recommendation accuracy while minimizing the adversarial network's ability to predict demographic traits. Additionally, we actively monitor the selection rate for protected groups, calculating the Disparate Impact Ratio. If this ratio drops below the regulatory threshold of 0.8, it triggers automated mitigation protocols, such as sample re-weighting, ensuring fair and unbiased recommendations.</w:t>
      </w:r>
    </w:p>
    <w:p>
      <w:pPr>
        <w:keepNext/>
        <w:spacing w:before="240" w:after="120"/>
      </w:pPr>
      <w:r>
        <w:rPr>
          <w:rFonts w:ascii="Times New Roman" w:hAnsi="Times New Roman"/>
          <w:b/>
          <w:color w:val="3C6E96"/>
          <w:sz w:val="23"/>
        </w:rPr>
        <w:t>References</w:t>
      </w:r>
    </w:p>
    <w:p>
      <w:pPr>
        <w:spacing w:after="80"/>
        <w:ind w:left="720" w:hanging="720"/>
      </w:pPr>
      <w:r>
        <w:rPr>
          <w:rFonts w:ascii="Times New Roman" w:hAnsi="Times New Roman"/>
          <w:sz w:val="19"/>
        </w:rPr>
        <w:t>Covington, P., Adams, J., &amp; Sargin, E. (2016). Deep neural networks for YouTube recommendations. In Proceedings of the 10th ACM Conference on Recommender Systems (pp. 191-198). https://doi.org/10.1145/2959100.2959190</w:t>
      </w:r>
    </w:p>
    <w:p>
      <w:pPr>
        <w:spacing w:after="80"/>
        <w:ind w:left="720" w:hanging="720"/>
      </w:pPr>
      <w:r>
        <w:rPr>
          <w:rFonts w:ascii="Times New Roman" w:hAnsi="Times New Roman"/>
          <w:sz w:val="19"/>
        </w:rPr>
        <w:t>Koren, Y., Bell, R., &amp; Volinsky, C. (2009). Matrix factorization techniques for recommender systems. Computer, 42(8), 30-37. https://doi.org/10.1109/MC.2009.263</w:t>
      </w:r>
    </w:p>
    <w:p>
      <w:pPr>
        <w:spacing w:after="80"/>
        <w:ind w:left="720" w:hanging="720"/>
      </w:pPr>
      <w:r>
        <w:rPr>
          <w:rFonts w:ascii="Times New Roman" w:hAnsi="Times New Roman"/>
          <w:sz w:val="19"/>
        </w:rPr>
        <w:t>Harper, F. M., &amp; Konstan, J. A. (2015). The MovieLens datasets: History and context. ACM Transactions on Interactive Intelligent Systems (TiiS), 5(4), 1-19. https://doi.org/10.1145/2827872</w:t>
      </w:r>
    </w:p>
    <w:p>
      <w:pPr>
        <w:spacing w:after="80"/>
        <w:ind w:left="720" w:hanging="720"/>
      </w:pPr>
      <w:r>
        <w:rPr>
          <w:rFonts w:ascii="Times New Roman" w:hAnsi="Times New Roman"/>
          <w:sz w:val="19"/>
        </w:rPr>
        <w:t>Al-Otaibi, S. T., &amp; Ykhlef, M. (2012). A survey of job recommender systems. International Journal of Physical Sciences, 7(29), 5127-5142. https://doi.org/10.5897/IJPS12.362</w:t>
      </w:r>
    </w:p>
    <w:p>
      <w:pPr>
        <w:spacing w:after="80"/>
        <w:ind w:left="720" w:hanging="720"/>
      </w:pPr>
      <w:r>
        <w:rPr>
          <w:rFonts w:ascii="Times New Roman" w:hAnsi="Times New Roman"/>
          <w:sz w:val="19"/>
        </w:rPr>
        <w:t>Pizzato, L., Rejwan, M., &amp; Yacef, K. (2013). Recommending people to people: The reciprocal recommendation problem. In Recommender Systems Handbook (pp. 523-549). Springer, New York, NY.</w:t>
      </w:r>
    </w:p>
    <w:p>
      <w:r>
        <w:br w:type="page"/>
      </w:r>
    </w:p>
    <w:p>
      <w:pPr>
        <w:spacing w:after="360"/>
        <w:jc w:val="left"/>
      </w:pPr>
      <w:r>
        <w:rPr>
          <w:rFonts w:ascii="Times New Roman" w:hAnsi="Times New Roman"/>
          <w:b/>
          <w:color w:val="0A2540"/>
          <w:sz w:val="28"/>
        </w:rPr>
        <w:t>PART II: INDIVIDUAL ASSIGNMENT REPORT</w:t>
        <w:br/>
        <w:t>CANDIDATE: VÕ MINH CHÍNH (ID: 28212306297)</w:t>
        <w:br/>
        <w:t>SCENARIO: PAGENEST ONLINE BOOKSTORE</w:t>
      </w:r>
    </w:p>
    <w:p>
      <w:pPr>
        <w:keepNext/>
        <w:spacing w:before="360" w:after="200"/>
      </w:pPr>
      <w:r>
        <w:rPr>
          <w:rFonts w:ascii="Times New Roman" w:hAnsi="Times New Roman"/>
          <w:b/>
          <w:color w:val="0A2540"/>
          <w:sz w:val="26"/>
        </w:rPr>
        <w:t>1. Problem Statement &amp; Recommendation Objective</w:t>
      </w:r>
    </w:p>
    <w:p>
      <w:r>
        <w:t>In the digital e-commerce space for books, platforms face a constant challenge in translating user interest into active purchasing decisions. PageNest, an online bookstore, operates at a significant scale with approximately 12 million active users and a catalog containing 3 million book titles. The platform logs around 800 million interaction events, capturing explicit ratings and implicit views. The primary business objective of PageNest is to increase the number of books added to cart. The 'Add-to-Cart' (ATC) action represents a high-intent user interaction that directly drives sales and purchase conversion rates. Generating relevant recommendations that motivate users to add books to their cart is essential to maximizing revenue and improving user engagement.</w:t>
      </w:r>
    </w:p>
    <w:p>
      <w:r>
        <w:t>To achieve PageNest's business goal, an intelligent recommendation system is required. However, standard collaborative filtering suffers from sparsity bottlenecks and cannot recommend newly published books. Content-based systems recommend similar books but fail to capture collaborative signals (cross-user reading patterns). The specific challenge in PageNest is combining content features—such as genre, author, and synopsis text—with collaborative signals in a unified hybrid model. Synopses contain rich semantic information (themes, writing styles, character arcs) that standard categorical labels cannot represent. Fusing these text-based features with collaborative signals (user rating history) is critical to building a personalized recommendation engine. Success for PageNest is defined by a significant increase in the Cart Conversion Rate (CCR)—the percentage of recommended items that are successfully added to the user's cart—along with reduced search friction and increased session depth.</w:t>
      </w:r>
    </w:p>
    <w:p>
      <w:pPr>
        <w:keepNext/>
        <w:spacing w:before="360" w:after="200"/>
      </w:pPr>
      <w:r>
        <w:rPr>
          <w:rFonts w:ascii="Times New Roman" w:hAnsi="Times New Roman"/>
          <w:b/>
          <w:color w:val="0A2540"/>
          <w:sz w:val="26"/>
        </w:rPr>
        <w:t>2. Working with the Large Dataset</w:t>
      </w:r>
    </w:p>
    <w:p>
      <w:r>
        <w:t>The PageNest dataset presents scale challenges across three dimensions: volume, sparsity, and skew. The volume is defined by 12 million users, 3 million titles, and 800 million rating and view events. Sparsity is extremely high; the user-item rating matrix contains 36 trillion possible entries (12M users x 3M books), while the 800 million events fill only 0.0022% of the matrix (representing a sparsity of 99.9978%). Skew is characterized by a power-law distribution: a tiny fraction of bestsellers (e.g., popular fiction or celebrity memoirs) receive a massive share of views and ratings, while millions of mid-list and academic titles remain virtually unvisited. Similarly, a small subset of highly active readers generates a disproportionate number of interaction events.</w:t>
      </w:r>
    </w:p>
    <w:p>
      <w:r>
        <w:t>To process this dataset at scale, PageNest implements a distributed data pipeline. Real-time rating and view events are ingested via Apache Kafka and stored in HDFS. The storage layer uses Delta Lake with Parquet columnar files to ensure transactional integrity and optimize read queries. Distributed feature engineering is executed using Apache Spark. Cleaning involves deduplicating rapid clicks, filtering web crawlers, and parsing unstructured data. Feature engineering is performed separately for categorical metadata and unstructured synopsis text. Author names and genres are indexed and converted into dense categorical embeddings. For book synopses, we leverage Apache Spark NLP to run sentence tokenization, followed by a pre-trained transformer model (such as Sentence-BERT) to extract a dense 768-dimensional semantic embedding for each book. To manage computation costs during model training, the dataset is partitioned by user demographics, and stratified sampling is used to balance the ratio of positive and negative interaction events.</w:t>
      </w:r>
    </w:p>
    <w:p>
      <w:pPr>
        <w:keepNext/>
        <w:spacing w:before="360" w:after="200"/>
      </w:pPr>
      <w:r>
        <w:rPr>
          <w:rFonts w:ascii="Times New Roman" w:hAnsi="Times New Roman"/>
          <w:b/>
          <w:color w:val="0A2540"/>
          <w:sz w:val="26"/>
        </w:rPr>
        <w:t>3. Recommendation Approach</w:t>
      </w:r>
    </w:p>
    <w:p>
      <w:r>
        <w:t>To address the challenge of combining content features and collaborative signals, we propose a Hybrid Wide &amp; Deep Recommendation Model. Developed by Google, the Wide &amp; Deep architecture is ideally suited for this task. It combines a linear model component (Wide) for 'memorization' of specific historical patterns with a deep neural network component (Deep) for 'generalization' across rich semantic content features.</w:t>
      </w:r>
    </w:p>
    <w:p>
      <w:r>
        <w:t>The system works by merging collaborative signals and content metadata into a unified feature representation. The collaborative signals are generated from historical ratings using matrix factorization (ALS) on Apache Spark, extracting latent user vectors and latent book vectors. The content features consist of genre IDs, author IDs, and the 768-dimensional synopsis embedding. The architecture is structured as follows:</w:t>
      </w:r>
    </w:p>
    <w:p>
      <w:pPr>
        <w:jc w:val="center"/>
      </w:pPr>
      <w:r>
        <w:rPr>
          <w:b/>
          <w:i/>
        </w:rPr>
        <w:t>1. Wide Component: Linear regression over sparse categorical features (e.g., User ID x Book ID)</w:t>
        <w:br/>
        <w:t>2. Deep Component: Multilayer Perceptron (MLP) over concatenated dense embeddings</w:t>
        <w:br/>
        <w:t>Output: P(add_to_cart | user, book) = sigmoid( Wide_Score + Deep_Score )</w:t>
      </w:r>
    </w:p>
    <w:p>
      <w:r>
        <w:t>In the Deep component, the sparse author and genre IDs are passed through dense embedding layers to project them into a low-dimensional space. The 768-dimensional synopsis embedding is passed through a dense layer for dimensionality reduction to 64 dimensions. These content embeddings are concatenated with the SVD/ALS collaborative user and item embeddings, and fed into three fully-connected feed-forward layers. This deep path learns complex, non-linear interactions between book synopses and collaborative user profiles. In parallel, the Wide component memorizes co-occurrence patterns. This hybrid structure resolves the two-sided information bottleneck: when a new book is published (item cold-start), the deep path uses the author, genre, and synopsis embeddings to generate recommendations, while for established books, the collaborative signals dominate, maximizing the add-to-cart conversion probability.</w:t>
      </w:r>
    </w:p>
    <w:p>
      <w:pPr>
        <w:keepNext/>
        <w:spacing w:before="360" w:after="200"/>
      </w:pPr>
      <w:r>
        <w:rPr>
          <w:rFonts w:ascii="Times New Roman" w:hAnsi="Times New Roman"/>
          <w:b/>
          <w:color w:val="0A2540"/>
          <w:sz w:val="26"/>
        </w:rPr>
        <w:t>4. Scalable System Design</w:t>
      </w:r>
    </w:p>
    <w:p>
      <w:r>
        <w:t>Processing real-time recommendations for PageNest's 12 million active users against 3 million titles requires a scalable, low-latency infrastructure. Evaluating the Wide &amp; Deep model for all 3 million books for every user in real-time is computationally impossible. Thus, we implement a two-stage recommendation architecture: Candidate Generation (Retrieval) and Detailed Ranking.</w:t>
      </w:r>
    </w:p>
    <w:p>
      <w:r>
        <w:t>In the Candidate Generation stage, the catalog is reduced from 3 million titles to a candidate set of 400 books. This is achieved using a Two-Tower Neural Network. The User Tower outputs a user representation vector based on user history and collaborative signals. The Item Tower outputs an item representation vector based on book collaborative embeddings and content embeddings (including the synopsis vector). Offline, all 3 million book embeddings are indexed using an HNSW graph in a vector database like Milvus or FAISS. When a user requests a recommendation, a vector similarity search returns the top 400 nearest neighbors in less than 10 milliseconds. In the second stage (Detailed Ranking), the 400 books are scored by the complex Wide &amp; Deep model. Features for the candidate books and users are retrieved from Redis within 5ms. The ranking engine, hosted on a Triton Inference Server cluster, processes the candidate scoring and returns the sorted top 10 books in less than 40ms.</w:t>
      </w:r>
    </w:p>
    <w:p>
      <w:pPr>
        <w:keepNext/>
        <w:spacing w:before="360" w:after="200"/>
      </w:pPr>
      <w:r>
        <w:rPr>
          <w:rFonts w:ascii="Times New Roman" w:hAnsi="Times New Roman"/>
          <w:b/>
          <w:color w:val="0A2540"/>
          <w:sz w:val="26"/>
        </w:rPr>
        <w:t>5. Evaluation Framework &amp; Challenges</w:t>
      </w:r>
    </w:p>
    <w:p>
      <w:r>
        <w:t>To ensure the system aligns with PageNest's goal of increasing cart additions, we design a comprehensive evaluation framework incorporating offline metrics, online A/B testing, and operational constraints.</w:t>
      </w:r>
    </w:p>
    <w:p>
      <w:r>
        <w:t>For offline evaluation, the dataset is split chronologically to prevent data leakage. Classification accuracy is evaluated using AUC-ROC to measure the probability of the user adding the recommended book to their cart. Top-K ranking quality is measured using NDCG@10 and MAP@10, where an item is considered relevant only if it was successfully added to the cart. Online evaluation is conducted via A/B testing, splitting user traffic between the legacy matrix factorization system (control) and the proposed Wide &amp; Deep hybrid model (treatment). The primary online metric is the Add-to-Cart Rate (ACR), defined as the ratio of recommendations resulting in a cart addition divided by the total recommendations served.</w:t>
      </w:r>
    </w:p>
    <w:p>
      <w:r>
        <w:t>Key operational and ethical challenges must be addressed. Popularity bias is mitigated by applying popularity-penalization factors to the ranking score and enforcing category-diversity constraints. Additionally, automated recommendation engines can create 'filter bubbles,' isolating users within narrow interest groups. To prevent this, we introduce random diversity exploration, occasionally injecting 10% highly diverse titles from adjacent genres into the candidate set. From an ethical standpoint, we address privacy concerns regarding user reading habits. Reading lists reveal sensitive user interests. PageNest protects user data by utilizing federated learning approaches and strictly encrypting user profiles in the Redis feature store, ensuring compliance with global data protection regulations.</w:t>
      </w:r>
    </w:p>
    <w:p>
      <w:pPr>
        <w:keepNext/>
        <w:spacing w:before="240" w:after="120"/>
      </w:pPr>
      <w:r>
        <w:rPr>
          <w:rFonts w:ascii="Times New Roman" w:hAnsi="Times New Roman"/>
          <w:b/>
          <w:color w:val="3C6E96"/>
          <w:sz w:val="23"/>
        </w:rPr>
        <w:t>References</w:t>
      </w:r>
    </w:p>
    <w:p>
      <w:pPr>
        <w:spacing w:after="80"/>
        <w:ind w:left="720" w:hanging="720"/>
      </w:pPr>
      <w:r>
        <w:rPr>
          <w:rFonts w:ascii="Times New Roman" w:hAnsi="Times New Roman"/>
          <w:sz w:val="19"/>
        </w:rPr>
        <w:t>Cheng, H. T., Koc, L., Harmsen, J., Shaked, T., Chandra, T., Aradhye, H., ... &amp; Shah, H. (2016). Wide &amp; deep learning for recommender systems. In Proceedings of the 1st Workshop on Deep Learning for Recommender Systems (pp. 7-10). https://doi.org/10.1145/2988450.2988454</w:t>
      </w:r>
    </w:p>
    <w:p>
      <w:pPr>
        <w:spacing w:after="80"/>
        <w:ind w:left="720" w:hanging="720"/>
      </w:pPr>
      <w:r>
        <w:rPr>
          <w:rFonts w:ascii="Times New Roman" w:hAnsi="Times New Roman"/>
          <w:sz w:val="19"/>
        </w:rPr>
        <w:t>Koren, Y., Bell, R., &amp; Volinsky, C. (2009). Matrix factorization techniques for recommender systems. Computer, 42(8), 30-37. https://doi.org/10.1109/MC.2009.263</w:t>
      </w:r>
    </w:p>
    <w:p>
      <w:pPr>
        <w:spacing w:after="80"/>
        <w:ind w:left="720" w:hanging="720"/>
      </w:pPr>
      <w:r>
        <w:rPr>
          <w:rFonts w:ascii="Times New Roman" w:hAnsi="Times New Roman"/>
          <w:sz w:val="19"/>
        </w:rPr>
        <w:t>Devlin, J., Chang, M. W., Lee, K., &amp; Toutanova, K. (2018). Bert: Pre-training of deep bidirectional transformers for language understanding. arXiv preprint arXiv:1810.04805. https://arxiv.org/abs/1810.04805</w:t>
      </w:r>
    </w:p>
    <w:p>
      <w:pPr>
        <w:spacing w:after="80"/>
        <w:ind w:left="720" w:hanging="720"/>
      </w:pPr>
      <w:r>
        <w:rPr>
          <w:rFonts w:ascii="Times New Roman" w:hAnsi="Times New Roman"/>
          <w:sz w:val="19"/>
        </w:rPr>
        <w:t>Harper, F. M., &amp; Konstan, J. A. (2015). The MovieLens datasets: History and context. ACM Transactions on Interactive Intelligent Systems (TiiS), 5(4), 1-19. https://doi.org/10.1145/2827872</w:t>
      </w:r>
    </w:p>
    <w:p>
      <w:pPr>
        <w:spacing w:after="80"/>
        <w:ind w:left="720" w:hanging="720"/>
      </w:pPr>
      <w:r>
        <w:rPr>
          <w:rFonts w:ascii="Times New Roman" w:hAnsi="Times New Roman"/>
          <w:sz w:val="19"/>
        </w:rPr>
        <w:t>Burke, R. (2002). Hybrid recommender systems: Survey and framework. User Modeling and User-Adapted Interaction, 12(4), 331-370. https://doi.org/10.1023/A:1020443909548</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