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CHATWIDGET-POLICY-1.0.0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CHATWIDGET-REQDEF-2.0.0 (Requirements Definition)</w:t>
      </w:r>
    </w:p>
    <w:p>
      <w:pPr>
        <w:numPr>
          <w:ilvl w:val="0"/>
          <w:numId w:val="1001"/>
        </w:numPr>
        <w:pStyle w:val="Compact"/>
      </w:pPr>
      <w:r>
        <w:t xml:space="preserve">CHATWIDGET-EVTSCN-2.0.0 (Event Scenario)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Initial policy definition — POL-001~POL-015 + common policies; rules frozen before functional definition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86233b023bded4ca959e3e8f910de8b4d3ab3e1"/>
      <w:r>
        <w:t xml:space="preserve">IVY USA Chat &amp; Support Widget — Policy Definition (정책 정의서)</w:t>
      </w:r>
      <w:bookmarkEnd w:id="20"/>
    </w:p>
    <w:p>
      <w:pPr>
        <w:pStyle w:val="FirstParagraph"/>
      </w:pPr>
      <w:r>
        <w:t xml:space="preserve">Business policies and rules that constrain functional behavior, sequences, and data. Per the process standard, policies are frozen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the Functional Definition (FN). Each policy references requirement IDs (FR/NFR) and screen evidence (화면 NN).</w:t>
      </w:r>
      <w:r>
        <w:t xml:space="preserve"> </w:t>
      </w:r>
      <w:r>
        <w:rPr>
          <w:rStyle w:val="VerbatimChar"/>
        </w:rPr>
        <w:t xml:space="preserve">[TBD]</w:t>
      </w:r>
      <w:r>
        <w:t xml:space="preserve"> </w:t>
      </w:r>
      <w:r>
        <w:t xml:space="preserve">items carry an owner/decision reference (A-x).</w:t>
      </w:r>
      <w:r>
        <w:t xml:space="preserve"> </w:t>
      </w:r>
      <w:r>
        <w:t xml:space="preserve">(기능 정의서 작성 전에 고정해야 하는 비즈니스 규칙. 각 정책은 FR/NFR과 화면 근거를 참조하며, 미결 항목은 [TBD]로 표시한다.)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46f38badac34655ec9734147f7332fcaf46ddd1"/>
      <w:r>
        <w:t xml:space="preserve">POL-001: Authentication &amp; Order-Data Access (인증·주문데이터 접근)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Purpose (목적)</w:t>
      </w:r>
      <w:r>
        <w:t xml:space="preserve">: Protect purchaser/order data; allow guest self-service for non-personal content.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Scope (적용 범위)</w:t>
      </w:r>
      <w:r>
        <w:t xml:space="preserve">: All flows requiring order/purchaser info (order status, tracking, cancel/refund, orders panel, subscription).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Rules (규칙)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R1: Any request needing order/purchaser data → Auth Gate before fulfilling (FR-006).</w:t>
      </w:r>
    </w:p>
    <w:p>
      <w:pPr>
        <w:numPr>
          <w:ilvl w:val="1"/>
          <w:numId w:val="1003"/>
        </w:numPr>
        <w:pStyle w:val="Compact"/>
      </w:pPr>
      <w:r>
        <w:t xml:space="preserve">R2: Allowed methods — Shopify account / social (Shopify-linked) / guest order lookup (order# + email) (FR-007~009).</w:t>
      </w:r>
    </w:p>
    <w:p>
      <w:pPr>
        <w:numPr>
          <w:ilvl w:val="1"/>
          <w:numId w:val="1003"/>
        </w:numPr>
        <w:pStyle w:val="Compact"/>
      </w:pPr>
      <w:r>
        <w:t xml:space="preserve">R3: Guest order lookup grants</w:t>
      </w:r>
      <w:r>
        <w:t xml:space="preserve"> </w:t>
      </w:r>
      <w:r>
        <w:rPr>
          <w:b/>
        </w:rPr>
        <w:t xml:space="preserve">single-order scope</w:t>
      </w:r>
      <w:r>
        <w:t xml:space="preserve"> </w:t>
      </w:r>
      <w:r>
        <w:t xml:space="preserve">only; account login grants full customer scope.</w:t>
      </w:r>
    </w:p>
    <w:p>
      <w:pPr>
        <w:numPr>
          <w:ilvl w:val="1"/>
          <w:numId w:val="1003"/>
        </w:numPr>
        <w:pStyle w:val="Compact"/>
      </w:pPr>
      <w:r>
        <w:t xml:space="preserve">R4: On success, bind session to customer/order scope;</w:t>
      </w:r>
      <w:r>
        <w:t xml:space="preserve"> </w:t>
      </w:r>
      <w:r>
        <w:rPr>
          <w:b/>
        </w:rPr>
        <w:t xml:space="preserve">never log raw credentials</w:t>
      </w:r>
      <w:r>
        <w:t xml:space="preserve"> </w:t>
      </w:r>
      <w:r>
        <w:t xml:space="preserve">(NFR-004).</w:t>
      </w:r>
    </w:p>
    <w:p>
      <w:pPr>
        <w:numPr>
          <w:ilvl w:val="1"/>
          <w:numId w:val="1003"/>
        </w:numPr>
        <w:pStyle w:val="Compact"/>
      </w:pPr>
      <w:r>
        <w:t xml:space="preserve">R5: Guest lookup mismatch → max</w:t>
      </w:r>
      <w:r>
        <w:t xml:space="preserve"> </w:t>
      </w:r>
      <w:r>
        <w:rPr>
          <w:b/>
        </w:rPr>
        <w:t xml:space="preserve">5 retries / 15 min</w:t>
      </w:r>
      <w:r>
        <w:t xml:space="preserve">, then offer agent.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Exceptions (예외)</w:t>
      </w:r>
      <w:r>
        <w:t xml:space="preserve">: Consent not given → block order features and explain (POL-002). Auth canceled → return to menu with guest features only.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Refs</w:t>
      </w:r>
      <w:r>
        <w:t xml:space="preserve">: FR-006~010 · 화면 10,11,57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</w:p>
    <w:p>
      <w:pPr>
        <w:pStyle w:val="Heading2"/>
      </w:pPr>
      <w:bookmarkStart w:id="22" w:name="Xb176a80b0a2d0baf3be62f7fed51bc65e16d7ee"/>
      <w:r>
        <w:t xml:space="preserve">POL-002: Consent &amp; Privacy — CCPA/CPRA + GDPR (동의·개인정보 — CCPA/CPRA + GDPR)</w:t>
      </w:r>
      <w:bookmarkEnd w:id="2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Purpose</w:t>
      </w:r>
      <w:r>
        <w:t xml:space="preserve">: Comply with</w:t>
      </w:r>
      <w:r>
        <w:t xml:space="preserve"> </w:t>
      </w:r>
      <w:r>
        <w:rPr>
          <w:b/>
        </w:rPr>
        <w:t xml:space="preserve">CCPA/CPRA (US, primary for ivyusa.com)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GDPR (EU traffic)</w:t>
      </w:r>
      <w:r>
        <w:t xml:space="preserve">, plus company standard</w:t>
      </w:r>
      <w:r>
        <w:t xml:space="preserve"> </w:t>
      </w:r>
      <w:r>
        <w:rPr>
          <w:rStyle w:val="VerbatimChar"/>
        </w:rPr>
        <w:t xml:space="preserve">standards/amoeba_privacy_compliance_v2.md</w:t>
      </w:r>
      <w:r>
        <w:t xml:space="preserve"> </w:t>
      </w:r>
      <w:r>
        <w:t xml:space="preserve">(PIPA/PDPD where applicable); obtain consent/notice before processing personal data.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Scope</w:t>
      </w:r>
      <w:r>
        <w:t xml:space="preserve">: All sessions; all PII processing, storage, and external notifications; integrations (Shopify/Klaviyo/Odoo/Google) as processors.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R1: Show privacy notice + consent at session start; provide</w:t>
      </w:r>
      <w:r>
        <w:t xml:space="preserve"> </w:t>
      </w:r>
      <w:r>
        <w:rPr>
          <w:b/>
        </w:rPr>
        <w:t xml:space="preserve">CCPA "Do Not Sell or Share My Personal Information"</w:t>
      </w:r>
      <w:r>
        <w:t xml:space="preserve"> </w:t>
      </w:r>
      <w:r>
        <w:t xml:space="preserve">+ sensitive-PI limit links (FR-002, PRV-020~022).</w:t>
      </w:r>
    </w:p>
    <w:p>
      <w:pPr>
        <w:numPr>
          <w:ilvl w:val="1"/>
          <w:numId w:val="1005"/>
        </w:numPr>
        <w:pStyle w:val="Compact"/>
      </w:pPr>
      <w:r>
        <w:t xml:space="preserve">R2: Consent declined → non-personal FAQ only; suppress PII logging; no order features.</w:t>
      </w:r>
    </w:p>
    <w:p>
      <w:pPr>
        <w:numPr>
          <w:ilvl w:val="1"/>
          <w:numId w:val="1005"/>
        </w:numPr>
        <w:pStyle w:val="Compact"/>
      </w:pPr>
      <w:r>
        <w:t xml:space="preserve">R3: Provide opt-out for marketing channels; honor opt-out on every dispatch (FR-049).</w:t>
      </w:r>
    </w:p>
    <w:p>
      <w:pPr>
        <w:numPr>
          <w:ilvl w:val="1"/>
          <w:numId w:val="1005"/>
        </w:numPr>
        <w:pStyle w:val="Compact"/>
      </w:pPr>
      <w:r>
        <w:t xml:space="preserve">R4:</w:t>
      </w:r>
      <w:r>
        <w:t xml:space="preserve"> </w:t>
      </w:r>
      <w:r>
        <w:rPr>
          <w:b/>
        </w:rPr>
        <w:t xml:space="preserve">Data-subject/consumer rights</w:t>
      </w:r>
      <w:r>
        <w:t xml:space="preserve"> </w:t>
      </w:r>
      <w:r>
        <w:t xml:space="preserve">— access/know, delete, correct, portability, processing-stop — via DSAR path; honor within legal SLA (GDPR 1mo / CCPA 45d) (PRV-010~017).</w:t>
      </w:r>
    </w:p>
    <w:p>
      <w:pPr>
        <w:numPr>
          <w:ilvl w:val="1"/>
          <w:numId w:val="1005"/>
        </w:numPr>
        <w:pStyle w:val="Compact"/>
      </w:pPr>
      <w:r>
        <w:t xml:space="preserve">R5: Deletion/anonymization per retention (POL-003); reflect in backups.</w:t>
      </w:r>
    </w:p>
    <w:p>
      <w:pPr>
        <w:numPr>
          <w:ilvl w:val="1"/>
          <w:numId w:val="1005"/>
        </w:numPr>
        <w:pStyle w:val="Compact"/>
      </w:pPr>
      <w:r>
        <w:t xml:space="preserve">R6:</w:t>
      </w:r>
      <w:r>
        <w:t xml:space="preserve"> </w:t>
      </w:r>
      <w:r>
        <w:rPr>
          <w:b/>
        </w:rPr>
        <w:t xml:space="preserve">Shopify GDPR mandatory webhooks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customers/data_request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customers/redact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shop/redact</w:t>
      </w:r>
      <w:r>
        <w:t xml:space="preserve">) implemented (multitenancy doc).</w:t>
      </w:r>
    </w:p>
    <w:p>
      <w:pPr>
        <w:numPr>
          <w:ilvl w:val="1"/>
          <w:numId w:val="1005"/>
        </w:numPr>
        <w:pStyle w:val="Compact"/>
      </w:pPr>
      <w:r>
        <w:t xml:space="preserve">R7: PII encrypted (AES-256-GCM), masked in logs/admin, access audited; never expose another customer's data; never log raw credentials (PRV-040, NFR-004).</w:t>
      </w:r>
    </w:p>
    <w:p>
      <w:pPr>
        <w:numPr>
          <w:ilvl w:val="1"/>
          <w:numId w:val="1005"/>
        </w:numPr>
        <w:pStyle w:val="Compact"/>
      </w:pPr>
      <w:r>
        <w:t xml:space="preserve">R8: Processors under DPA; lawful cross-border transfer basis (PRV-030~032).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Exceptions</w:t>
      </w:r>
      <w:r>
        <w:t xml:space="preserve">: Transactional in-app notifications remain allowed as service-essential (POL-007 R1).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Refs</w:t>
      </w:r>
      <w:r>
        <w:t xml:space="preserve">: NFR-004 · FR-002,018,049 · standards/amoeba_privacy_compliance_v2.md (PRV-xxx) · 화면 14 ·</w:t>
      </w:r>
      <w:r>
        <w:t xml:space="preserve"> </w:t>
      </w:r>
      <w:r>
        <w:rPr>
          <w:b/>
        </w:rPr>
        <w:t xml:space="preserve">Change log</w:t>
      </w:r>
      <w:r>
        <w:t xml:space="preserve">: v1.1.0 — added GDPR/CCPA-CPRA rights, DSAR, Shopify GDPR webhooks, processor/cross-border.</w:t>
      </w:r>
    </w:p>
    <w:p>
      <w:pPr>
        <w:pStyle w:val="Heading2"/>
      </w:pPr>
      <w:bookmarkStart w:id="23" w:name="pol-003-data-retention-데이터-보존"/>
      <w:r>
        <w:t xml:space="preserve">POL-003: Data Retention (데이터 보존)</w:t>
      </w:r>
      <w:bookmarkEnd w:id="2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Purpose</w:t>
      </w:r>
      <w:r>
        <w:t xml:space="preserve">: Define how long data is kept and when purged.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Scope</w:t>
      </w:r>
      <w:r>
        <w:t xml:space="preserve">: Conversation logs, notifications, order cache, reviews, affiliate records, PII.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R1: Conversation logs retained for curation/re-training;</w:t>
      </w:r>
      <w:r>
        <w:t xml:space="preserve"> </w:t>
      </w:r>
      <w:r>
        <w:rPr>
          <w:b/>
        </w:rPr>
        <w:t xml:space="preserve">retention period [TBD]</w:t>
      </w:r>
      <w:r>
        <w:t xml:space="preserve"> </w:t>
      </w:r>
      <w:r>
        <w:t xml:space="preserve">with client legal (A-6).</w:t>
      </w:r>
    </w:p>
    <w:p>
      <w:pPr>
        <w:numPr>
          <w:ilvl w:val="1"/>
          <w:numId w:val="1007"/>
        </w:numPr>
        <w:pStyle w:val="Compact"/>
      </w:pPr>
      <w:r>
        <w:t xml:space="preserve">R2: On deletion request, remove/anonymize within the legally required window.</w:t>
      </w:r>
    </w:p>
    <w:p>
      <w:pPr>
        <w:numPr>
          <w:ilvl w:val="1"/>
          <w:numId w:val="1007"/>
        </w:numPr>
        <w:pStyle w:val="Compact"/>
      </w:pPr>
      <w:r>
        <w:t xml:space="preserve">R3: Order cache is a non-authoritative mirror; source of truth = Shopify/Odoo.</w:t>
      </w:r>
    </w:p>
    <w:p>
      <w:pPr>
        <w:numPr>
          <w:ilvl w:val="1"/>
          <w:numId w:val="1007"/>
        </w:numPr>
        <w:pStyle w:val="Compact"/>
      </w:pPr>
      <w:r>
        <w:t xml:space="preserve">R4: Logs exportable for curation (NFR-007); buffer+retry on logging failure.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Exceptions</w:t>
      </w:r>
      <w:r>
        <w:t xml:space="preserve">: Legal hold overrides scheduled purge.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Refs</w:t>
      </w:r>
      <w:r>
        <w:t xml:space="preserve">: NFR-004,007 · FR-018,019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  <w:r>
        <w:t xml:space="preserve"> </w:t>
      </w:r>
      <w:r>
        <w:rPr>
          <w:b/>
        </w:rPr>
        <w:t xml:space="preserve">Status</w:t>
      </w:r>
      <w:r>
        <w:t xml:space="preserve">: retention period [TBD].</w:t>
      </w:r>
    </w:p>
    <w:p>
      <w:pPr>
        <w:pStyle w:val="Heading2"/>
      </w:pPr>
      <w:bookmarkStart w:id="24" w:name="pol-004-cancellation--refund-취소환불"/>
      <w:r>
        <w:t xml:space="preserve">POL-004: Cancellation &amp; Refund (취소·환불)</w:t>
      </w:r>
      <w:bookmarkEnd w:id="24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Purpose</w:t>
      </w:r>
      <w:r>
        <w:t xml:space="preserve">: Provide consistent, policy-driven cancel/refund guidance.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Scope</w:t>
      </w:r>
      <w:r>
        <w:t xml:space="preserve">: Authenticated order context (POL-001).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R1: Provide cancel/refund guidance from KB policy docs (FR-012, FR-020).</w:t>
      </w:r>
    </w:p>
    <w:p>
      <w:pPr>
        <w:numPr>
          <w:ilvl w:val="1"/>
          <w:numId w:val="1009"/>
        </w:numPr>
        <w:pStyle w:val="Compact"/>
      </w:pPr>
      <w:r>
        <w:t xml:space="preserve">R2: Within policy window → guided self-service steps.</w:t>
      </w:r>
    </w:p>
    <w:p>
      <w:pPr>
        <w:numPr>
          <w:ilvl w:val="1"/>
          <w:numId w:val="1009"/>
        </w:numPr>
        <w:pStyle w:val="Compact"/>
      </w:pPr>
      <w:r>
        <w:t xml:space="preserve">R3: Beyond policy window or non-standard → explain policy and route to agent (FR-015).</w:t>
      </w:r>
    </w:p>
    <w:p>
      <w:pPr>
        <w:numPr>
          <w:ilvl w:val="1"/>
          <w:numId w:val="1009"/>
        </w:numPr>
        <w:pStyle w:val="Compact"/>
      </w:pPr>
      <w:r>
        <w:t xml:space="preserve">R4:</w:t>
      </w:r>
      <w:r>
        <w:t xml:space="preserve"> </w:t>
      </w:r>
      <w:r>
        <w:rPr>
          <w:b/>
        </w:rPr>
        <w:t xml:space="preserve">Refund eligibility window value [TBD]</w:t>
      </w:r>
      <w:r>
        <w:t xml:space="preserve"> </w:t>
      </w:r>
      <w:r>
        <w:t xml:space="preserve">— confirm with client (default placeholder: per store policy).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Exceptions</w:t>
      </w:r>
      <w:r>
        <w:t xml:space="preserve">: Damaged/incorrect item → route to agent regardless of window.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Refs</w:t>
      </w:r>
      <w:r>
        <w:t xml:space="preserve">: FR-012,015,020 · 화면 12 ("My order arrived damaged!")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</w:p>
    <w:p>
      <w:pPr>
        <w:pStyle w:val="Heading2"/>
      </w:pPr>
      <w:bookmarkStart w:id="25" w:name="pol-005-return--exchange-반품교환"/>
      <w:r>
        <w:t xml:space="preserve">POL-005: Return &amp; Exchange (반품·교환)</w:t>
      </w:r>
      <w:bookmarkEnd w:id="25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Purpose</w:t>
      </w:r>
      <w:r>
        <w:t xml:space="preserve">: Standardize return/exchange eligibility communicated in chat.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Scope</w:t>
      </w:r>
      <w:r>
        <w:t xml:space="preserve">: Product Help → 교환·반품 (FR-038).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R1: Return/exchange request allowed</w:t>
      </w:r>
      <w:r>
        <w:t xml:space="preserve"> </w:t>
      </w:r>
      <w:r>
        <w:rPr>
          <w:b/>
        </w:rPr>
        <w:t xml:space="preserve">within 7 days of receipt</w:t>
      </w:r>
      <w:r>
        <w:t xml:space="preserve"> </w:t>
      </w:r>
      <w:r>
        <w:t xml:space="preserve">(화면 60: "수령 후 7일 이내").</w:t>
      </w:r>
    </w:p>
    <w:p>
      <w:pPr>
        <w:numPr>
          <w:ilvl w:val="1"/>
          <w:numId w:val="1011"/>
        </w:numPr>
        <w:pStyle w:val="Compact"/>
      </w:pPr>
      <w:r>
        <w:t xml:space="preserve">R2: Product must be</w:t>
      </w:r>
      <w:r>
        <w:t xml:space="preserve"> </w:t>
      </w:r>
      <w:r>
        <w:rPr>
          <w:b/>
        </w:rPr>
        <w:t xml:space="preserve">unopened/unused</w:t>
      </w:r>
      <w:r>
        <w:t xml:space="preserve"> </w:t>
      </w:r>
      <w:r>
        <w:t xml:space="preserve">("미개봉 상태") to qualify.</w:t>
      </w:r>
    </w:p>
    <w:p>
      <w:pPr>
        <w:numPr>
          <w:ilvl w:val="1"/>
          <w:numId w:val="1011"/>
        </w:numPr>
        <w:pStyle w:val="Compact"/>
      </w:pPr>
      <w:r>
        <w:t xml:space="preserve">R3: Out-of-window or opened → route to agent for manual handling.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Exceptions</w:t>
      </w:r>
      <w:r>
        <w:t xml:space="preserve">: Defective product handled under warranty (POL-006).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Refs</w:t>
      </w:r>
      <w:r>
        <w:t xml:space="preserve">: FR-012,038 · 화면 60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</w:p>
    <w:p>
      <w:pPr>
        <w:pStyle w:val="Heading2"/>
      </w:pPr>
      <w:bookmarkStart w:id="26" w:name="Xde0f51a54e63a4709d18cbb694dc10e28a74f2f"/>
      <w:r>
        <w:t xml:space="preserve">POL-006: Warranty by Product Category (상품 카테고리별 보증)</w:t>
      </w:r>
      <w:bookmarkEnd w:id="2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Purpose</w:t>
      </w:r>
      <w:r>
        <w:t xml:space="preserve">: Apply category-specific warranty terms.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Scope</w:t>
      </w:r>
      <w:r>
        <w:t xml:space="preserve">: KB/RAG answers about warranty (FR-020).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R1: ELECTRONICS &amp; HAIR Tools carry a category-specific warranty (화면 12: "Warranty Policy for ELECTRONICS &amp; HAIR Tools").</w:t>
      </w:r>
    </w:p>
    <w:p>
      <w:pPr>
        <w:numPr>
          <w:ilvl w:val="1"/>
          <w:numId w:val="1013"/>
        </w:numPr>
        <w:pStyle w:val="Compact"/>
      </w:pPr>
      <w:r>
        <w:t xml:space="preserve">R2: Warranty terms/duration sourced from KB policy docs;</w:t>
      </w:r>
      <w:r>
        <w:t xml:space="preserve"> </w:t>
      </w:r>
      <w:r>
        <w:rPr>
          <w:b/>
        </w:rPr>
        <w:t xml:space="preserve">exact terms [TBD]</w:t>
      </w:r>
      <w:r>
        <w:t xml:space="preserve"> </w:t>
      </w:r>
      <w:r>
        <w:t xml:space="preserve">with client.</w:t>
      </w:r>
    </w:p>
    <w:p>
      <w:pPr>
        <w:numPr>
          <w:ilvl w:val="1"/>
          <w:numId w:val="1013"/>
        </w:numPr>
        <w:pStyle w:val="Compact"/>
      </w:pPr>
      <w:r>
        <w:t xml:space="preserve">R3: Non-warranty categories fall back to general return/refund policy (POL-004/005).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Exceptions</w:t>
      </w:r>
      <w:r>
        <w:t xml:space="preserve">: Consumables excluded unless defective.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Refs</w:t>
      </w:r>
      <w:r>
        <w:t xml:space="preserve">: FR-020 · 화면 12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  <w:r>
        <w:t xml:space="preserve"> </w:t>
      </w:r>
      <w:r>
        <w:rPr>
          <w:b/>
        </w:rPr>
        <w:t xml:space="preserve">Status</w:t>
      </w:r>
      <w:r>
        <w:t xml:space="preserve">: terms [TBD].</w:t>
      </w:r>
    </w:p>
    <w:p>
      <w:pPr>
        <w:pStyle w:val="Heading2"/>
      </w:pPr>
      <w:bookmarkStart w:id="27" w:name="Xa7c53b324b3015224e908d1299cda4e79c58c98"/>
      <w:r>
        <w:t xml:space="preserve">POL-007: Notification Channel &amp; Opt-in/out (알림 채널·수신 동의)</w:t>
      </w:r>
      <w:bookmarkEnd w:id="27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Purpose</w:t>
      </w:r>
      <w:r>
        <w:t xml:space="preserve">: Govern which notifications go to which channel and respect user preference.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Scope</w:t>
      </w:r>
      <w:r>
        <w:t xml:space="preserve">: All notifications (transactional + marketing).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R1:</w:t>
      </w:r>
      <w:r>
        <w:t xml:space="preserve"> </w:t>
      </w:r>
      <w:r>
        <w:rPr>
          <w:b/>
        </w:rPr>
        <w:t xml:space="preserve">In-app notifications are always on</w:t>
      </w:r>
      <w:r>
        <w:t xml:space="preserve"> </w:t>
      </w:r>
      <w:r>
        <w:t xml:space="preserve">(service-essential, transactional) (FR-023).</w:t>
      </w:r>
    </w:p>
    <w:p>
      <w:pPr>
        <w:numPr>
          <w:ilvl w:val="1"/>
          <w:numId w:val="1015"/>
        </w:numPr>
        <w:pStyle w:val="Compact"/>
      </w:pPr>
      <w:r>
        <w:t xml:space="preserve">R2: Email / SMS / Web Push are admin-configurable per event and</w:t>
      </w:r>
      <w:r>
        <w:t xml:space="preserve"> </w:t>
      </w:r>
      <w:r>
        <w:rPr>
          <w:b/>
        </w:rPr>
        <w:t xml:space="preserve">honor user opt-in/out</w:t>
      </w:r>
      <w:r>
        <w:t xml:space="preserve"> </w:t>
      </w:r>
      <w:r>
        <w:t xml:space="preserve">(FR-024,049).</w:t>
      </w:r>
    </w:p>
    <w:p>
      <w:pPr>
        <w:numPr>
          <w:ilvl w:val="1"/>
          <w:numId w:val="1015"/>
        </w:numPr>
        <w:pStyle w:val="Compact"/>
      </w:pPr>
      <w:r>
        <w:t xml:space="preserve">R3: Marketing/event notifications require opt-in and target segment membership (POL-009/FR-040).</w:t>
      </w:r>
    </w:p>
    <w:p>
      <w:pPr>
        <w:numPr>
          <w:ilvl w:val="1"/>
          <w:numId w:val="1015"/>
        </w:numPr>
        <w:pStyle w:val="Compact"/>
      </w:pPr>
      <w:r>
        <w:t xml:space="preserve">R4: Web Push via Service Worker (PWA); graceful fallback if unsupported/denied (NFR-005).</w:t>
      </w:r>
    </w:p>
    <w:p>
      <w:pPr>
        <w:numPr>
          <w:ilvl w:val="1"/>
          <w:numId w:val="1015"/>
        </w:numPr>
        <w:pStyle w:val="Compact"/>
      </w:pPr>
      <w:r>
        <w:t xml:space="preserve">R5: CCPA opt-out suppresses all external channels (POL-002).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Exceptions</w:t>
      </w:r>
      <w:r>
        <w:t xml:space="preserve">: Channel disabled by admin → skip silently.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Refs</w:t>
      </w:r>
      <w:r>
        <w:t xml:space="preserve">: FR-023,024,040,049 · NFR-005 · 화면 08,12,34,49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</w:p>
    <w:p>
      <w:pPr>
        <w:pStyle w:val="Heading2"/>
      </w:pPr>
      <w:bookmarkStart w:id="28" w:name="pol-008-review-request-리뷰-요청"/>
      <w:r>
        <w:t xml:space="preserve">POL-008: Review Request (리뷰 요청)</w:t>
      </w:r>
      <w:bookmarkEnd w:id="28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Purpose</w:t>
      </w:r>
      <w:r>
        <w:t xml:space="preserve">: Define when/how review requests are triggered.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Scope</w:t>
      </w:r>
      <w:r>
        <w:t xml:space="preserve">: Delivered orders (FR-034).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R1: Auto-trigger review request</w:t>
      </w:r>
      <w:r>
        <w:t xml:space="preserve"> </w:t>
      </w:r>
      <w:r>
        <w:rPr>
          <w:b/>
        </w:rPr>
        <w:t xml:space="preserve">N days after delivery</w:t>
      </w:r>
      <w:r>
        <w:t xml:space="preserve">;</w:t>
      </w:r>
      <w:r>
        <w:t xml:space="preserve"> </w:t>
      </w:r>
      <w:r>
        <w:rPr>
          <w:b/>
        </w:rPr>
        <w:t xml:space="preserve">N value [TBD]</w:t>
      </w:r>
      <w:r>
        <w:t xml:space="preserve"> </w:t>
      </w:r>
      <w:r>
        <w:t xml:space="preserve">(admin-configurable, A-9; 화면 18 "리뷰 N일 기준 결정").</w:t>
      </w:r>
    </w:p>
    <w:p>
      <w:pPr>
        <w:numPr>
          <w:ilvl w:val="1"/>
          <w:numId w:val="1017"/>
        </w:numPr>
        <w:pStyle w:val="Compact"/>
      </w:pPr>
      <w:r>
        <w:t xml:space="preserve">R2: One review request per order item; suppress if opted out (POL-007).</w:t>
      </w:r>
    </w:p>
    <w:p>
      <w:pPr>
        <w:numPr>
          <w:ilvl w:val="1"/>
          <w:numId w:val="1017"/>
        </w:numPr>
        <w:pStyle w:val="Compact"/>
      </w:pPr>
      <w:r>
        <w:t xml:space="preserve">R3:</w:t>
      </w:r>
      <w:r>
        <w:t xml:space="preserve"> </w:t>
      </w:r>
      <w:r>
        <w:rPr>
          <w:b/>
        </w:rPr>
        <w:t xml:space="preserve">Review storage target (Shopify vs internal) [TBD]</w:t>
      </w:r>
      <w:r>
        <w:t xml:space="preserve"> </w:t>
      </w:r>
      <w:r>
        <w:t xml:space="preserve">(A-9).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Exceptions</w:t>
      </w:r>
      <w:r>
        <w:t xml:space="preserve">: Canceled/refunded orders excluded.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Refs</w:t>
      </w:r>
      <w:r>
        <w:t xml:space="preserve">: FR-034 · 화면 19,28,57,64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  <w:r>
        <w:t xml:space="preserve"> </w:t>
      </w:r>
      <w:r>
        <w:rPr>
          <w:b/>
        </w:rPr>
        <w:t xml:space="preserve">Status</w:t>
      </w:r>
      <w:r>
        <w:t xml:space="preserve">: N &amp; storage [TBD].</w:t>
      </w:r>
    </w:p>
    <w:p>
      <w:pPr>
        <w:pStyle w:val="Heading2"/>
      </w:pPr>
      <w:bookmarkStart w:id="29" w:name="pol-009-affiliate-program-제휴-프로그램"/>
      <w:r>
        <w:t xml:space="preserve">POL-009: Affiliate Program (제휴 프로그램)</w:t>
      </w:r>
      <w:bookmarkEnd w:id="29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Purpose</w:t>
      </w:r>
      <w:r>
        <w:t xml:space="preserve">: Govern affiliate application, review, and commission.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Scope</w:t>
      </w:r>
      <w:r>
        <w:t xml:space="preserve">: Affiliate flow (FR-035).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R1: Application via in-widget form;</w:t>
      </w:r>
      <w:r>
        <w:t xml:space="preserve"> </w:t>
      </w:r>
      <w:r>
        <w:rPr>
          <w:b/>
        </w:rPr>
        <w:t xml:space="preserve">review within 1–3 business days</w:t>
      </w:r>
      <w:r>
        <w:t xml:space="preserve">, result by email (화면 62).</w:t>
      </w:r>
    </w:p>
    <w:p>
      <w:pPr>
        <w:numPr>
          <w:ilvl w:val="1"/>
          <w:numId w:val="1019"/>
        </w:numPr>
        <w:pStyle w:val="Compact"/>
      </w:pPr>
      <w:r>
        <w:t xml:space="preserve">R2: Approved affiliates receive a personal link;</w:t>
      </w:r>
      <w:r>
        <w:t xml:space="preserve"> </w:t>
      </w:r>
      <w:r>
        <w:rPr>
          <w:b/>
        </w:rPr>
        <w:t xml:space="preserve">commission = 10% on sales via that link</w:t>
      </w:r>
      <w:r>
        <w:t xml:space="preserve"> </w:t>
      </w:r>
      <w:r>
        <w:t xml:space="preserve">(화면 62: "판매 시 10% 적립").</w:t>
      </w:r>
    </w:p>
    <w:p>
      <w:pPr>
        <w:numPr>
          <w:ilvl w:val="1"/>
          <w:numId w:val="1019"/>
        </w:numPr>
        <w:pStyle w:val="Compact"/>
      </w:pPr>
      <w:r>
        <w:t xml:space="preserve">R3:</w:t>
      </w:r>
      <w:r>
        <w:t xml:space="preserve"> </w:t>
      </w:r>
      <w:r>
        <w:rPr>
          <w:b/>
        </w:rPr>
        <w:t xml:space="preserve">Settlement owner (internal vs external SaaS) [TBD]</w:t>
      </w:r>
      <w:r>
        <w:t xml:space="preserve"> </w:t>
      </w:r>
      <w:r>
        <w:t xml:space="preserve">(A-10).</w:t>
      </w:r>
    </w:p>
    <w:p>
      <w:pPr>
        <w:numPr>
          <w:ilvl w:val="1"/>
          <w:numId w:val="1019"/>
        </w:numPr>
        <w:pStyle w:val="Compact"/>
      </w:pPr>
      <w:r>
        <w:t xml:space="preserve">R4: Duplicate application → show existing status.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Exceptions</w:t>
      </w:r>
      <w:r>
        <w:t xml:space="preserve">: Rejected applicants may reapply per cool-down [TBD].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Refs</w:t>
      </w:r>
      <w:r>
        <w:t xml:space="preserve">: FR-035 · 화면 62,65~69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  <w:r>
        <w:t xml:space="preserve"> </w:t>
      </w:r>
      <w:r>
        <w:rPr>
          <w:b/>
        </w:rPr>
        <w:t xml:space="preserve">Status</w:t>
      </w:r>
      <w:r>
        <w:t xml:space="preserve">: settlement [TBD].</w:t>
      </w:r>
    </w:p>
    <w:p>
      <w:pPr>
        <w:pStyle w:val="Heading2"/>
      </w:pPr>
      <w:bookmarkStart w:id="30" w:name="Xabc8388c37dffd0edc5893760f2336c4c4bf501"/>
      <w:r>
        <w:t xml:space="preserve">POL-010: Restock &amp; Subscription Notification (재입고·구독 알림)</w:t>
      </w:r>
      <w:bookmarkEnd w:id="30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Purpose</w:t>
      </w:r>
      <w:r>
        <w:t xml:space="preserve">: Govern restock alerts and subscription-member benefits.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Scope</w:t>
      </w:r>
      <w:r>
        <w:t xml:space="preserve">: FR-036, FR-037.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R1: Restock subscription captured per product; alert on inventory restock (source: Odoo/Shopify) (FR-036,042).</w:t>
      </w:r>
    </w:p>
    <w:p>
      <w:pPr>
        <w:numPr>
          <w:ilvl w:val="1"/>
          <w:numId w:val="1021"/>
        </w:numPr>
        <w:pStyle w:val="Compact"/>
      </w:pPr>
      <w:r>
        <w:t xml:space="preserve">R2: Subscription view/cancel/change requires authentication (POL-001).</w:t>
      </w:r>
    </w:p>
    <w:p>
      <w:pPr>
        <w:numPr>
          <w:ilvl w:val="1"/>
          <w:numId w:val="1021"/>
        </w:numPr>
        <w:pStyle w:val="Compact"/>
      </w:pPr>
      <w:r>
        <w:t xml:space="preserve">R3: Member-only coupons target the subscriber segment (POL-009/FR-040).</w:t>
      </w:r>
    </w:p>
    <w:p>
      <w:pPr>
        <w:numPr>
          <w:ilvl w:val="1"/>
          <w:numId w:val="1021"/>
        </w:numPr>
        <w:pStyle w:val="Compact"/>
      </w:pPr>
      <w:r>
        <w:t xml:space="preserve">R4:</w:t>
      </w:r>
      <w:r>
        <w:t xml:space="preserve"> </w:t>
      </w:r>
      <w:r>
        <w:rPr>
          <w:b/>
        </w:rPr>
        <w:t xml:space="preserve">Inventory source scope (Odoo vs Shopify) [TBD]</w:t>
      </w:r>
      <w:r>
        <w:t xml:space="preserve"> </w:t>
      </w:r>
      <w:r>
        <w:t xml:space="preserve">(A-7).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Exceptions</w:t>
      </w:r>
      <w:r>
        <w:t xml:space="preserve">: Opt-out suppresses external channels (POL-002/007).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Refs</w:t>
      </w:r>
      <w:r>
        <w:t xml:space="preserve">: FR-036,037,040,042 · 화면 12,34,60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</w:p>
    <w:p>
      <w:pPr>
        <w:pStyle w:val="Heading2"/>
      </w:pPr>
      <w:bookmarkStart w:id="31" w:name="X5e55477b019ec421561b8016a72844411b4365c"/>
      <w:r>
        <w:t xml:space="preserve">POL-011: RAG Answering, Scope &amp; Language (RAG 답변·범위·언어)</w:t>
      </w:r>
      <w:bookmarkEnd w:id="31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Purpose</w:t>
      </w:r>
      <w:r>
        <w:t xml:space="preserve">: Govern AI answer quality, scope, and language handling.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Scope</w:t>
      </w:r>
      <w:r>
        <w:t xml:space="preserve">: All RAG answers (FR-013).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t xml:space="preserve">R1: Answer only within learned scope; cite source category (FR-013).</w:t>
      </w:r>
    </w:p>
    <w:p>
      <w:pPr>
        <w:numPr>
          <w:ilvl w:val="1"/>
          <w:numId w:val="1023"/>
        </w:numPr>
        <w:pStyle w:val="Compact"/>
      </w:pPr>
      <w:r>
        <w:t xml:space="preserve">R2: Confidence below threshold or out-of-scope → immediate agent escalation (FR-014).</w:t>
      </w:r>
    </w:p>
    <w:p>
      <w:pPr>
        <w:numPr>
          <w:ilvl w:val="1"/>
          <w:numId w:val="1023"/>
        </w:numPr>
        <w:pStyle w:val="Compact"/>
      </w:pPr>
      <w:r>
        <w:t xml:space="preserve">R3: AI references</w:t>
      </w:r>
      <w:r>
        <w:t xml:space="preserve"> </w:t>
      </w:r>
      <w:r>
        <w:rPr>
          <w:b/>
        </w:rPr>
        <w:t xml:space="preserve">only designated, active Knowledge Sources</w:t>
      </w:r>
      <w:r>
        <w:t xml:space="preserve"> </w:t>
      </w:r>
      <w:r>
        <w:t xml:space="preserve">of the tenant (FR-065); Knowledge Store(게시판/자료실) primary, Google Drive supplements; duplicates → Knowledge Store wins (POL-013/FR-021); un-designated/inactive/other-tenant/external sources excluded (NFR-012).</w:t>
      </w:r>
    </w:p>
    <w:p>
      <w:pPr>
        <w:numPr>
          <w:ilvl w:val="1"/>
          <w:numId w:val="1023"/>
        </w:numPr>
        <w:pStyle w:val="Compact"/>
      </w:pPr>
      <w:r>
        <w:t xml:space="preserve">R4: Answer language strategy</w:t>
      </w:r>
      <w:r>
        <w:t xml:space="preserve"> </w:t>
      </w:r>
      <w:r>
        <w:rPr>
          <w:b/>
        </w:rPr>
        <w:t xml:space="preserve">(A) EN-generate → translate vs (B) EN as-is — [TBD]</w:t>
      </w:r>
      <w:r>
        <w:t xml:space="preserve">, recommend (A) (A-1, FR-027).</w:t>
      </w:r>
    </w:p>
    <w:p>
      <w:pPr>
        <w:numPr>
          <w:ilvl w:val="1"/>
          <w:numId w:val="1023"/>
        </w:numPr>
        <w:pStyle w:val="Compact"/>
      </w:pPr>
      <w:r>
        <w:t xml:space="preserve">R5: Display persistent AI disclosure in chat UI (NFR-009).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Exceptions</w:t>
      </w:r>
      <w:r>
        <w:t xml:space="preserve">: RAG timeout (&gt; NFR-001) → apologize + offer agent.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Refs</w:t>
      </w:r>
      <w:r>
        <w:t xml:space="preserve">: FR-013,014,020,021,027 · NFR-001,009 · 화면 14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</w:p>
    <w:p>
      <w:pPr>
        <w:pStyle w:val="Heading2"/>
      </w:pPr>
      <w:bookmarkStart w:id="32" w:name="Xd56426396b5a84f8c461f209734f9740c93b1bf"/>
      <w:r>
        <w:t xml:space="preserve">POL-012: Agent Escalation &amp; Support Hours (에스컬레이션·상담 시간)</w:t>
      </w:r>
      <w:bookmarkEnd w:id="32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Purpose</w:t>
      </w:r>
      <w:r>
        <w:t xml:space="preserve">: Govern human handoff and contact availability.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Scope</w:t>
      </w:r>
      <w:r>
        <w:t xml:space="preserve">: FR-015~017, FR-039.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t xml:space="preserve">R1: Escalate on out-of-scope, low confidence, user request, or specific branches (FR-014,015).</w:t>
      </w:r>
    </w:p>
    <w:p>
      <w:pPr>
        <w:numPr>
          <w:ilvl w:val="1"/>
          <w:numId w:val="1025"/>
        </w:numPr>
        <w:pStyle w:val="Compact"/>
      </w:pPr>
      <w:r>
        <w:t xml:space="preserve">R2: Handoff bundles full transcript + auth/order context + language (FR-016).</w:t>
      </w:r>
    </w:p>
    <w:p>
      <w:pPr>
        <w:numPr>
          <w:ilvl w:val="1"/>
          <w:numId w:val="1025"/>
        </w:numPr>
        <w:pStyle w:val="Compact"/>
      </w:pPr>
      <w:r>
        <w:t xml:space="preserve">R3: Live chat available during business hours (</w:t>
      </w:r>
      <w:r>
        <w:rPr>
          <w:b/>
        </w:rPr>
        <w:t xml:space="preserve">평일 10:00–18:00</w:t>
      </w:r>
      <w:r>
        <w:t xml:space="preserve">, 화면 61); outside hours show offline message + email callback capture.</w:t>
      </w:r>
    </w:p>
    <w:p>
      <w:pPr>
        <w:numPr>
          <w:ilvl w:val="1"/>
          <w:numId w:val="1025"/>
        </w:numPr>
        <w:pStyle w:val="Compact"/>
      </w:pPr>
      <w:r>
        <w:t xml:space="preserve">R4: No agent available → queue + wait message; capture callback.</w:t>
      </w:r>
    </w:p>
    <w:p>
      <w:pPr>
        <w:numPr>
          <w:ilvl w:val="1"/>
          <w:numId w:val="1025"/>
        </w:numPr>
        <w:pStyle w:val="Compact"/>
      </w:pPr>
      <w:r>
        <w:t xml:space="preserve">R5: Phone (1588-0000) and email (</w:t>
      </w:r>
      <w:hyperlink r:id="rId33">
        <w:r>
          <w:rPr>
            <w:rStyle w:val="Hyperlink"/>
          </w:rPr>
          <w:t xml:space="preserve">help@ivy.com</w:t>
        </w:r>
      </w:hyperlink>
      <w:r>
        <w:t xml:space="preserve">) shown per contact card;</w:t>
      </w:r>
      <w:r>
        <w:t xml:space="preserve"> </w:t>
      </w:r>
      <w:r>
        <w:rPr>
          <w:b/>
        </w:rPr>
        <w:t xml:space="preserve">values confirm with client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Exceptions</w:t>
      </w:r>
      <w:r>
        <w:t xml:space="preserve">: Agent may transfer back to AI with preserved context.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Refs</w:t>
      </w:r>
      <w:r>
        <w:t xml:space="preserve">: FR-015,016,017,039 · 화면 61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</w:p>
    <w:p>
      <w:pPr>
        <w:pStyle w:val="Heading2"/>
      </w:pPr>
      <w:bookmarkStart w:id="34" w:name="X2e75a214e213a61b8847c2bc3f89e3b914a038c"/>
      <w:r>
        <w:t xml:space="preserve">POL-013: Knowledge Source Priority (지식원 우선순위)</w:t>
      </w:r>
      <w:bookmarkEnd w:id="34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Purpose</w:t>
      </w:r>
      <w:r>
        <w:t xml:space="preserve">: Resolve duplicate-topic conflicts deterministically.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Scope</w:t>
      </w:r>
      <w:r>
        <w:t xml:space="preserve">: RAG retrieval (FR-020,021).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R1: Knowledge Store is the authoritative primary source.</w:t>
      </w:r>
    </w:p>
    <w:p>
      <w:pPr>
        <w:numPr>
          <w:ilvl w:val="1"/>
          <w:numId w:val="1027"/>
        </w:numPr>
        <w:pStyle w:val="Compact"/>
      </w:pPr>
      <w:r>
        <w:t xml:space="preserve">R2: Google Drive supplements gaps only; never overrides Knowledge Store on duplicates (A-3 resolved).</w:t>
      </w:r>
    </w:p>
    <w:p>
      <w:pPr>
        <w:numPr>
          <w:ilvl w:val="1"/>
          <w:numId w:val="1027"/>
        </w:numPr>
        <w:pStyle w:val="Compact"/>
      </w:pPr>
      <w:r>
        <w:t xml:space="preserve">R3: Operator KB edits trigger re-embedding (FR-022).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Exceptions</w:t>
      </w:r>
      <w:r>
        <w:t xml:space="preserve">: None.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Refs</w:t>
      </w:r>
      <w:r>
        <w:t xml:space="preserve">: FR-020,021,022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</w:p>
    <w:p>
      <w:pPr>
        <w:pStyle w:val="Heading2"/>
      </w:pPr>
      <w:bookmarkStart w:id="35" w:name="pol-014-order-status-taxonomy-주문-상태-표준"/>
      <w:r>
        <w:t xml:space="preserve">POL-014: Order Status Taxonomy (주문 상태 표준)</w:t>
      </w:r>
      <w:bookmarkEnd w:id="35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Purpose</w:t>
      </w:r>
      <w:r>
        <w:t xml:space="preserve">: Standardize status labels across widget and admin.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Scope</w:t>
      </w:r>
      <w:r>
        <w:t xml:space="preserve">: Order/delivery status display (FR-010,011,031).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R1: UI labels =</w:t>
      </w:r>
      <w:r>
        <w:t xml:space="preserve"> </w:t>
      </w:r>
      <w:r>
        <w:rPr>
          <w:b/>
        </w:rPr>
        <w:t xml:space="preserve">Confirmed / In Transit / Delivered / Review</w:t>
      </w:r>
      <w:r>
        <w:t xml:space="preserve">; internal = paid / preparing / shipping / delivered (NFR-010).</w:t>
      </w:r>
    </w:p>
    <w:p>
      <w:pPr>
        <w:numPr>
          <w:ilvl w:val="1"/>
          <w:numId w:val="1029"/>
        </w:numPr>
        <w:pStyle w:val="Compact"/>
      </w:pPr>
      <w:r>
        <w:t xml:space="preserve">R2: Maintain a single mapping table; apply consistently in widget and admin.</w:t>
      </w:r>
    </w:p>
    <w:p>
      <w:pPr>
        <w:numPr>
          <w:ilvl w:val="1"/>
          <w:numId w:val="1029"/>
        </w:numPr>
        <w:pStyle w:val="Compact"/>
      </w:pPr>
      <w:r>
        <w:t xml:space="preserve">R3: Delivery stepper maps to: 발송준비 / 배송시작 / 배송중 / 배송완료 (화면 49).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Exceptions</w:t>
      </w:r>
      <w:r>
        <w:t xml:space="preserve">: Canceled/refunded shown as distinct states.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Refs</w:t>
      </w:r>
      <w:r>
        <w:t xml:space="preserve">: FR-010,011,031 · NFR-010 · 화면 01,08,49,57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</w:p>
    <w:p>
      <w:pPr>
        <w:pStyle w:val="Heading2"/>
      </w:pPr>
      <w:bookmarkStart w:id="36" w:name="Xc632283997aa1b6e4cdc7765ad6c43a0305c9c2"/>
      <w:r>
        <w:t xml:space="preserve">POL-015: Integration Health &amp; Reliability (연동 상태·신뢰성)</w:t>
      </w:r>
      <w:bookmarkEnd w:id="36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Purpose</w:t>
      </w:r>
      <w:r>
        <w:t xml:space="preserve">: Govern external integration behavior and failure handling.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Scope</w:t>
      </w:r>
      <w:r>
        <w:t xml:space="preserve">: Shopify, Fulfillment, Klaviyo, Odoo, Google Drive (FR-041~043, FR-021).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t xml:space="preserve">R1: Order/fulfillment via Shopify Webhook + dedicated Fulfillment Webhook (NFR-006).</w:t>
      </w:r>
    </w:p>
    <w:p>
      <w:pPr>
        <w:numPr>
          <w:ilvl w:val="1"/>
          <w:numId w:val="1031"/>
        </w:numPr>
        <w:pStyle w:val="Compact"/>
      </w:pPr>
      <w:r>
        <w:t xml:space="preserve">R2: On API/webhook failure → retry with backoff; persistent failure → alert admin + (where relevant) escalate to agent.</w:t>
      </w:r>
    </w:p>
    <w:p>
      <w:pPr>
        <w:numPr>
          <w:ilvl w:val="1"/>
          <w:numId w:val="1031"/>
        </w:numPr>
        <w:pStyle w:val="Compact"/>
      </w:pPr>
      <w:r>
        <w:t xml:space="preserve">R3: Show connection status in admin (연결됨/오류) for each integration (화면 19,21).</w:t>
      </w:r>
    </w:p>
    <w:p>
      <w:pPr>
        <w:numPr>
          <w:ilvl w:val="1"/>
          <w:numId w:val="1031"/>
        </w:numPr>
        <w:pStyle w:val="Compact"/>
      </w:pPr>
      <w:r>
        <w:t xml:space="preserve">R4: Marketing vs transactional split (Klaviyo vs internal Notifier)</w:t>
      </w:r>
      <w:r>
        <w:t xml:space="preserve"> </w:t>
      </w:r>
      <w:r>
        <w:rPr>
          <w:b/>
        </w:rPr>
        <w:t xml:space="preserve">[TBD]</w:t>
      </w:r>
      <w:r>
        <w:t xml:space="preserve"> </w:t>
      </w:r>
      <w:r>
        <w:t xml:space="preserve">(A-8).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Exceptions</w:t>
      </w:r>
      <w:r>
        <w:t xml:space="preserve">: Klaviyo unavailable → defer/queue campaign.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Refs</w:t>
      </w:r>
      <w:r>
        <w:t xml:space="preserve">: FR-041,042,043 · NFR-006 · 화면 19,21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ol-018-credentials--password-자격증명비밀번호"/>
      <w:r>
        <w:t xml:space="preserve">POL-018: Credentials &amp; Password (자격증명·비밀번호)</w:t>
      </w:r>
      <w:bookmarkEnd w:id="37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Purpose</w:t>
      </w:r>
      <w:r>
        <w:t xml:space="preserve">: Secure account credentials and onboarding.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Scope</w:t>
      </w:r>
      <w:r>
        <w:t xml:space="preserve">: admin_users, users, invitations, integration_credentials.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R1: Passwords stored as</w:t>
      </w:r>
      <w:r>
        <w:t xml:space="preserve"> </w:t>
      </w:r>
      <w:r>
        <w:rPr>
          <w:b/>
        </w:rPr>
        <w:t xml:space="preserve">bcrypt hash</w:t>
      </w:r>
      <w:r>
        <w:t xml:space="preserve"> </w:t>
      </w:r>
      <w:r>
        <w:t xml:space="preserve">only; never plaintext (incl. seed FR-062).</w:t>
      </w:r>
    </w:p>
    <w:p>
      <w:pPr>
        <w:numPr>
          <w:ilvl w:val="1"/>
          <w:numId w:val="1033"/>
        </w:numPr>
        <w:pStyle w:val="Compact"/>
      </w:pPr>
      <w:r>
        <w:t xml:space="preserve">R2: Seed/invited accounts</w:t>
      </w:r>
      <w:r>
        <w:t xml:space="preserve"> </w:t>
      </w:r>
      <w:r>
        <w:rPr>
          <w:b/>
        </w:rPr>
        <w:t xml:space="preserve">must change password on first 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must_change_password</w:t>
      </w:r>
      <w:r>
        <w:t xml:space="preserve">).</w:t>
      </w:r>
    </w:p>
    <w:p>
      <w:pPr>
        <w:numPr>
          <w:ilvl w:val="1"/>
          <w:numId w:val="1033"/>
        </w:numPr>
        <w:pStyle w:val="Compact"/>
      </w:pPr>
      <w:r>
        <w:t xml:space="preserve">R3: Temporary password (invitation) one-time,</w:t>
      </w:r>
      <w:r>
        <w:t xml:space="preserve"> </w:t>
      </w:r>
      <w:r>
        <w:rPr>
          <w:b/>
        </w:rPr>
        <w:t xml:space="preserve">expiry [TBD 72h]</w:t>
      </w:r>
      <w:r>
        <w:t xml:space="preserve">, re-issuable (FR-063).</w:t>
      </w:r>
    </w:p>
    <w:p>
      <w:pPr>
        <w:numPr>
          <w:ilvl w:val="1"/>
          <w:numId w:val="1033"/>
        </w:numPr>
        <w:pStyle w:val="Compact"/>
      </w:pPr>
      <w:r>
        <w:t xml:space="preserve">R4: Password complexity (length + alnum + special) [TBD]; 2FA recommended.</w:t>
      </w:r>
    </w:p>
    <w:p>
      <w:pPr>
        <w:numPr>
          <w:ilvl w:val="1"/>
          <w:numId w:val="1033"/>
        </w:numPr>
        <w:pStyle w:val="Compact"/>
      </w:pPr>
      <w:r>
        <w:t xml:space="preserve">R5: Integration credentials encrypted at rest; secrets via secret manager/env in prod.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Exceptions</w:t>
      </w:r>
      <w:r>
        <w:t xml:space="preserve">: None.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Refs</w:t>
      </w:r>
      <w:r>
        <w:t xml:space="preserve">: FR-062, FR-063, FR-060 · NFR-004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</w:p>
    <w:p>
      <w:pPr>
        <w:pStyle w:val="Heading2"/>
      </w:pPr>
      <w:bookmarkStart w:id="38" w:name="Xd78f1b423c09f4a30786d252488a476bd1e2501"/>
      <w:r>
        <w:t xml:space="preserve">POL-019: Owner-based Visibility &amp; Sharing (소유자 기반 가시성·공유 — AMB ACL 반영)</w:t>
      </w:r>
      <w:bookmarkEnd w:id="38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Purpose</w:t>
      </w:r>
      <w:r>
        <w:t xml:space="preserve">: Adopt the company AMB Platform Access Control (</w:t>
      </w:r>
      <w:r>
        <w:rPr>
          <w:rStyle w:val="VerbatimChar"/>
        </w:rPr>
        <w:t xml:space="preserve">standards/amb-access-control-policy.md</w:t>
      </w:r>
      <w:r>
        <w:t xml:space="preserve">, ACL-xxx) as a</w:t>
      </w:r>
      <w:r>
        <w:t xml:space="preserve"> </w:t>
      </w:r>
      <w:r>
        <w:rPr>
          <w:b/>
        </w:rPr>
        <w:t xml:space="preserve">visibility layer on top of</w:t>
      </w:r>
      <w:r>
        <w:t xml:space="preserve"> </w:t>
      </w:r>
      <w:r>
        <w:t xml:space="preserve">functional RBAC (POL-017). 기능 권한(직급×라벨)과 별개로 사용자 생성 작업물의 가시성/공유를 규정.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Scope</w:t>
      </w:r>
      <w:r>
        <w:t xml:space="preserve">: User-generated work items — KB board posts/files, conversation notes, inquiries, reports,</w:t>
      </w:r>
      <w:r>
        <w:t xml:space="preserve"> </w:t>
      </w:r>
      <w:r>
        <w:rPr>
          <w:b/>
        </w:rPr>
        <w:t xml:space="preserve">AI-generated summaries</w:t>
      </w:r>
      <w:r>
        <w:t xml:space="preserve"> </w:t>
      </w:r>
      <w:r>
        <w:t xml:space="preserve">(live-chat queue &amp; transactional records follow functional RBAC).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Rules</w:t>
      </w:r>
      <w:r>
        <w:t xml:space="preserve"> </w:t>
      </w:r>
      <w:r>
        <w:t xml:space="preserve">(maps to ACL):</w:t>
      </w:r>
    </w:p>
    <w:p>
      <w:pPr>
        <w:numPr>
          <w:ilvl w:val="1"/>
          <w:numId w:val="1035"/>
        </w:numPr>
        <w:pStyle w:val="Compact"/>
      </w:pPr>
      <w:r>
        <w:t xml:space="preserve">R1</w:t>
      </w:r>
      <w:r>
        <w:t xml:space="preserve"> </w:t>
      </w:r>
      <w:r>
        <w:rPr>
          <w:b/>
        </w:rPr>
        <w:t xml:space="preserve">Owner-first / default private</w:t>
      </w:r>
      <w:r>
        <w:t xml:space="preserve"> </w:t>
      </w:r>
      <w:r>
        <w:t xml:space="preserve">(ACL-010): 작업물은 기본 생성자(owner)에게만 노출.</w:t>
      </w:r>
    </w:p>
    <w:p>
      <w:pPr>
        <w:numPr>
          <w:ilvl w:val="1"/>
          <w:numId w:val="1035"/>
        </w:numPr>
        <w:pStyle w:val="Compact"/>
      </w:pPr>
      <w:r>
        <w:t xml:space="preserve">R2</w:t>
      </w:r>
      <w:r>
        <w:t xml:space="preserve"> </w:t>
      </w:r>
      <w:r>
        <w:rPr>
          <w:b/>
        </w:rPr>
        <w:t xml:space="preserve">Explicit sharing</w:t>
      </w:r>
      <w:r>
        <w:t xml:space="preserve"> </w:t>
      </w:r>
      <w:r>
        <w:t xml:space="preserve">(ACL-011): owner가 명시적으로 공유 시 타인 read(또는 상향 권한).</w:t>
      </w:r>
    </w:p>
    <w:p>
      <w:pPr>
        <w:numPr>
          <w:ilvl w:val="1"/>
          <w:numId w:val="1035"/>
        </w:numPr>
        <w:pStyle w:val="Compact"/>
      </w:pPr>
      <w:r>
        <w:t xml:space="preserve">R3</w:t>
      </w:r>
      <w:r>
        <w:t xml:space="preserve"> </w:t>
      </w:r>
      <w:r>
        <w:rPr>
          <w:b/>
        </w:rPr>
        <w:t xml:space="preserve">Hierarchical visibility</w:t>
      </w:r>
      <w:r>
        <w:t xml:space="preserve"> </w:t>
      </w:r>
      <w:r>
        <w:t xml:space="preserve">(ACL-012): 상위 직급(Master/Director/Manager)은 하위 유저 작업물에</w:t>
      </w:r>
      <w:r>
        <w:t xml:space="preserve"> </w:t>
      </w:r>
      <w:r>
        <w:rPr>
          <w:b/>
        </w:rPr>
        <w:t xml:space="preserve">read+comment</w:t>
      </w:r>
      <w:r>
        <w:t xml:space="preserve"> </w:t>
      </w:r>
      <w:r>
        <w:t xml:space="preserve">암묵 권한(차단 불가) — 테넌트 내 직급 계층(rank) 기준.</w:t>
      </w:r>
    </w:p>
    <w:p>
      <w:pPr>
        <w:numPr>
          <w:ilvl w:val="1"/>
          <w:numId w:val="1035"/>
        </w:numPr>
        <w:pStyle w:val="Compact"/>
      </w:pPr>
      <w:r>
        <w:t xml:space="preserve">R4</w:t>
      </w:r>
      <w:r>
        <w:t xml:space="preserve"> </w:t>
      </w:r>
      <w:r>
        <w:rPr>
          <w:b/>
        </w:rPr>
        <w:t xml:space="preserve">Comment authorization/visibility</w:t>
      </w:r>
      <w:r>
        <w:t xml:space="preserve"> </w:t>
      </w:r>
      <w:r>
        <w:t xml:space="preserve">(ACL-020/021): COMMENT 권한 이상만 코멘트; 코멘트는 상위 작업물 가시성 상속.</w:t>
      </w:r>
    </w:p>
    <w:p>
      <w:pPr>
        <w:numPr>
          <w:ilvl w:val="1"/>
          <w:numId w:val="1035"/>
        </w:numPr>
        <w:pStyle w:val="Compact"/>
      </w:pPr>
      <w:r>
        <w:t xml:space="preserve">R5</w:t>
      </w:r>
      <w:r>
        <w:t xml:space="preserve"> </w:t>
      </w:r>
      <w:r>
        <w:rPr>
          <w:b/>
        </w:rPr>
        <w:t xml:space="preserve">AI native</w:t>
      </w:r>
      <w:r>
        <w:t xml:space="preserve"> </w:t>
      </w:r>
      <w:r>
        <w:t xml:space="preserve">(ACL-030/031): AI 에이전트는 트리거/소유 유저와</w:t>
      </w:r>
      <w:r>
        <w:t xml:space="preserve"> </w:t>
      </w:r>
      <w:r>
        <w:rPr>
          <w:b/>
        </w:rPr>
        <w:t xml:space="preserve">동일 접근 규칙</w:t>
      </w:r>
      <w:r>
        <w:t xml:space="preserve">으로 동작; AI 생성물 소유권은 해당 유저. (지식 참조 범위는 FR-065와 결합 — 지정 소스만.)</w:t>
      </w:r>
    </w:p>
    <w:p>
      <w:pPr>
        <w:numPr>
          <w:ilvl w:val="1"/>
          <w:numId w:val="1035"/>
        </w:numPr>
        <w:pStyle w:val="Compact"/>
      </w:pPr>
      <w:r>
        <w:t xml:space="preserve">R6</w:t>
      </w:r>
      <w:r>
        <w:t xml:space="preserve"> </w:t>
      </w:r>
      <w:r>
        <w:rPr>
          <w:b/>
        </w:rPr>
        <w:t xml:space="preserve">Central access check</w:t>
      </w:r>
      <w:r>
        <w:t xml:space="preserve"> </w:t>
      </w:r>
      <w:r>
        <w:t xml:space="preserve">(ACL-050): 모든 모듈은 표준 접근 체크 API로 권한 판정.</w:t>
      </w:r>
    </w:p>
    <w:p>
      <w:pPr>
        <w:numPr>
          <w:ilvl w:val="1"/>
          <w:numId w:val="1035"/>
        </w:numPr>
        <w:pStyle w:val="Compact"/>
      </w:pPr>
      <w:r>
        <w:t xml:space="preserve">R7</w:t>
      </w:r>
      <w:r>
        <w:t xml:space="preserve"> </w:t>
      </w:r>
      <w:r>
        <w:rPr>
          <w:b/>
        </w:rPr>
        <w:t xml:space="preserve">Audit</w:t>
      </w:r>
      <w:r>
        <w:t xml:space="preserve"> </w:t>
      </w:r>
      <w:r>
        <w:t xml:space="preserve">(ACL-070): 접근/공유 이벤트 감사 기록(FR-061,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).</w:t>
      </w:r>
    </w:p>
    <w:p>
      <w:pPr>
        <w:numPr>
          <w:ilvl w:val="1"/>
          <w:numId w:val="1035"/>
        </w:numPr>
        <w:pStyle w:val="Compact"/>
      </w:pPr>
      <w:r>
        <w:t xml:space="preserve">R8</w:t>
      </w:r>
      <w:r>
        <w:t xml:space="preserve"> </w:t>
      </w:r>
      <w:r>
        <w:rPr>
          <w:b/>
        </w:rPr>
        <w:t xml:space="preserve">Tenant boundary</w:t>
      </w:r>
      <w:r>
        <w:t xml:space="preserve">: 가시성은 테넌트(ent) 내부로 한정 — cross-tenant 불가(NFR-012).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Data model</w:t>
      </w:r>
      <w:r>
        <w:t xml:space="preserve">: 대상 테이블에</w:t>
      </w:r>
      <w:r>
        <w:t xml:space="preserve"> </w:t>
      </w:r>
      <w:r>
        <w:rPr>
          <w:rStyle w:val="VerbatimChar"/>
        </w:rPr>
        <w:t xml:space="preserve">_visibility</w:t>
      </w:r>
      <w:r>
        <w:t xml:space="preserve">(TENANT/TEAM/PRIVATE) 컬럼 + owner FK; 공유 매핑 테이블(</w:t>
      </w:r>
      <w:r>
        <w:rPr>
          <w:rStyle w:val="VerbatimChar"/>
        </w:rPr>
        <w:t xml:space="preserve">*_shares</w:t>
      </w:r>
      <w:r>
        <w:t xml:space="preserve">). (코드 컨벤션 §4.3 visibility 패턴 준용.)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Enforcement</w:t>
      </w:r>
      <w:r>
        <w:t xml:space="preserve">: MUST(시스템 강제) — owner/계층/공유 판정은 코드·DB 레벨 차단.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Refs</w:t>
      </w:r>
      <w:r>
        <w:t xml:space="preserve">: standards/amb-access-control-policy.md (ACL-001~070) · POL-017, FR-056, FR-061, FR-065, NFR-012.</w:t>
      </w:r>
    </w:p>
    <w:p>
      <w:pPr>
        <w:pStyle w:val="Heading2"/>
      </w:pPr>
      <w:bookmarkStart w:id="39" w:name="X944d64ca8b128f8dc17e1c5fa55894abe96df73"/>
      <w:r>
        <w:t xml:space="preserve">POL-020: Outbound Response Moderation (응답 모더레이션)</w:t>
      </w:r>
      <w:bookmarkEnd w:id="39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Purpose</w:t>
      </w:r>
      <w:r>
        <w:t xml:space="preserve">: Ensure only safe, compliant messages reach customers — from</w:t>
      </w:r>
      <w:r>
        <w:t xml:space="preserve"> </w:t>
      </w:r>
      <w:r>
        <w:rPr>
          <w:b/>
        </w:rPr>
        <w:t xml:space="preserve">both agents and AI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Scope</w:t>
      </w:r>
      <w:r>
        <w:t xml:space="preserve">: All outbound customer-facing messages (agent console send, AI answers, AI auto-messages).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Rules</w:t>
      </w:r>
      <w:r>
        <w:t xml:space="preserve">:</w:t>
      </w:r>
    </w:p>
    <w:p>
      <w:pPr>
        <w:numPr>
          <w:ilvl w:val="1"/>
          <w:numId w:val="1037"/>
        </w:numPr>
        <w:pStyle w:val="Compact"/>
      </w:pPr>
      <w:r>
        <w:t xml:space="preserve">R1: Mandatory</w:t>
      </w:r>
      <w:r>
        <w:t xml:space="preserve"> </w:t>
      </w:r>
      <w:r>
        <w:rPr>
          <w:b/>
        </w:rPr>
        <w:t xml:space="preserve">non-bypassable moderation gate</w:t>
      </w:r>
      <w:r>
        <w:t xml:space="preserve"> </w:t>
      </w:r>
      <w:r>
        <w:t xml:space="preserve">before delivery (NFR-013).</w:t>
      </w:r>
    </w:p>
    <w:p>
      <w:pPr>
        <w:numPr>
          <w:ilvl w:val="1"/>
          <w:numId w:val="1037"/>
        </w:numPr>
        <w:pStyle w:val="Compact"/>
      </w:pPr>
      <w:r>
        <w:t xml:space="preserve">R2: Filter by</w:t>
      </w:r>
      <w:r>
        <w:t xml:space="preserve"> </w:t>
      </w:r>
      <w:r>
        <w:rPr>
          <w:b/>
        </w:rPr>
        <w:t xml:space="preserve">word/phrase/regex AND context</w:t>
      </w:r>
      <w:r>
        <w:t xml:space="preserve"> </w:t>
      </w:r>
      <w:r>
        <w:t xml:space="preserve">(LLM/classifier) — banned words, profanity, defamation, discriminatory/abusive tone, unauthorized legal/medical/financial commitments, guarantees, PII leakage.</w:t>
      </w:r>
    </w:p>
    <w:p>
      <w:pPr>
        <w:numPr>
          <w:ilvl w:val="1"/>
          <w:numId w:val="1037"/>
        </w:numPr>
        <w:pStyle w:val="Compact"/>
      </w:pPr>
      <w:r>
        <w:t xml:space="preserve">R3: Actions by severity — block / mask / warn(require edit) / rephrase. Agent: edit &amp; resend; AI: safe-fallback or escalate.</w:t>
      </w:r>
    </w:p>
    <w:p>
      <w:pPr>
        <w:numPr>
          <w:ilvl w:val="1"/>
          <w:numId w:val="1037"/>
        </w:numPr>
        <w:pStyle w:val="Compact"/>
      </w:pPr>
      <w:r>
        <w:t xml:space="preserve">R4: Per-tenant rule sets (Master/Director, SCR-105F) + global defaults (system admin); multilingual (en/es/ko).</w:t>
      </w:r>
    </w:p>
    <w:p>
      <w:pPr>
        <w:numPr>
          <w:ilvl w:val="1"/>
          <w:numId w:val="1037"/>
        </w:numPr>
        <w:pStyle w:val="Compact"/>
      </w:pPr>
      <w:r>
        <w:t xml:space="preserve">R5:</w:t>
      </w:r>
      <w:r>
        <w:t xml:space="preserve"> </w:t>
      </w:r>
      <w:r>
        <w:rPr>
          <w:b/>
        </w:rPr>
        <w:t xml:space="preserve">Fail-safe</w:t>
      </w:r>
      <w:r>
        <w:t xml:space="preserve"> </w:t>
      </w:r>
      <w:r>
        <w:t xml:space="preserve">— on filter error/timeout,</w:t>
      </w:r>
      <w:r>
        <w:t xml:space="preserve"> </w:t>
      </w:r>
      <w:r>
        <w:rPr>
          <w:b/>
        </w:rPr>
        <w:t xml:space="preserve">do not deliver</w:t>
      </w:r>
      <w:r>
        <w:t xml:space="preserve"> </w:t>
      </w:r>
      <w:r>
        <w:t xml:space="preserve">(hold/block).</w:t>
      </w:r>
    </w:p>
    <w:p>
      <w:pPr>
        <w:numPr>
          <w:ilvl w:val="1"/>
          <w:numId w:val="1037"/>
        </w:numPr>
        <w:pStyle w:val="Compact"/>
      </w:pPr>
      <w:r>
        <w:t xml:space="preserve">R6: All block/mask/warn events audited (</w:t>
      </w:r>
      <w:r>
        <w:rPr>
          <w:rStyle w:val="VerbatimChar"/>
        </w:rPr>
        <w:t xml:space="preserve">moderation_logs</w:t>
      </w:r>
      <w:r>
        <w:t xml:space="preserve">, FR-061); PII masked in logs (POL-002).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Exceptions</w:t>
      </w:r>
      <w:r>
        <w:t xml:space="preserve">: None — applies equally to AI and humans.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Refs</w:t>
      </w:r>
      <w:r>
        <w:t xml:space="preserve">: FR-069, NFR-013 · FN-017,035,052 · POL-011, POL-002 ·</w:t>
      </w:r>
      <w:r>
        <w:t xml:space="preserve"> </w:t>
      </w:r>
      <w:r>
        <w:rPr>
          <w:b/>
        </w:rPr>
        <w:t xml:space="preserve">Change log</w:t>
      </w:r>
      <w:r>
        <w:t xml:space="preserve">: v1.0.0 initial.</w:t>
      </w:r>
    </w:p>
    <w:p>
      <w:pPr>
        <w:pStyle w:val="Heading2"/>
      </w:pPr>
      <w:bookmarkStart w:id="40" w:name="common-policies-공통-정책"/>
      <w:r>
        <w:t xml:space="preserve">Common Policies (공통 정책)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Roles &amp; Permissions (권한)</w:t>
            </w:r>
          </w:p>
        </w:tc>
        <w:tc>
          <w:p>
            <w:pPr>
              <w:pStyle w:val="Compact"/>
              <w:jc w:val="left"/>
            </w:pPr>
            <w:r>
              <w:t xml:space="preserve">Admin (full config), Operator (KB/notifications/curation), Agent (assigned conversations). Role-based access enforced across admin console (FR-025).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i18n (다국어 — 북미)</w:t>
            </w:r>
          </w:p>
        </w:tc>
        <w:tc>
          <w:p>
            <w:pPr>
              <w:pStyle w:val="Compact"/>
              <w:jc w:val="left"/>
            </w:pPr>
            <w:r>
              <w:t xml:space="preserve">Customer primary =</w:t>
            </w:r>
            <w:r>
              <w:t xml:space="preserve"> </w:t>
            </w:r>
            <w:r>
              <w:rPr>
                <w:b/>
              </w:rPr>
              <w:t xml:space="preserve">English + Spanish (es-US/es-MX)</w:t>
            </w:r>
            <w:r>
              <w:t xml:space="preserve">, KO internal/admin. Static UI = en/es/ko;</w:t>
            </w:r>
            <w:r>
              <w:t xml:space="preserve"> </w:t>
            </w:r>
            <w:r>
              <w:rPr>
                <w:b/>
              </w:rPr>
              <w:t xml:space="preserve">RAG served in ES too</w:t>
            </w:r>
            <w:r>
              <w:t xml:space="preserve"> </w:t>
            </w:r>
            <w:r>
              <w:t xml:space="preserve">(POL-011 R4/FR-027). Default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when unresolved; user-switchable (NFR-003).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Limiting (요청 제한)</w:t>
            </w:r>
          </w:p>
        </w:tc>
        <w:tc>
          <w:p>
            <w:pPr>
              <w:pStyle w:val="Compact"/>
              <w:jc w:val="left"/>
            </w:pPr>
            <w:r>
              <w:t xml:space="preserve">Per-session message rate limit to protect RAG/agent (threshold [TBD]); guest order-lookup retry per POL-001 R5.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Isolation (데이터 격리)</w:t>
            </w:r>
          </w:p>
        </w:tc>
        <w:tc>
          <w:p>
            <w:pPr>
              <w:pStyle w:val="Compact"/>
              <w:jc w:val="left"/>
            </w:pPr>
            <w:r>
              <w:t xml:space="preserve">Per-customer scope; multi-tenancy per AmoebaTalk architecture if integrated (NFR-008).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Credentials (자격증명)</w:t>
            </w:r>
          </w:p>
        </w:tc>
        <w:tc>
          <w:p>
            <w:pPr>
              <w:pStyle w:val="Compact"/>
              <w:jc w:val="left"/>
            </w:pPr>
            <w:r>
              <w:t xml:space="preserve">Never log raw credentials; secrets in env/secret store (NFR-004).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(감사)</w:t>
            </w:r>
          </w:p>
        </w:tc>
        <w:tc>
          <w:p>
            <w:pPr>
              <w:pStyle w:val="Compact"/>
              <w:jc w:val="left"/>
            </w:pPr>
            <w:r>
              <w:t xml:space="preserve">All config changes and escalations logged for traceability (FR-018).</w:t>
            </w:r>
          </w:p>
        </w:tc>
      </w:tr>
    </w:tbl>
    <w:p>
      <w:pPr>
        <w:pStyle w:val="Heading2"/>
      </w:pPr>
      <w:bookmarkStart w:id="41" w:name="open-policy-decisions-미결-정책--owners"/>
      <w:r>
        <w:t xml:space="preserve">Open Policy Decisions (미결 정책 — owners)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p>
            <w:pPr>
              <w:pStyle w:val="Compact"/>
              <w:jc w:val="left"/>
            </w:pPr>
            <w:r>
              <w:t xml:space="preserve">RAG answer-language (A vs B)</w:t>
            </w:r>
          </w:p>
        </w:tc>
        <w:tc>
          <w:p>
            <w:pPr>
              <w:pStyle w:val="Compact"/>
              <w:jc w:val="left"/>
            </w:pPr>
            <w:r>
              <w:t xml:space="preserve">POL-011</w:t>
            </w:r>
          </w:p>
        </w:tc>
        <w:tc>
          <w:p>
            <w:pPr>
              <w:pStyle w:val="Compact"/>
              <w:jc w:val="left"/>
            </w:pPr>
            <w:r>
              <w:t xml:space="preserve">[TBD] — recommend (A)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A-6</w:t>
            </w:r>
          </w:p>
        </w:tc>
        <w:tc>
          <w:p>
            <w:pPr>
              <w:pStyle w:val="Compact"/>
              <w:jc w:val="left"/>
            </w:pPr>
            <w:r>
              <w:t xml:space="preserve">Conversation log retention period</w:t>
            </w:r>
          </w:p>
        </w:tc>
        <w:tc>
          <w:p>
            <w:pPr>
              <w:pStyle w:val="Compact"/>
              <w:jc w:val="left"/>
            </w:pPr>
            <w:r>
              <w:t xml:space="preserve">POL-003</w:t>
            </w:r>
          </w:p>
        </w:tc>
        <w:tc>
          <w:p>
            <w:pPr>
              <w:pStyle w:val="Compact"/>
              <w:jc w:val="left"/>
            </w:pPr>
            <w:r>
              <w:t xml:space="preserve">[TBD] — client legal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A-7</w:t>
            </w:r>
          </w:p>
        </w:tc>
        <w:tc>
          <w:p>
            <w:pPr>
              <w:pStyle w:val="Compact"/>
              <w:jc w:val="left"/>
            </w:pPr>
            <w:r>
              <w:t xml:space="preserve">Restock inventory source (Odoo vs Shopify)</w:t>
            </w:r>
          </w:p>
        </w:tc>
        <w:tc>
          <w:p>
            <w:pPr>
              <w:pStyle w:val="Compact"/>
              <w:jc w:val="left"/>
            </w:pPr>
            <w:r>
              <w:t xml:space="preserve">POL-010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A-8</w:t>
            </w:r>
          </w:p>
        </w:tc>
        <w:tc>
          <w:p>
            <w:pPr>
              <w:pStyle w:val="Compact"/>
              <w:jc w:val="left"/>
            </w:pPr>
            <w:r>
              <w:t xml:space="preserve">Klaviyo vs internal Notifier split</w:t>
            </w:r>
          </w:p>
        </w:tc>
        <w:tc>
          <w:p>
            <w:pPr>
              <w:pStyle w:val="Compact"/>
              <w:jc w:val="left"/>
            </w:pPr>
            <w:r>
              <w:t xml:space="preserve">POL-015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A-9</w:t>
            </w:r>
          </w:p>
        </w:tc>
        <w:tc>
          <w:p>
            <w:pPr>
              <w:pStyle w:val="Compact"/>
              <w:jc w:val="left"/>
            </w:pPr>
            <w:r>
              <w:t xml:space="preserve">Review trigger N-day &amp; storage target</w:t>
            </w:r>
          </w:p>
        </w:tc>
        <w:tc>
          <w:p>
            <w:pPr>
              <w:pStyle w:val="Compact"/>
              <w:jc w:val="left"/>
            </w:pPr>
            <w:r>
              <w:t xml:space="preserve">POL-008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A-10</w:t>
            </w:r>
          </w:p>
        </w:tc>
        <w:tc>
          <w:p>
            <w:pPr>
              <w:pStyle w:val="Compact"/>
              <w:jc w:val="left"/>
            </w:pPr>
            <w:r>
              <w:t xml:space="preserve">Affiliate settlement owner</w:t>
            </w:r>
          </w:p>
        </w:tc>
        <w:tc>
          <w:p>
            <w:pPr>
              <w:pStyle w:val="Compact"/>
              <w:jc w:val="left"/>
            </w:pPr>
            <w:r>
              <w:t xml:space="preserve">POL-009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Refund window value</w:t>
            </w:r>
          </w:p>
        </w:tc>
        <w:tc>
          <w:p>
            <w:pPr>
              <w:pStyle w:val="Compact"/>
              <w:jc w:val="left"/>
            </w:pPr>
            <w:r>
              <w:t xml:space="preserve">POL-004</w:t>
            </w:r>
          </w:p>
        </w:tc>
        <w:tc>
          <w:p>
            <w:pPr>
              <w:pStyle w:val="Compact"/>
              <w:jc w:val="left"/>
            </w:pPr>
            <w:r>
              <w:t xml:space="preserve">[TBD] —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Warranty terms/duration</w:t>
            </w:r>
          </w:p>
        </w:tc>
        <w:tc>
          <w:p>
            <w:pPr>
              <w:pStyle w:val="Compact"/>
              <w:jc w:val="left"/>
            </w:pPr>
            <w:r>
              <w:t xml:space="preserve">POL-006</w:t>
            </w:r>
          </w:p>
        </w:tc>
        <w:tc>
          <w:p>
            <w:pPr>
              <w:pStyle w:val="Compact"/>
              <w:jc w:val="left"/>
            </w:pPr>
            <w:r>
              <w:t xml:space="preserve">[TBD] —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Rate-limit thresholds</w:t>
            </w:r>
          </w:p>
        </w:tc>
        <w:tc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</w:tbl>
    <w:p>
      <w:pPr>
        <w:pStyle w:val="Heading2"/>
      </w:pPr>
      <w:bookmarkStart w:id="42" w:name="traceability-추적성"/>
      <w:r>
        <w:t xml:space="preserve">Traceability (추적성)</w:t>
      </w:r>
      <w:bookmarkEnd w:id="42"/>
    </w:p>
    <w:p>
      <w:pPr>
        <w:pStyle w:val="FirstParagraph"/>
      </w:pPr>
      <w:r>
        <w:t xml:space="preserve">Each POL constrains one or more FR/FN. Functional Definition (FN) must cite the POL it enforces; sequences and screens must reflect policy rules. POL → FN → SEQ/SCR → TC.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mailto:help@ivy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3" Target="mailto:help@ivy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2026-06-16T04:23:37Z</dcterms:created>
  <dcterms:modified xsi:type="dcterms:W3CDTF">2026-06-16T04:23:37Z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