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156C826E"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các phần liên quan. Đánh giá này bao gồm cách trình bày các lớp khác nhau của phương pháp tóm tắt video có giám sát (Phần III-B), chỉ dựa vào việc phân tích nội dung hình ảnh. Tiếp theo là báo cáo về các phương pháp tiếp cận đa phương thức (Phần III-</w:t>
      </w:r>
      <w:r w:rsidR="00167508">
        <w:rPr>
          <w:lang w:val="vi-VN"/>
        </w:rPr>
        <w:t>D</w:t>
      </w:r>
      <w:r w:rsidR="00ED25A6">
        <w:rPr>
          <w:lang w:val="vi-VN"/>
        </w:rPr>
        <w:t>) cũng xử lý siêu dữ liệu dựa trên nội dung đã được đưa ra. Cuối cùng là một số nhận xét chung (Phần III-</w:t>
      </w:r>
      <w:r w:rsidR="00167508">
        <w:rPr>
          <w:lang w:val="vi-VN"/>
        </w:rPr>
        <w:t>E</w:t>
      </w:r>
      <w:r w:rsidR="00ED25A6">
        <w:rPr>
          <w:lang w:val="vi-VN"/>
        </w:rPr>
        <w:t>) tổng quan cách lĩnh vực này phát triển, đặc biệt là trong những năm qua.</w:t>
      </w:r>
      <w:r w:rsidR="009303D9" w:rsidRPr="005B520E">
        <w:t xml:space="preserve"> </w:t>
      </w:r>
    </w:p>
    <w:p w14:paraId="431F6068" w14:textId="2011A9F2" w:rsidR="009303D9" w:rsidRDefault="00321DA2" w:rsidP="00ED0149">
      <w:pPr>
        <w:pStyle w:val="Heading2"/>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xml:space="preserve">. Từ đó, hiệu suất cao và kết quả chính xác cao trong nhiều </w:t>
      </w:r>
      <w:r w:rsidR="00E83A92">
        <w:rPr>
          <w:lang w:val="vi-VN"/>
        </w:rPr>
        <w:lastRenderedPageBreak/>
        <w:t>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CC0FF1" w:rsidR="00E83A92" w:rsidRPr="00FF38A9" w:rsidRDefault="000B0162" w:rsidP="00E7596C">
      <w:pPr>
        <w:pStyle w:val="BodyText"/>
        <w:rPr>
          <w:lang w:val="vi-VN"/>
        </w:rPr>
      </w:pPr>
      <w:r>
        <w:rPr>
          <w:lang w:val="vi-VN"/>
        </w:rPr>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âu và v) giải thích các cơ chế cơ bản để có thể suy luận như con người trong thời gian thực (lĩnh vực nghiên cứu có thể gọi là AI). Cách để gỉai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ED0149">
      <w:pPr>
        <w:pStyle w:val="Heading2"/>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w:t>
      </w:r>
      <w:r w:rsidR="001B4199" w:rsidRPr="001B4199">
        <w:rPr>
          <w:lang w:val="vi-VN"/>
        </w:rPr>
        <w:t>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i và cộng sự (2020) đã giới thiệu một phần mở rộng của mô hình tóm tắt, từ đó tích hợp một mạng nhúng bảo 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w:t>
      </w:r>
      <w:r w:rsidRPr="00D5588B">
        <w:rPr>
          <w:color w:val="000000" w:themeColor="text1"/>
          <w:sz w:val="16"/>
          <w:szCs w:val="16"/>
          <w:lang w:val="vi-VN"/>
        </w:rPr>
        <w:lastRenderedPageBreak/>
        <w:t xml:space="preserve">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06F4863A" w14:textId="77777777" w:rsidR="009E4CBD" w:rsidRPr="0089770D" w:rsidRDefault="009E4CBD" w:rsidP="00EB1760">
      <w:pPr>
        <w:pStyle w:val="bulletlist"/>
        <w:numPr>
          <w:ilvl w:val="0"/>
          <w:numId w:val="0"/>
        </w:numPr>
        <w:ind w:firstLine="14.20pt"/>
        <w:rPr>
          <w:lang w:val="vi-VN"/>
        </w:rPr>
      </w:pP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2AF9B6EA" w14:textId="466B6157" w:rsidR="009303D9" w:rsidRDefault="00F35845" w:rsidP="00ED0149">
      <w:pPr>
        <w:pStyle w:val="Heading2"/>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SumMe bao gồm 25 video có thời lượng từ 1 đến 6 phút, với nội dung video đa dạng, được quay từ cả hai góc nhìn, góc thứ nhất và góc thứ ba. Mỗi video đã được chú thích bởi 15 đến 18 người dùng dưới dạng các key-fragments và do đó được liên kết với nhiều bản tóm tắt của người dùng ở cấp độ phân đoạn (fragment-level)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w:t>
      </w:r>
      <w:r w:rsidRPr="00D95827">
        <w:rPr>
          <w:noProof/>
        </w:rPr>
        <w:lastRenderedPageBreak/>
        <w:t xml:space="preserve">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do 5 người dùng tạo ra. Thời lượng video từ 1 đến 4 phút đối với OVP và từ 1 đến 10 phút đối với Youtube. Cả hai dataset đều bao gồm 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Với kích thước của từng dataset này, chúng tôi thảo luận rằng thiếu các dataset được chú thích quy mô lớn có thể hữu 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Cuối cùng, FPVSum là datasey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trong khi phần còn lại được xem như các ví dụ không được gắn nhãn. Các đặc điểm chính của từng dataset đã thảo luận ở trên, được trình bày ngắn gọn trong Bảng I.</w:t>
      </w:r>
    </w:p>
    <w:p w14:paraId="2BBB2211" w14:textId="307E7E70" w:rsidR="00F35845" w:rsidRPr="00F35845" w:rsidRDefault="00F35845" w:rsidP="00F35845">
      <w:pPr>
        <w:pStyle w:val="BodyText"/>
        <w:ind w:firstLine="14.20pt"/>
        <w:rPr>
          <w:noProof/>
          <w:lang w:val="en-US"/>
        </w:rPr>
      </w:pPr>
      <w:r w:rsidRPr="00F35845">
        <w:rPr>
          <w:noProof/>
          <w:lang w:val="en-US"/>
        </w:rPr>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lastRenderedPageBreak/>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lastRenderedPageBreak/>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4"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P. Li, Q. Ye, L. Zhang, L. Yuan, X. Xu, and L. Shao, “Exploring global diverse attention via pairwise temporal relation for video summarization,” Pattern Recognition, vol. 111, p. 107677, 2021. [Online].</w:t>
      </w:r>
      <w:r>
        <w:rPr>
          <w:lang w:val="vi-VN"/>
        </w:rPr>
        <w:t xml:space="preserve"> </w:t>
      </w:r>
      <w:r w:rsidRPr="00AE4D4F">
        <w:rPr>
          <w:lang w:val="en-VN"/>
        </w:rPr>
        <w:t xml:space="preserve">Available: </w:t>
      </w:r>
      <w:hyperlink r:id="rId15"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6" w:history="1">
        <w:r w:rsidRPr="000E2063">
          <w:rPr>
            <w:rStyle w:val="Hyperlink"/>
            <w:lang w:val="en-VN"/>
          </w:rPr>
          <w:t>https://gyglim.github.io/me/</w:t>
        </w:r>
      </w:hyperlink>
    </w:p>
    <w:p w14:paraId="6414E690" w14:textId="77777777" w:rsidR="004D64AF" w:rsidRPr="004D64AF" w:rsidRDefault="00356E6F" w:rsidP="00356E6F">
      <w:pPr>
        <w:pStyle w:val="references"/>
        <w:rPr>
          <w:rStyle w:val="Hyperlink"/>
          <w:color w:val="auto"/>
          <w:u w:val="none"/>
          <w:lang w:val="en-VN"/>
        </w:rPr>
      </w:pPr>
      <w:bookmarkStart w:id="21"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7" w:history="1">
        <w:r w:rsidRPr="000E2063">
          <w:rPr>
            <w:rStyle w:val="Hyperlink"/>
            <w:lang w:val="en-VN"/>
          </w:rPr>
          <w:t>https://github.com/yalesong/tvsum</w:t>
        </w:r>
      </w:hyperlink>
      <w:bookmarkEnd w:id="21"/>
    </w:p>
    <w:p w14:paraId="4B77A8E4" w14:textId="5FC811C7" w:rsidR="004D64AF" w:rsidRPr="004D64AF" w:rsidRDefault="004D64AF" w:rsidP="004D64AF">
      <w:pPr>
        <w:pStyle w:val="references"/>
        <w:rPr>
          <w:lang w:val="en-VN"/>
        </w:rPr>
      </w:pPr>
      <w:bookmarkStart w:id="22"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8" w:history="1">
        <w:r w:rsidRPr="00061589">
          <w:rPr>
            <w:rStyle w:val="Hyperlink"/>
            <w:lang w:val="en-VN"/>
          </w:rPr>
          <w:t>https://doi.org/10.1162/neco.2006.18.7.1527</w:t>
        </w:r>
      </w:hyperlink>
      <w:bookmarkEnd w:id="22"/>
      <w:r>
        <w:rPr>
          <w:lang w:val="vi-VN"/>
        </w:rPr>
        <w:t xml:space="preserve"> </w:t>
      </w:r>
    </w:p>
    <w:p w14:paraId="3DFF382E" w14:textId="00AB7E8D" w:rsidR="004D64AF" w:rsidRDefault="004D64AF" w:rsidP="004D64AF">
      <w:pPr>
        <w:pStyle w:val="references"/>
        <w:rPr>
          <w:lang w:val="en-VN"/>
        </w:rPr>
      </w:pPr>
      <w:bookmarkStart w:id="23"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19" w:history="1">
        <w:r w:rsidRPr="00061589">
          <w:rPr>
            <w:rStyle w:val="Hyperlink"/>
            <w:lang w:val="en-VN"/>
          </w:rPr>
          <w:t>https://doi.org/10.1145/1273496.1273596</w:t>
        </w:r>
      </w:hyperlink>
      <w:bookmarkEnd w:id="23"/>
    </w:p>
    <w:p w14:paraId="55AC4A41" w14:textId="0564E871" w:rsidR="004D64AF" w:rsidRPr="004D64AF" w:rsidRDefault="004D64AF" w:rsidP="004D64AF">
      <w:pPr>
        <w:pStyle w:val="references"/>
        <w:rPr>
          <w:lang w:val="en-VN"/>
        </w:rPr>
      </w:pPr>
      <w:bookmarkStart w:id="24"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0" w:history="1">
        <w:r w:rsidRPr="00061589">
          <w:rPr>
            <w:rStyle w:val="Hyperlink"/>
            <w:lang w:val="en-VN"/>
          </w:rPr>
          <w:t>http://proceedings.mlr.press/v5/salakhutdinov09a.htm</w:t>
        </w:r>
        <w:r w:rsidRPr="00061589">
          <w:rPr>
            <w:rStyle w:val="Hyperlink"/>
            <w:lang w:val="vi-VN"/>
          </w:rPr>
          <w:t>l</w:t>
        </w:r>
      </w:hyperlink>
      <w:bookmarkEnd w:id="24"/>
    </w:p>
    <w:p w14:paraId="4D7B457B" w14:textId="77777777" w:rsidR="004D64AF" w:rsidRDefault="004D64AF" w:rsidP="004D64AF">
      <w:pPr>
        <w:pStyle w:val="references"/>
        <w:rPr>
          <w:lang w:val="en-VN"/>
        </w:rPr>
      </w:pPr>
      <w:bookmarkStart w:id="25"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5"/>
    </w:p>
    <w:p w14:paraId="0481DC6C" w14:textId="77777777" w:rsidR="004D64AF" w:rsidRDefault="004D64AF" w:rsidP="004D64AF">
      <w:pPr>
        <w:pStyle w:val="references"/>
        <w:rPr>
          <w:lang w:val="en-VN"/>
        </w:rPr>
      </w:pPr>
      <w:bookmarkStart w:id="26" w:name="_Ref98941244"/>
      <w:r w:rsidRPr="004D64AF">
        <w:rPr>
          <w:lang w:val="en-VN"/>
        </w:rPr>
        <w:t>D. P. Kingma and M. Welling, “Auto-Encoding Variational Bayes,” in 2nd Int. Conf. on Learning Representations, ICLR 2014, Banff, AB, Canada, April 14-16, 2014, Conference Track Proceedings, 2014.</w:t>
      </w:r>
      <w:bookmarkEnd w:id="26"/>
    </w:p>
    <w:p w14:paraId="5C9FE978" w14:textId="77777777" w:rsidR="004D64AF" w:rsidRDefault="004D64AF" w:rsidP="004D64AF">
      <w:pPr>
        <w:pStyle w:val="references"/>
        <w:rPr>
          <w:lang w:val="en-VN"/>
        </w:rPr>
      </w:pPr>
      <w:bookmarkStart w:id="27" w:name="_Ref98941264"/>
      <w:r w:rsidRPr="004D64AF">
        <w:rPr>
          <w:lang w:val="en-VN"/>
        </w:rPr>
        <w:t>Y. LeCun and Y. Bengio, Convolutional Networks for Images, Speech, and Time Series. Cambridge, MA, USA: MIT Press, 1998, p. 255–258.</w:t>
      </w:r>
      <w:bookmarkEnd w:id="27"/>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8"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8"/>
    </w:p>
    <w:p w14:paraId="1CB0234D" w14:textId="50EDAEE8" w:rsidR="003F0014" w:rsidRDefault="003F0014" w:rsidP="003F0014">
      <w:pPr>
        <w:pStyle w:val="references"/>
        <w:rPr>
          <w:lang w:val="en-VN"/>
        </w:rPr>
      </w:pPr>
      <w:bookmarkStart w:id="29" w:name="_Ref98941295"/>
      <w:r w:rsidRPr="003F0014">
        <w:rPr>
          <w:lang w:val="en-VN"/>
        </w:rPr>
        <w:t xml:space="preserve">W. Liu, Z. Wang, X. Liu, N. Zeng, Y. Liu, and F. E. Alsaadi, “A survey of deep neural network architectures and their applications,” Neurocomputing, vol. 234, pp. 11–26, 2017. [Online]. Available: </w:t>
      </w:r>
      <w:hyperlink r:id="rId21" w:history="1">
        <w:r w:rsidRPr="00061589">
          <w:rPr>
            <w:rStyle w:val="Hyperlink"/>
            <w:lang w:val="en-VN"/>
          </w:rPr>
          <w:t>https://www.sciencedirect.com/science/article/pii/S0925231216315533</w:t>
        </w:r>
      </w:hyperlink>
      <w:bookmarkEnd w:id="29"/>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2"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0" w:name="_Ref98941297"/>
      <w:r w:rsidRPr="003F0014">
        <w:rPr>
          <w:lang w:val="en-VN"/>
        </w:rPr>
        <w:t xml:space="preserve">S. Dong, P. Wang, and K. Abbas, “A survey on deep learning and its applications,” Computer Science Review, vol. 40, p. 100379, 2021. [Online]. Available: </w:t>
      </w:r>
      <w:hyperlink r:id="rId23" w:history="1">
        <w:r w:rsidRPr="00061589">
          <w:rPr>
            <w:rStyle w:val="Hyperlink"/>
            <w:lang w:val="en-VN"/>
          </w:rPr>
          <w:t>https://www.sciencedirect.com/science/article/pii/S1574013721000198</w:t>
        </w:r>
      </w:hyperlink>
      <w:bookmarkEnd w:id="30"/>
    </w:p>
    <w:p w14:paraId="5A527EE3" w14:textId="0B198366" w:rsidR="003F0014" w:rsidRDefault="003F0014" w:rsidP="003F0014">
      <w:pPr>
        <w:pStyle w:val="references"/>
        <w:rPr>
          <w:lang w:val="en-VN"/>
        </w:rPr>
      </w:pPr>
      <w:bookmarkStart w:id="31"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4" w:history="1">
        <w:r w:rsidRPr="00061589">
          <w:rPr>
            <w:rStyle w:val="Hyperlink"/>
            <w:lang w:val="en-VN"/>
          </w:rPr>
          <w:t>https://www.aclweb.org/anthology/C12-2104</w:t>
        </w:r>
      </w:hyperlink>
      <w:bookmarkEnd w:id="31"/>
    </w:p>
    <w:p w14:paraId="69F51317" w14:textId="673ABE31" w:rsidR="003F0014" w:rsidRDefault="003F0014" w:rsidP="003F0014">
      <w:pPr>
        <w:pStyle w:val="references"/>
        <w:rPr>
          <w:lang w:val="en-VN"/>
        </w:rPr>
      </w:pPr>
      <w:bookmarkStart w:id="32" w:name="_Ref98941330"/>
      <w:r w:rsidRPr="003F0014">
        <w:rPr>
          <w:lang w:val="en-VN"/>
        </w:rPr>
        <w:t xml:space="preserve">L. Dong, F. Wei, K. Xu, S. Liu, and M. Zhou, “Adaptive multi-compositionality for recursive neural network models,” IEEE/ACM Trans. Audio, Speech and Lang. Proc., vol. 24, no. 3, p. 422–431, Mar. 2016. [Online]. Available: </w:t>
      </w:r>
      <w:hyperlink r:id="rId25" w:history="1">
        <w:r w:rsidRPr="00061589">
          <w:rPr>
            <w:rStyle w:val="Hyperlink"/>
            <w:lang w:val="en-VN"/>
          </w:rPr>
          <w:t>https://doi.org/10.1109/TASLP.2015.2509257</w:t>
        </w:r>
      </w:hyperlink>
      <w:bookmarkEnd w:id="32"/>
    </w:p>
    <w:p w14:paraId="6D3B9E2C" w14:textId="232FF0ED" w:rsidR="003F0014" w:rsidRDefault="003F0014" w:rsidP="003F0014">
      <w:pPr>
        <w:pStyle w:val="references"/>
        <w:rPr>
          <w:lang w:val="en-VN"/>
        </w:rPr>
      </w:pPr>
      <w:bookmarkStart w:id="33"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3"/>
    </w:p>
    <w:p w14:paraId="70674FB2" w14:textId="4D7CC99B" w:rsidR="003F0014" w:rsidRDefault="003F0014" w:rsidP="003F0014">
      <w:pPr>
        <w:pStyle w:val="references"/>
        <w:rPr>
          <w:lang w:val="en-VN"/>
        </w:rPr>
      </w:pPr>
      <w:bookmarkStart w:id="34"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6" w:history="1">
        <w:r w:rsidRPr="00061589">
          <w:rPr>
            <w:rStyle w:val="Hyperlink"/>
            <w:lang w:val="en-VN"/>
          </w:rPr>
          <w:t>https://doi.org/10.1016/j.csl.2016.06.007</w:t>
        </w:r>
      </w:hyperlink>
      <w:bookmarkEnd w:id="34"/>
    </w:p>
    <w:p w14:paraId="6B256299" w14:textId="77777777" w:rsidR="003F0014" w:rsidRDefault="003F0014" w:rsidP="003F0014">
      <w:pPr>
        <w:pStyle w:val="references"/>
        <w:rPr>
          <w:lang w:val="en-VN"/>
        </w:rPr>
      </w:pPr>
      <w:bookmarkStart w:id="35" w:name="_Ref98941360"/>
      <w:r w:rsidRPr="003F0014">
        <w:rPr>
          <w:lang w:val="en-VN"/>
        </w:rPr>
        <w:lastRenderedPageBreak/>
        <w:t>K. Sirinukunwattana, S. E. A. Raza, Y.-W. Tsang, D. R. J. Snead, I. A. Cree, and N. M. Rajpoot, “Locality sensitive deep learning for detection and classification of nuclei in routine colon cancer histology images,” IEEE Trans. on Medical Imaging, vol. 35, no. 5, pp. 1196–1206, 2016.</w:t>
      </w:r>
      <w:bookmarkEnd w:id="35"/>
    </w:p>
    <w:p w14:paraId="20FA880A" w14:textId="77777777" w:rsidR="003F0014" w:rsidRDefault="003F0014" w:rsidP="003F0014">
      <w:pPr>
        <w:pStyle w:val="references"/>
        <w:rPr>
          <w:lang w:val="en-VN"/>
        </w:rPr>
      </w:pPr>
      <w:bookmarkStart w:id="36"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6"/>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7"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8"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7"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29" w:history="1">
        <w:r w:rsidRPr="00061589">
          <w:rPr>
            <w:rStyle w:val="Hyperlink"/>
            <w:lang w:val="en-VN"/>
          </w:rPr>
          <w:t>https://www.sciencedirect.com/science/article/pii/S0031320317304120</w:t>
        </w:r>
      </w:hyperlink>
      <w:bookmarkEnd w:id="37"/>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0"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1"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2"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8"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3" w:history="1">
        <w:r w:rsidRPr="00061589">
          <w:rPr>
            <w:rStyle w:val="Hyperlink"/>
            <w:lang w:val="en-VN"/>
          </w:rPr>
          <w:t>https://onlinelibrary.wiley.com/doi/abs/10.1002/rob.21918</w:t>
        </w:r>
      </w:hyperlink>
      <w:bookmarkEnd w:id="38"/>
    </w:p>
    <w:p w14:paraId="50ABC02F" w14:textId="43C8AD38" w:rsidR="002B0C49" w:rsidRPr="002B0C49" w:rsidRDefault="002B0C49" w:rsidP="002B0C49">
      <w:pPr>
        <w:pStyle w:val="references"/>
        <w:rPr>
          <w:lang w:val="en-VN"/>
        </w:rPr>
      </w:pPr>
      <w:bookmarkStart w:id="39"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39"/>
    </w:p>
    <w:p w14:paraId="1868C157" w14:textId="77777777" w:rsidR="002B0C49" w:rsidRDefault="002B0C49" w:rsidP="002B0C49">
      <w:pPr>
        <w:pStyle w:val="references"/>
        <w:rPr>
          <w:lang w:val="en-VN"/>
        </w:rPr>
      </w:pPr>
      <w:r w:rsidRPr="002B0C49">
        <w:rPr>
          <w:lang w:val="en-VN"/>
        </w:rPr>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4"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0"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0"/>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5D059F32" w14:textId="2C4DBE07" w:rsidR="00356E6F" w:rsidRPr="003F0014" w:rsidRDefault="00356E6F" w:rsidP="003F0014">
      <w:pPr>
        <w:pStyle w:val="references"/>
        <w:rPr>
          <w:lang w:val="en-VN"/>
        </w:rPr>
      </w:pPr>
    </w:p>
    <w:p w14:paraId="638F154C" w14:textId="77777777" w:rsidR="005710F8" w:rsidRDefault="005710F8" w:rsidP="00AE4D4F">
      <w:pPr>
        <w:pStyle w:val="references"/>
        <w:numPr>
          <w:ilvl w:val="0"/>
          <w:numId w:val="0"/>
        </w:numPr>
        <w:ind w:start="18pt" w:hanging="18pt"/>
        <w:rPr>
          <w:lang w:val="en-VN"/>
        </w:rPr>
      </w:pPr>
    </w:p>
    <w:p w14:paraId="16CB1FCD" w14:textId="1D47B8F3" w:rsidR="00AE4D4F" w:rsidRPr="00AE4D4F" w:rsidRDefault="00AE4D4F" w:rsidP="00AE4D4F">
      <w:pPr>
        <w:pStyle w:val="references"/>
        <w:numPr>
          <w:ilvl w:val="0"/>
          <w:numId w:val="0"/>
        </w:numPr>
        <w:ind w:start="18pt" w:hanging="18pt"/>
        <w:rPr>
          <w:lang w:val="en-VN"/>
        </w:rPr>
        <w:sectPr w:rsidR="00AE4D4F" w:rsidRPr="00AE4D4F" w:rsidSect="003B4E04">
          <w:type w:val="continuous"/>
          <w:pgSz w:w="595.30pt" w:h="841.90pt" w:code="9"/>
          <w:pgMar w:top="54pt" w:right="45.35pt" w:bottom="72pt" w:left="45.35pt" w:header="36pt" w:footer="36pt" w:gutter="0pt"/>
          <w:cols w:num="2" w:space="18pt"/>
          <w:docGrid w:linePitch="360"/>
        </w:sectPr>
      </w:pPr>
    </w:p>
    <w:p w14:paraId="7F22FFFA" w14:textId="77777777" w:rsidR="004D64AF" w:rsidRDefault="004D64AF" w:rsidP="00080F84">
      <w:pPr>
        <w:jc w:val="both"/>
      </w:pPr>
    </w:p>
    <w:sectPr w:rsidR="004D64A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926ABA" w14:textId="77777777" w:rsidR="009159A1" w:rsidRDefault="009159A1" w:rsidP="001A3B3D">
      <w:r>
        <w:separator/>
      </w:r>
    </w:p>
  </w:endnote>
  <w:endnote w:type="continuationSeparator" w:id="0">
    <w:p w14:paraId="09B29514" w14:textId="77777777" w:rsidR="009159A1" w:rsidRDefault="009159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57F5B2" w14:textId="77777777" w:rsidR="009159A1" w:rsidRDefault="009159A1" w:rsidP="001A3B3D">
      <w:r>
        <w:separator/>
      </w:r>
    </w:p>
  </w:footnote>
  <w:footnote w:type="continuationSeparator" w:id="0">
    <w:p w14:paraId="26841AB8" w14:textId="77777777" w:rsidR="009159A1" w:rsidRDefault="009159A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1"/>
  </w:num>
  <w:num w:numId="33">
    <w:abstractNumId w:val="25"/>
  </w:num>
  <w:num w:numId="34">
    <w:abstractNumId w:val="22"/>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B0162"/>
    <w:rsid w:val="000C1E68"/>
    <w:rsid w:val="000C2AA4"/>
    <w:rsid w:val="000C4D47"/>
    <w:rsid w:val="000E47BA"/>
    <w:rsid w:val="00125927"/>
    <w:rsid w:val="001259B8"/>
    <w:rsid w:val="00166E71"/>
    <w:rsid w:val="00167508"/>
    <w:rsid w:val="001A2EFD"/>
    <w:rsid w:val="001A3B3D"/>
    <w:rsid w:val="001B4199"/>
    <w:rsid w:val="001B67DC"/>
    <w:rsid w:val="00207220"/>
    <w:rsid w:val="002254A9"/>
    <w:rsid w:val="00233D97"/>
    <w:rsid w:val="002347A2"/>
    <w:rsid w:val="0024797D"/>
    <w:rsid w:val="002553EF"/>
    <w:rsid w:val="00256545"/>
    <w:rsid w:val="00265AE2"/>
    <w:rsid w:val="00281171"/>
    <w:rsid w:val="002850E3"/>
    <w:rsid w:val="002B0C49"/>
    <w:rsid w:val="002B6CD6"/>
    <w:rsid w:val="002B7546"/>
    <w:rsid w:val="002D6895"/>
    <w:rsid w:val="00304AFC"/>
    <w:rsid w:val="00306923"/>
    <w:rsid w:val="00321DA2"/>
    <w:rsid w:val="00333ECE"/>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432BA"/>
    <w:rsid w:val="0044407E"/>
    <w:rsid w:val="00447BB9"/>
    <w:rsid w:val="00450461"/>
    <w:rsid w:val="0046031D"/>
    <w:rsid w:val="00461C91"/>
    <w:rsid w:val="004736A8"/>
    <w:rsid w:val="00473AC9"/>
    <w:rsid w:val="004D64AF"/>
    <w:rsid w:val="004D72B5"/>
    <w:rsid w:val="0050193C"/>
    <w:rsid w:val="005125B8"/>
    <w:rsid w:val="005349A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6B66"/>
    <w:rsid w:val="006F6D3D"/>
    <w:rsid w:val="0071348D"/>
    <w:rsid w:val="00715BEA"/>
    <w:rsid w:val="00740EEA"/>
    <w:rsid w:val="00793310"/>
    <w:rsid w:val="00794804"/>
    <w:rsid w:val="007B33F1"/>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716B"/>
    <w:rsid w:val="009159A1"/>
    <w:rsid w:val="009303D9"/>
    <w:rsid w:val="00933C64"/>
    <w:rsid w:val="00972203"/>
    <w:rsid w:val="009E4CBD"/>
    <w:rsid w:val="009F1D79"/>
    <w:rsid w:val="009F4466"/>
    <w:rsid w:val="00A059B3"/>
    <w:rsid w:val="00A115BE"/>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6EAE"/>
    <w:rsid w:val="00B768D1"/>
    <w:rsid w:val="00B902C9"/>
    <w:rsid w:val="00BA1025"/>
    <w:rsid w:val="00BC3420"/>
    <w:rsid w:val="00BD670B"/>
    <w:rsid w:val="00BE7D3C"/>
    <w:rsid w:val="00BF5FF6"/>
    <w:rsid w:val="00C0207F"/>
    <w:rsid w:val="00C03457"/>
    <w:rsid w:val="00C16117"/>
    <w:rsid w:val="00C23404"/>
    <w:rsid w:val="00C24AE5"/>
    <w:rsid w:val="00C3075A"/>
    <w:rsid w:val="00C46358"/>
    <w:rsid w:val="00C615F4"/>
    <w:rsid w:val="00C919A4"/>
    <w:rsid w:val="00CA151C"/>
    <w:rsid w:val="00CA4392"/>
    <w:rsid w:val="00CC393F"/>
    <w:rsid w:val="00CF3F4D"/>
    <w:rsid w:val="00D2176E"/>
    <w:rsid w:val="00D34346"/>
    <w:rsid w:val="00D5588B"/>
    <w:rsid w:val="00D632BE"/>
    <w:rsid w:val="00D72D06"/>
    <w:rsid w:val="00D7522C"/>
    <w:rsid w:val="00D7536F"/>
    <w:rsid w:val="00D76668"/>
    <w:rsid w:val="00D768BB"/>
    <w:rsid w:val="00D829CF"/>
    <w:rsid w:val="00DA553C"/>
    <w:rsid w:val="00DA57B5"/>
    <w:rsid w:val="00E07383"/>
    <w:rsid w:val="00E165BC"/>
    <w:rsid w:val="00E5552A"/>
    <w:rsid w:val="00E578D6"/>
    <w:rsid w:val="00E61E12"/>
    <w:rsid w:val="00E7596C"/>
    <w:rsid w:val="00E768A4"/>
    <w:rsid w:val="00E83A92"/>
    <w:rsid w:val="00E878D3"/>
    <w:rsid w:val="00E878F2"/>
    <w:rsid w:val="00EB1760"/>
    <w:rsid w:val="00ED0149"/>
    <w:rsid w:val="00ED25A6"/>
    <w:rsid w:val="00EE578D"/>
    <w:rsid w:val="00EF7DE3"/>
    <w:rsid w:val="00F03103"/>
    <w:rsid w:val="00F166E8"/>
    <w:rsid w:val="00F271DE"/>
    <w:rsid w:val="00F35845"/>
    <w:rsid w:val="00F43516"/>
    <w:rsid w:val="00F627DA"/>
    <w:rsid w:val="00F7288F"/>
    <w:rsid w:val="00F847A6"/>
    <w:rsid w:val="00F9441B"/>
    <w:rsid w:val="00FA4C32"/>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doi.org/10.1162/neco.2006.18.7.1527" TargetMode="External"/><Relationship Id="rId26" Type="http://purl.oclc.org/ooxml/officeDocument/relationships/hyperlink" Target="https://doi.org/10.1016/j.csl.2016.06.007" TargetMode="External"/><Relationship Id="rId3" Type="http://purl.oclc.org/ooxml/officeDocument/relationships/styles" Target="styles.xml"/><Relationship Id="rId21" Type="http://purl.oclc.org/ooxml/officeDocument/relationships/hyperlink" Target="https://www.sciencedirect.com/science/article/pii/S0925231216315533" TargetMode="External"/><Relationship Id="rId34" Type="http://purl.oclc.org/ooxml/officeDocument/relationships/hyperlink" Target="https://proceedings.neurips.cc/paper/2013/file/3871bd64012152bfb53fdf04b401193f-Pa" TargetMode="External"/><Relationship Id="rId7" Type="http://purl.oclc.org/ooxml/officeDocument/relationships/endnotes" Target="endnotes.xml"/><Relationship Id="rId12" Type="http://schemas.microsoft.com/office/2007/relationships/hdphoto" Target="media/hdphoto1.wdp"/><Relationship Id="rId17" Type="http://purl.oclc.org/ooxml/officeDocument/relationships/hyperlink" Target="https://github.com/yalesong/tvsum" TargetMode="External"/><Relationship Id="rId25" Type="http://purl.oclc.org/ooxml/officeDocument/relationships/hyperlink" Target="https://doi.org/10.1109/TASLP.2015.2509257" TargetMode="External"/><Relationship Id="rId33" Type="http://purl.oclc.org/ooxml/officeDocument/relationships/hyperlink" Target="https://onlinelibrary.wiley.com/doi/abs/10.1002/rob.21918" TargetMode="External"/><Relationship Id="rId2" Type="http://purl.oclc.org/ooxml/officeDocument/relationships/numbering" Target="numbering.xml"/><Relationship Id="rId16" Type="http://purl.oclc.org/ooxml/officeDocument/relationships/hyperlink" Target="https://gyglim.github.io/me/" TargetMode="External"/><Relationship Id="rId20" Type="http://purl.oclc.org/ooxml/officeDocument/relationships/hyperlink" Target="http://proceedings.mlr.press/v5/salakhutdinov09a.html" TargetMode="External"/><Relationship Id="rId29" Type="http://purl.oclc.org/ooxml/officeDocument/relationships/hyperlink" Target="https://www.sciencedirect.com/science/article/pii/S003132031730412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aclweb.org/anthology/C12-2104" TargetMode="External"/><Relationship Id="rId32" Type="http://purl.oclc.org/ooxml/officeDocument/relationships/hyperlink" Target="https://www.frontiersin.org/article/10.3389/fnins.2020.00779" TargetMode="External"/><Relationship Id="rId5" Type="http://purl.oclc.org/ooxml/officeDocument/relationships/webSettings" Target="webSettings.xml"/><Relationship Id="rId15" Type="http://purl.oclc.org/ooxml/officeDocument/relationships/hyperlink" Target="https://www.sciencedirect.com/science/article/pii/S0031320320304805" TargetMode="External"/><Relationship Id="rId23" Type="http://purl.oclc.org/ooxml/officeDocument/relationships/hyperlink" Target="https://www.sciencedirect.com/science/article/pii/S1574013721000198" TargetMode="External"/><Relationship Id="rId28" Type="http://purl.oclc.org/ooxml/officeDocument/relationships/hyperlink" Target="https://doi.org/10.1145/2647868.2654914" TargetMode="External"/><Relationship Id="rId36" Type="http://purl.oclc.org/ooxml/officeDocument/relationships/theme" Target="theme/theme1.xml"/><Relationship Id="rId10" Type="http://purl.oclc.org/ooxml/officeDocument/relationships/image" Target="media/image1.jpeg"/><Relationship Id="rId19" Type="http://purl.oclc.org/ooxml/officeDocument/relationships/hyperlink" Target="https://doi.org/10.1145/1273496.1273596" TargetMode="External"/><Relationship Id="rId31" Type="http://purl.oclc.org/ooxml/officeDocument/relationships/hyperlink" Target="https://www.sciencedirect.com/science/article/pii/S1574013720304172"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doi.org/10.1007/s11042-020-10293-x" TargetMode="External"/><Relationship Id="rId22" Type="http://purl.oclc.org/ooxml/officeDocument/relationships/hyperlink" Target="https://doi.org/10.1145/3234150" TargetMode="External"/><Relationship Id="rId27" Type="http://purl.oclc.org/ooxml/officeDocument/relationships/hyperlink" Target="http://arxiv.org/abs/1409.1556" TargetMode="External"/><Relationship Id="rId30" Type="http://purl.oclc.org/ooxml/officeDocument/relationships/hyperlink" Target="https://www.sciencedirect.com/science/article/pii/S0893608019301303" TargetMode="External"/><Relationship Id="rId35" Type="http://purl.oclc.org/ooxml/officeDocument/relationships/fontTable" Target="fontTable.xm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317</TotalTime>
  <Pages>9</Pages>
  <Words>9189</Words>
  <Characters>52380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20</cp:revision>
  <dcterms:created xsi:type="dcterms:W3CDTF">2022-03-14T07:55:00Z</dcterms:created>
  <dcterms:modified xsi:type="dcterms:W3CDTF">2022-03-24T02:04:00Z</dcterms:modified>
</cp:coreProperties>
</file>