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156C826E"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các phần liên quan. Đánh giá này bao gồm cách trình bày các lớp khác nhau của phương pháp tóm tắt video có giám sát (Phần III-B), chỉ dựa vào việc phân tích nội dung hình ảnh. Tiếp theo là báo cáo về các phương pháp tiếp cận đa phương thức (Phần III-</w:t>
      </w:r>
      <w:r w:rsidR="00167508">
        <w:rPr>
          <w:lang w:val="vi-VN"/>
        </w:rPr>
        <w:t>D</w:t>
      </w:r>
      <w:r w:rsidR="00ED25A6">
        <w:rPr>
          <w:lang w:val="vi-VN"/>
        </w:rPr>
        <w:t>) cũng xử lý siêu dữ liệu dựa trên nội dung đã được đưa ra. Cuối cùng là một số nhận xét chung (Phần III-</w:t>
      </w:r>
      <w:r w:rsidR="00167508">
        <w:rPr>
          <w:lang w:val="vi-VN"/>
        </w:rPr>
        <w:t>E</w:t>
      </w:r>
      <w:r w:rsidR="00ED25A6">
        <w:rPr>
          <w:lang w:val="vi-VN"/>
        </w:rPr>
        <w:t>) tổng quan cách lĩnh vực này phát triển, đặc biệt là trong những năm qua.</w:t>
      </w:r>
      <w:r w:rsidR="009303D9" w:rsidRPr="005B520E">
        <w:t xml:space="preserve"> </w:t>
      </w:r>
    </w:p>
    <w:p w14:paraId="431F6068" w14:textId="2011A9F2" w:rsidR="009303D9" w:rsidRDefault="00321DA2" w:rsidP="00ED0149">
      <w:pPr>
        <w:pStyle w:val="Heading2"/>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xml:space="preserve">. Từ đó, hiệu suất cao và kết quả chính xác cao trong nhiều </w:t>
      </w:r>
      <w:r w:rsidR="00E83A92">
        <w:rPr>
          <w:lang w:val="vi-VN"/>
        </w:rPr>
        <w:lastRenderedPageBreak/>
        <w:t>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CC0FF1" w:rsidR="00E83A92" w:rsidRPr="00FF38A9" w:rsidRDefault="000B0162" w:rsidP="00E7596C">
      <w:pPr>
        <w:pStyle w:val="BodyText"/>
        <w:rPr>
          <w:lang w:val="vi-VN"/>
        </w:rPr>
      </w:pPr>
      <w:r>
        <w:rPr>
          <w:lang w:val="vi-VN"/>
        </w:rPr>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âu và v) giải thích các cơ chế cơ bản để có thể suy luận như con người trong thời gian thực (lĩnh vực nghiên cứu có thể gọi là AI). Cách để gỉai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ED0149">
      <w:pPr>
        <w:pStyle w:val="Heading2"/>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w:t>
      </w:r>
      <w:r w:rsidR="001B4199" w:rsidRPr="001B4199">
        <w:rPr>
          <w:lang w:val="vi-VN"/>
        </w:rPr>
        <w:t>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i và cộng sự (2020) đã giới thiệu một phần mở rộng của mô hình tóm tắt, từ đó tích hợp một mạng nhúng bảo 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w:t>
      </w:r>
      <w:r w:rsidRPr="00D5588B">
        <w:rPr>
          <w:color w:val="000000" w:themeColor="text1"/>
          <w:sz w:val="16"/>
          <w:szCs w:val="16"/>
          <w:lang w:val="vi-VN"/>
        </w:rPr>
        <w:lastRenderedPageBreak/>
        <w:t xml:space="preserve">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58BF9161" w14:textId="77777777" w:rsidR="00202C71" w:rsidRPr="00202C71" w:rsidRDefault="00202C71" w:rsidP="00202C71">
      <w:pPr>
        <w:pStyle w:val="ListParagraph"/>
        <w:numPr>
          <w:ilvl w:val="0"/>
          <w:numId w:val="29"/>
        </w:numPr>
        <w:jc w:val="both"/>
        <w:rPr>
          <w:b/>
          <w:bCs/>
          <w:noProof/>
        </w:rPr>
      </w:pPr>
      <w:r w:rsidRPr="00202C71">
        <w:rPr>
          <w:b/>
          <w:bCs/>
          <w:noProof/>
        </w:rPr>
        <w:t>Tìm hiểu tóm tắt bằng cách đánh lừa một discriminator  (người phân biệt) khi cố gắng phân biệt bản tóm tắt do máy tạo ra với bản tóm tắt do con người tạo ra.</w:t>
      </w:r>
    </w:p>
    <w:p w14:paraId="59EDB722" w14:textId="0F9771B1" w:rsidR="00202C71" w:rsidRDefault="00202C71" w:rsidP="00202C71">
      <w:pPr>
        <w:ind w:firstLine="14.20pt"/>
        <w:jc w:val="both"/>
        <w:rPr>
          <w:noProof/>
        </w:rPr>
      </w:pPr>
      <w:r w:rsidRPr="00EF6D57">
        <w:rPr>
          <w:noProof/>
        </w:rPr>
        <w:t xml:space="preserve">Theo một cách tiếp cận hoàn toàn khác để giảm thiểu khoảng cách giữa máy được tạo ra và các bản tóm tắt sự thật, một vài phương pháp sử dụng Mạng đối phương chung (GAN). Như đã gửi trước trong Hình 4, Trình tóm tắt (đóng vai trò là Trình tạo GAN) nhận đầu vào trình tự của các frame và tạo ra một bản tóm tắt bằng cách tính toán importance scores ở frame-level. </w:t>
      </w:r>
    </w:p>
    <w:p w14:paraId="2BC0FF87" w14:textId="77777777" w:rsidR="00202C71" w:rsidRDefault="00202C71" w:rsidP="00202C71">
      <w:pPr>
        <w:keepNext/>
      </w:pPr>
      <w:r>
        <w:rPr>
          <w:noProof/>
        </w:rPr>
        <w:drawing>
          <wp:inline distT="0" distB="0" distL="0" distR="0" wp14:anchorId="2C35A4D8" wp14:editId="7D67B995">
            <wp:extent cx="3089910" cy="1724025"/>
            <wp:effectExtent l="0" t="0" r="0" b="317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3FF13AB7" w14:textId="5C5871E7" w:rsidR="00202C71" w:rsidRPr="00202C71" w:rsidRDefault="00202C71" w:rsidP="00202C71">
      <w:pPr>
        <w:pStyle w:val="Caption"/>
        <w:rPr>
          <w:color w:val="000000" w:themeColor="text1"/>
          <w:lang w:val="vi-VN"/>
        </w:rPr>
      </w:pPr>
      <w:r w:rsidRPr="00202C71">
        <w:rPr>
          <w:noProof/>
          <w:color w:val="000000" w:themeColor="text1"/>
        </w:rPr>
        <w:t xml:space="preserve">Hình </w:t>
      </w:r>
      <w:r w:rsidRPr="00202C71">
        <w:rPr>
          <w:color w:val="000000" w:themeColor="text1"/>
          <w:lang w:val="vi-VN"/>
        </w:rPr>
        <w:t>4. Trình bày cấp cao của đường ống phân tích của người được giám sát</w:t>
      </w:r>
      <w:r>
        <w:rPr>
          <w:color w:val="000000" w:themeColor="text1"/>
          <w:lang w:val="vi-VN"/>
        </w:rPr>
        <w:t xml:space="preserve"> </w:t>
      </w:r>
      <w:r w:rsidRPr="00202C71">
        <w:rPr>
          <w:color w:val="000000" w:themeColor="text1"/>
          <w:lang w:val="vi-VN"/>
        </w:rPr>
        <w:t>các thuật toán tìm hiểu tóm tắt với sự trợ giúp của dữ liệu sự thật cơ bản và học đối phương.</w:t>
      </w:r>
    </w:p>
    <w:p w14:paraId="06F4863A" w14:textId="609B7A31" w:rsidR="009E4CBD" w:rsidRPr="00ED06A2" w:rsidRDefault="00202C71" w:rsidP="00ED06A2">
      <w:pPr>
        <w:ind w:firstLine="14.20pt"/>
        <w:jc w:val="both"/>
        <w:rPr>
          <w:noProof/>
        </w:rPr>
      </w:pPr>
      <w:r w:rsidRPr="00EF6D57">
        <w:rPr>
          <w:noProof/>
        </w:rPr>
        <w:t xml:space="preserve">Bản tóm tắt được tạo cùng với bản tóm tắt video tối ưu cho video này được cung cấp làm đầu vào cho </w:t>
      </w:r>
      <w:r w:rsidRPr="00202C71">
        <w:rPr>
          <w:b/>
          <w:bCs/>
          <w:noProof/>
        </w:rPr>
        <w:t>discriminator</w:t>
      </w:r>
      <w:r w:rsidRPr="00EF6D57">
        <w:rPr>
          <w:noProof/>
        </w:rPr>
        <w:t xml:space="preserve"> có thể đào tạo để tạo ra điểm số định lượng sự giống nhau của chúng. Việc đào tạo toàn bộ kiến ​​trúc tóm tắt được thực hiện theo phương thức đối nghịch. Trình tóm tắt cố gắng đánh lừa </w:t>
      </w:r>
      <w:r w:rsidRPr="00202C71">
        <w:rPr>
          <w:b/>
          <w:bCs/>
          <w:noProof/>
        </w:rPr>
        <w:t>discriminator</w:t>
      </w:r>
      <w:r w:rsidRPr="00EF6D57">
        <w:rPr>
          <w:noProof/>
        </w:rPr>
        <w:t xml:space="preserve"> để không phân biệt được dự đoán với tóm tắt do người dùng tạo và </w:t>
      </w:r>
      <w:r w:rsidRPr="00202C71">
        <w:rPr>
          <w:b/>
          <w:bCs/>
          <w:noProof/>
        </w:rPr>
        <w:t>discriminator</w:t>
      </w:r>
      <w:r w:rsidRPr="00EF6D57">
        <w:rPr>
          <w:noProof/>
        </w:rPr>
        <w:t xml:space="preserve"> hướng đến việc tìm hiểu cách tạo ra sự phân biệt này. Khi độ tin cậy của </w:t>
      </w:r>
      <w:r w:rsidRPr="00202C71">
        <w:rPr>
          <w:b/>
          <w:bCs/>
          <w:noProof/>
        </w:rPr>
        <w:t>discriminator</w:t>
      </w:r>
      <w:r w:rsidRPr="00EF6D57">
        <w:rPr>
          <w:noProof/>
        </w:rPr>
        <w:t xml:space="preserve"> đối xử rất thấp (nghĩa là lỗi phân loại gần bằng nhau cho bản tóm tắt do máy và người dùng tạo), thì người tóm tắt có thể tạo một bản tóm tắt rất gần với mong đợi của người dùng. Trong bối cảnh này, Zhang et al. (2019) đã đề xuất một phương pháp kết hợp LSTM và đơn vị quan hệ thời gian pha loãng (DTR) để ước tính mức độ phụ thuộc theo thời gian giữa các khung ở các cửa sổ thời gian khác nhau và tìm hiểu tóm tắt bằng cách cố gắng đánh lừa một trình phân loại có thể đào tạo khi phân biệt tóm tắt dựa trên máy từ sự thật cơ bản và một sự thật được tạo ra một cách ngẫu nhiên. Trong một tác phẩm khác cùng năm, Fu et al. (2019) đã đề xuất một phương pháp học tập đối nghịch cho bản tóm tắt video có giám sát (bán phần). Trình tạo / Trình tóm tắt (Generator/Summarizer) là Mạng con trỏ dựa trên sự chú ý xác định điểm bắt đầu và điểm kết thúc của mỗi đoạn video được sử dụng để tạo thành phần tóm tắt. Discriminator là một công cụ phân loại 3D-CNN để đánh giá xem một phân đoạn là từ sự thật cơ bản hay bản tóm tắt do máy tạo ra. Thay vì sử dụng phần thua đối đầu thông thường, trong thuật toán này, đầu ra của Bộ phân biệt được sử dụng như một phần thưởng để đào tạo Bộ tạo</w:t>
      </w:r>
      <w:r>
        <w:rPr>
          <w:noProof/>
          <w:lang w:val="vi-VN"/>
        </w:rPr>
        <w:t>/</w:t>
      </w:r>
      <w:r w:rsidRPr="00EF6D57">
        <w:rPr>
          <w:noProof/>
        </w:rPr>
        <w:t>Bộ tổng hợp dựa trên việc học tăng cường. Cho đến nay, việc sử dụng GAN để tóm tắt video được giám sát còn hạn chế. Tuy nhiên, framework machine learning này đã được sử dụng rộng rãi để tóm tắt video không có giám sát, như được thảo luận trong phần sau.</w:t>
      </w: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2AF9B6EA" w14:textId="466B6157" w:rsidR="009303D9" w:rsidRDefault="00F35845" w:rsidP="00ED0149">
      <w:pPr>
        <w:pStyle w:val="Heading2"/>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 xml:space="preserve">SumMe bao gồm 25 video có thời lượng từ 1 đến 6 phút, với nội dung video đa dạng, được quay từ cả hai góc nhìn, góc thứ nhất và góc thứ ba. Mỗi video đã </w:t>
      </w:r>
      <w:r w:rsidRPr="00E768A4">
        <w:rPr>
          <w:noProof/>
          <w:lang w:val="en-US"/>
        </w:rPr>
        <w:t xml:space="preserve">được chú thích bởi 15 đến 18 người dùng dưới dạng các </w:t>
      </w:r>
      <w:r w:rsidRPr="00340ED3">
        <w:rPr>
          <w:b/>
          <w:bCs/>
          <w:noProof/>
          <w:lang w:val="en-US"/>
        </w:rPr>
        <w:t>key-fragments</w:t>
      </w:r>
      <w:r w:rsidRPr="00E768A4">
        <w:rPr>
          <w:noProof/>
          <w:lang w:val="en-US"/>
        </w:rPr>
        <w:t xml:space="preserve"> và do đó được liên kết với nhiều bản tóm tắt của người dùng ở cấp độ phân đoạn (</w:t>
      </w:r>
      <w:r w:rsidRPr="00340ED3">
        <w:rPr>
          <w:b/>
          <w:bCs/>
          <w:noProof/>
          <w:lang w:val="en-US"/>
        </w:rPr>
        <w:t>fragment-level</w:t>
      </w:r>
      <w:r w:rsidRPr="00E768A4">
        <w:rPr>
          <w:noProof/>
          <w:lang w:val="en-US"/>
        </w:rPr>
        <w:t>)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do 5 người dùng tạo ra. Thời lượng video từ 1 đến 4 phút đối với OVP và từ 1 đến 10 phút đối với Youtube. Cả hai dataset đều bao gồm 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Với kích thước của từng dataset này, chúng tôi thảo luận rằng thiếu các dataset được chú thích quy mô lớn có thể hữu 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Cuối cùng, FPVSum là datasey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trong khi phần còn lại được xem như các ví dụ không được gắn nhãn. Các đặc điểm chính của từng dataset đã thảo luận ở trên, được trình bày ngắn gọn trong Bảng I.</w:t>
      </w:r>
    </w:p>
    <w:p w14:paraId="2BBB2211" w14:textId="307E7E70" w:rsidR="00F35845" w:rsidRPr="00F35845" w:rsidRDefault="00F35845" w:rsidP="00F35845">
      <w:pPr>
        <w:pStyle w:val="BodyText"/>
        <w:ind w:firstLine="14.20pt"/>
        <w:rPr>
          <w:noProof/>
          <w:lang w:val="en-US"/>
        </w:rPr>
      </w:pPr>
      <w:r w:rsidRPr="00F35845">
        <w:rPr>
          <w:noProof/>
          <w:lang w:val="en-US"/>
        </w:rPr>
        <w:lastRenderedPageBreak/>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lastRenderedPageBreak/>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 xml:space="preserve">E. Apostolidis, E. Adamantidou, A. I. Metsai, V. Mezaris, and I. Patras, “Unsupervised Video Summarization via Attention-Driven Adversarial Learning,” in Proc. of the 26th Int. Conf. on Multimedia </w:t>
      </w:r>
      <w:r w:rsidRPr="00AE4D4F">
        <w:rPr>
          <w:lang w:val="en-VN"/>
        </w:rPr>
        <w:t>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5"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6"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r w:rsidRPr="00356E6F">
        <w:rPr>
          <w:lang w:val="en-VN"/>
        </w:rPr>
        <w:t xml:space="preserve">M. Gygli, H. Grabner, H. Riemenschneider, and L. Van Gool, “Creating Summaries from User Videos,” in Europ. Conf. on Computer Vision (ECCV) 2014, D. Fleet, T. Pajdla, B. Schiele, and T. Tuytelaars, </w:t>
      </w:r>
      <w:r w:rsidRPr="00356E6F">
        <w:rPr>
          <w:lang w:val="en-VN"/>
        </w:rPr>
        <w:lastRenderedPageBreak/>
        <w:t xml:space="preserve">Eds. Cham: Springer International Publishing, 2014, pp. 505–520. [Online]. Available: </w:t>
      </w:r>
      <w:hyperlink r:id="rId17" w:history="1">
        <w:r w:rsidRPr="000E2063">
          <w:rPr>
            <w:rStyle w:val="Hyperlink"/>
            <w:lang w:val="en-VN"/>
          </w:rPr>
          <w:t>https://gyglim.github.io/me/</w:t>
        </w:r>
      </w:hyperlink>
    </w:p>
    <w:p w14:paraId="6414E690" w14:textId="77777777" w:rsidR="004D64AF" w:rsidRPr="004D64AF" w:rsidRDefault="00356E6F" w:rsidP="00356E6F">
      <w:pPr>
        <w:pStyle w:val="references"/>
        <w:rPr>
          <w:rStyle w:val="Hyperlink"/>
          <w:color w:val="auto"/>
          <w:u w:val="none"/>
          <w:lang w:val="en-VN"/>
        </w:rPr>
      </w:pPr>
      <w:bookmarkStart w:id="21"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8" w:history="1">
        <w:r w:rsidRPr="000E2063">
          <w:rPr>
            <w:rStyle w:val="Hyperlink"/>
            <w:lang w:val="en-VN"/>
          </w:rPr>
          <w:t>https://github.com/yalesong/tvsum</w:t>
        </w:r>
      </w:hyperlink>
      <w:bookmarkEnd w:id="21"/>
    </w:p>
    <w:p w14:paraId="4B77A8E4" w14:textId="5FC811C7" w:rsidR="004D64AF" w:rsidRPr="004D64AF" w:rsidRDefault="004D64AF" w:rsidP="004D64AF">
      <w:pPr>
        <w:pStyle w:val="references"/>
        <w:rPr>
          <w:lang w:val="en-VN"/>
        </w:rPr>
      </w:pPr>
      <w:bookmarkStart w:id="22"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9" w:history="1">
        <w:r w:rsidRPr="00061589">
          <w:rPr>
            <w:rStyle w:val="Hyperlink"/>
            <w:lang w:val="en-VN"/>
          </w:rPr>
          <w:t>https://doi.org/10.1162/neco.2006.18.7.1527</w:t>
        </w:r>
      </w:hyperlink>
      <w:bookmarkEnd w:id="22"/>
      <w:r>
        <w:rPr>
          <w:lang w:val="vi-VN"/>
        </w:rPr>
        <w:t xml:space="preserve"> </w:t>
      </w:r>
    </w:p>
    <w:p w14:paraId="3DFF382E" w14:textId="00AB7E8D" w:rsidR="004D64AF" w:rsidRDefault="004D64AF" w:rsidP="004D64AF">
      <w:pPr>
        <w:pStyle w:val="references"/>
        <w:rPr>
          <w:lang w:val="en-VN"/>
        </w:rPr>
      </w:pPr>
      <w:bookmarkStart w:id="23"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20" w:history="1">
        <w:r w:rsidRPr="00061589">
          <w:rPr>
            <w:rStyle w:val="Hyperlink"/>
            <w:lang w:val="en-VN"/>
          </w:rPr>
          <w:t>https://doi.org/10.1145/1273496.1273596</w:t>
        </w:r>
      </w:hyperlink>
      <w:bookmarkEnd w:id="23"/>
    </w:p>
    <w:p w14:paraId="55AC4A41" w14:textId="0564E871" w:rsidR="004D64AF" w:rsidRPr="004D64AF" w:rsidRDefault="004D64AF" w:rsidP="004D64AF">
      <w:pPr>
        <w:pStyle w:val="references"/>
        <w:rPr>
          <w:lang w:val="en-VN"/>
        </w:rPr>
      </w:pPr>
      <w:bookmarkStart w:id="24"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1" w:history="1">
        <w:r w:rsidRPr="00061589">
          <w:rPr>
            <w:rStyle w:val="Hyperlink"/>
            <w:lang w:val="en-VN"/>
          </w:rPr>
          <w:t>http://proceedings.mlr.press/v5/salakhutdinov09a.htm</w:t>
        </w:r>
        <w:r w:rsidRPr="00061589">
          <w:rPr>
            <w:rStyle w:val="Hyperlink"/>
            <w:lang w:val="vi-VN"/>
          </w:rPr>
          <w:t>l</w:t>
        </w:r>
      </w:hyperlink>
      <w:bookmarkEnd w:id="24"/>
    </w:p>
    <w:p w14:paraId="4D7B457B" w14:textId="77777777" w:rsidR="004D64AF" w:rsidRDefault="004D64AF" w:rsidP="004D64AF">
      <w:pPr>
        <w:pStyle w:val="references"/>
        <w:rPr>
          <w:lang w:val="en-VN"/>
        </w:rPr>
      </w:pPr>
      <w:bookmarkStart w:id="25"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5"/>
    </w:p>
    <w:p w14:paraId="0481DC6C" w14:textId="77777777" w:rsidR="004D64AF" w:rsidRDefault="004D64AF" w:rsidP="004D64AF">
      <w:pPr>
        <w:pStyle w:val="references"/>
        <w:rPr>
          <w:lang w:val="en-VN"/>
        </w:rPr>
      </w:pPr>
      <w:bookmarkStart w:id="26" w:name="_Ref98941244"/>
      <w:r w:rsidRPr="004D64AF">
        <w:rPr>
          <w:lang w:val="en-VN"/>
        </w:rPr>
        <w:t>D. P. Kingma and M. Welling, “Auto-Encoding Variational Bayes,” in 2nd Int. Conf. on Learning Representations, ICLR 2014, Banff, AB, Canada, April 14-16, 2014, Conference Track Proceedings, 2014.</w:t>
      </w:r>
      <w:bookmarkEnd w:id="26"/>
    </w:p>
    <w:p w14:paraId="5C9FE978" w14:textId="77777777" w:rsidR="004D64AF" w:rsidRDefault="004D64AF" w:rsidP="004D64AF">
      <w:pPr>
        <w:pStyle w:val="references"/>
        <w:rPr>
          <w:lang w:val="en-VN"/>
        </w:rPr>
      </w:pPr>
      <w:bookmarkStart w:id="27" w:name="_Ref98941264"/>
      <w:r w:rsidRPr="004D64AF">
        <w:rPr>
          <w:lang w:val="en-VN"/>
        </w:rPr>
        <w:t>Y. LeCun and Y. Bengio, Convolutional Networks for Images, Speech, and Time Series. Cambridge, MA, USA: MIT Press, 1998, p. 255–258.</w:t>
      </w:r>
      <w:bookmarkEnd w:id="27"/>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8"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8"/>
    </w:p>
    <w:p w14:paraId="1CB0234D" w14:textId="50EDAEE8" w:rsidR="003F0014" w:rsidRDefault="003F0014" w:rsidP="003F0014">
      <w:pPr>
        <w:pStyle w:val="references"/>
        <w:rPr>
          <w:lang w:val="en-VN"/>
        </w:rPr>
      </w:pPr>
      <w:bookmarkStart w:id="29" w:name="_Ref98941295"/>
      <w:r w:rsidRPr="003F0014">
        <w:rPr>
          <w:lang w:val="en-VN"/>
        </w:rPr>
        <w:t xml:space="preserve">W. Liu, Z. Wang, X. Liu, N. Zeng, Y. Liu, and F. E. Alsaadi, “A survey of deep neural network architectures and their applications,” Neurocomputing, vol. 234, pp. 11–26, 2017. [Online]. Available: </w:t>
      </w:r>
      <w:hyperlink r:id="rId22" w:history="1">
        <w:r w:rsidRPr="00061589">
          <w:rPr>
            <w:rStyle w:val="Hyperlink"/>
            <w:lang w:val="en-VN"/>
          </w:rPr>
          <w:t>https://www.sciencedirect.com/science/article/pii/S0925231216315533</w:t>
        </w:r>
      </w:hyperlink>
      <w:bookmarkEnd w:id="29"/>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3"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0" w:name="_Ref98941297"/>
      <w:r w:rsidRPr="003F0014">
        <w:rPr>
          <w:lang w:val="en-VN"/>
        </w:rPr>
        <w:t xml:space="preserve">S. Dong, P. Wang, and K. Abbas, “A survey on deep learning and its applications,” Computer Science Review, vol. 40, p. 100379, 2021. [Online]. Available: </w:t>
      </w:r>
      <w:hyperlink r:id="rId24" w:history="1">
        <w:r w:rsidRPr="00061589">
          <w:rPr>
            <w:rStyle w:val="Hyperlink"/>
            <w:lang w:val="en-VN"/>
          </w:rPr>
          <w:t>https://www.sciencedirect.com/science/article/pii/S1574013721000198</w:t>
        </w:r>
      </w:hyperlink>
      <w:bookmarkEnd w:id="30"/>
    </w:p>
    <w:p w14:paraId="5A527EE3" w14:textId="0B198366" w:rsidR="003F0014" w:rsidRDefault="003F0014" w:rsidP="003F0014">
      <w:pPr>
        <w:pStyle w:val="references"/>
        <w:rPr>
          <w:lang w:val="en-VN"/>
        </w:rPr>
      </w:pPr>
      <w:bookmarkStart w:id="31"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5" w:history="1">
        <w:r w:rsidRPr="00061589">
          <w:rPr>
            <w:rStyle w:val="Hyperlink"/>
            <w:lang w:val="en-VN"/>
          </w:rPr>
          <w:t>https://www.aclweb.org/anthology/C12-2104</w:t>
        </w:r>
      </w:hyperlink>
      <w:bookmarkEnd w:id="31"/>
    </w:p>
    <w:p w14:paraId="69F51317" w14:textId="673ABE31" w:rsidR="003F0014" w:rsidRDefault="003F0014" w:rsidP="003F0014">
      <w:pPr>
        <w:pStyle w:val="references"/>
        <w:rPr>
          <w:lang w:val="en-VN"/>
        </w:rPr>
      </w:pPr>
      <w:bookmarkStart w:id="32" w:name="_Ref98941330"/>
      <w:r w:rsidRPr="003F0014">
        <w:rPr>
          <w:lang w:val="en-VN"/>
        </w:rPr>
        <w:t xml:space="preserve">L. Dong, F. Wei, K. Xu, S. Liu, and M. Zhou, “Adaptive multi-compositionality for recursive neural network models,” IEEE/ACM Trans. Audio, Speech and Lang. Proc., vol. 24, no. 3, p. 422–431, Mar. </w:t>
      </w:r>
      <w:r w:rsidRPr="003F0014">
        <w:rPr>
          <w:lang w:val="en-VN"/>
        </w:rPr>
        <w:t xml:space="preserve">2016. [Online]. Available: </w:t>
      </w:r>
      <w:hyperlink r:id="rId26" w:history="1">
        <w:r w:rsidRPr="00061589">
          <w:rPr>
            <w:rStyle w:val="Hyperlink"/>
            <w:lang w:val="en-VN"/>
          </w:rPr>
          <w:t>https://doi.org/10.1109/TASLP.2015.2509257</w:t>
        </w:r>
      </w:hyperlink>
      <w:bookmarkEnd w:id="32"/>
    </w:p>
    <w:p w14:paraId="6D3B9E2C" w14:textId="232FF0ED" w:rsidR="003F0014" w:rsidRDefault="003F0014" w:rsidP="003F0014">
      <w:pPr>
        <w:pStyle w:val="references"/>
        <w:rPr>
          <w:lang w:val="en-VN"/>
        </w:rPr>
      </w:pPr>
      <w:bookmarkStart w:id="33"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3"/>
    </w:p>
    <w:p w14:paraId="70674FB2" w14:textId="4D7CC99B" w:rsidR="003F0014" w:rsidRDefault="003F0014" w:rsidP="003F0014">
      <w:pPr>
        <w:pStyle w:val="references"/>
        <w:rPr>
          <w:lang w:val="en-VN"/>
        </w:rPr>
      </w:pPr>
      <w:bookmarkStart w:id="34"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7" w:history="1">
        <w:r w:rsidRPr="00061589">
          <w:rPr>
            <w:rStyle w:val="Hyperlink"/>
            <w:lang w:val="en-VN"/>
          </w:rPr>
          <w:t>https://doi.org/10.1016/j.csl.2016.06.007</w:t>
        </w:r>
      </w:hyperlink>
      <w:bookmarkEnd w:id="34"/>
    </w:p>
    <w:p w14:paraId="6B256299" w14:textId="77777777" w:rsidR="003F0014" w:rsidRDefault="003F0014" w:rsidP="003F0014">
      <w:pPr>
        <w:pStyle w:val="references"/>
        <w:rPr>
          <w:lang w:val="en-VN"/>
        </w:rPr>
      </w:pPr>
      <w:bookmarkStart w:id="35"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5"/>
    </w:p>
    <w:p w14:paraId="20FA880A" w14:textId="77777777" w:rsidR="003F0014" w:rsidRDefault="003F0014" w:rsidP="003F0014">
      <w:pPr>
        <w:pStyle w:val="references"/>
        <w:rPr>
          <w:lang w:val="en-VN"/>
        </w:rPr>
      </w:pPr>
      <w:bookmarkStart w:id="36"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6"/>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8"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9"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7"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30" w:history="1">
        <w:r w:rsidRPr="00061589">
          <w:rPr>
            <w:rStyle w:val="Hyperlink"/>
            <w:lang w:val="en-VN"/>
          </w:rPr>
          <w:t>https://www.sciencedirect.com/science/article/pii/S0031320317304120</w:t>
        </w:r>
      </w:hyperlink>
      <w:bookmarkEnd w:id="37"/>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1"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2"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3"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8"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4" w:history="1">
        <w:r w:rsidRPr="00061589">
          <w:rPr>
            <w:rStyle w:val="Hyperlink"/>
            <w:lang w:val="en-VN"/>
          </w:rPr>
          <w:t>https://onlinelibrary.wiley.com/doi/abs/10.1002/rob.21918</w:t>
        </w:r>
      </w:hyperlink>
      <w:bookmarkEnd w:id="38"/>
    </w:p>
    <w:p w14:paraId="50ABC02F" w14:textId="43C8AD38" w:rsidR="002B0C49" w:rsidRPr="002B0C49" w:rsidRDefault="002B0C49" w:rsidP="002B0C49">
      <w:pPr>
        <w:pStyle w:val="references"/>
        <w:rPr>
          <w:lang w:val="en-VN"/>
        </w:rPr>
      </w:pPr>
      <w:bookmarkStart w:id="39"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39"/>
    </w:p>
    <w:p w14:paraId="1868C157" w14:textId="77777777" w:rsidR="002B0C49" w:rsidRDefault="002B0C49" w:rsidP="002B0C49">
      <w:pPr>
        <w:pStyle w:val="references"/>
        <w:rPr>
          <w:lang w:val="en-VN"/>
        </w:rPr>
      </w:pPr>
      <w:r w:rsidRPr="002B0C49">
        <w:rPr>
          <w:lang w:val="en-VN"/>
        </w:rPr>
        <w:lastRenderedPageBreak/>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5"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0"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0"/>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5D059F32" w14:textId="2C4DBE07" w:rsidR="00356E6F" w:rsidRPr="003F0014" w:rsidRDefault="00356E6F" w:rsidP="003F0014">
      <w:pPr>
        <w:pStyle w:val="references"/>
        <w:rPr>
          <w:lang w:val="en-VN"/>
        </w:rPr>
      </w:pPr>
    </w:p>
    <w:p w14:paraId="638F154C" w14:textId="77777777" w:rsidR="005710F8" w:rsidRDefault="005710F8" w:rsidP="00AE4D4F">
      <w:pPr>
        <w:pStyle w:val="references"/>
        <w:numPr>
          <w:ilvl w:val="0"/>
          <w:numId w:val="0"/>
        </w:numPr>
        <w:ind w:start="18pt" w:hanging="18pt"/>
        <w:rPr>
          <w:lang w:val="en-VN"/>
        </w:rPr>
      </w:pPr>
    </w:p>
    <w:p w14:paraId="16CB1FCD" w14:textId="1D47B8F3" w:rsidR="00AE4D4F" w:rsidRPr="00AE4D4F" w:rsidRDefault="00AE4D4F" w:rsidP="00AE4D4F">
      <w:pPr>
        <w:pStyle w:val="references"/>
        <w:numPr>
          <w:ilvl w:val="0"/>
          <w:numId w:val="0"/>
        </w:numPr>
        <w:ind w:start="18pt" w:hanging="18pt"/>
        <w:rPr>
          <w:lang w:val="en-VN"/>
        </w:rPr>
        <w:sectPr w:rsidR="00AE4D4F" w:rsidRPr="00AE4D4F" w:rsidSect="003B4E04">
          <w:type w:val="continuous"/>
          <w:pgSz w:w="595.30pt" w:h="841.90pt" w:code="9"/>
          <w:pgMar w:top="54pt" w:right="45.35pt" w:bottom="72pt" w:left="45.35pt" w:header="36pt" w:footer="36pt" w:gutter="0pt"/>
          <w:cols w:num="2" w:space="18pt"/>
          <w:docGrid w:linePitch="360"/>
        </w:sectPr>
      </w:pP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185E49" w14:textId="77777777" w:rsidR="00352DF1" w:rsidRDefault="00352DF1" w:rsidP="001A3B3D">
      <w:r>
        <w:separator/>
      </w:r>
    </w:p>
  </w:endnote>
  <w:endnote w:type="continuationSeparator" w:id="0">
    <w:p w14:paraId="207FAAE9" w14:textId="77777777" w:rsidR="00352DF1" w:rsidRDefault="00352D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988C8A" w14:textId="77777777" w:rsidR="00352DF1" w:rsidRDefault="00352DF1" w:rsidP="001A3B3D">
      <w:r>
        <w:separator/>
      </w:r>
    </w:p>
  </w:footnote>
  <w:footnote w:type="continuationSeparator" w:id="0">
    <w:p w14:paraId="4D617D99" w14:textId="77777777" w:rsidR="00352DF1" w:rsidRDefault="00352DF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1"/>
  </w:num>
  <w:num w:numId="33">
    <w:abstractNumId w:val="25"/>
  </w:num>
  <w:num w:numId="34">
    <w:abstractNumId w:val="22"/>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B0162"/>
    <w:rsid w:val="000C1E68"/>
    <w:rsid w:val="000C2AA4"/>
    <w:rsid w:val="000C4D47"/>
    <w:rsid w:val="000E47BA"/>
    <w:rsid w:val="00125927"/>
    <w:rsid w:val="001259B8"/>
    <w:rsid w:val="00166E71"/>
    <w:rsid w:val="00167508"/>
    <w:rsid w:val="001A2EFD"/>
    <w:rsid w:val="001A3B3D"/>
    <w:rsid w:val="001B4199"/>
    <w:rsid w:val="001B67DC"/>
    <w:rsid w:val="00202C71"/>
    <w:rsid w:val="00207220"/>
    <w:rsid w:val="002254A9"/>
    <w:rsid w:val="00233D97"/>
    <w:rsid w:val="002347A2"/>
    <w:rsid w:val="0024797D"/>
    <w:rsid w:val="002553EF"/>
    <w:rsid w:val="00256545"/>
    <w:rsid w:val="00265AE2"/>
    <w:rsid w:val="00281171"/>
    <w:rsid w:val="002850E3"/>
    <w:rsid w:val="002B0C49"/>
    <w:rsid w:val="002B6CD6"/>
    <w:rsid w:val="002B7546"/>
    <w:rsid w:val="002D6895"/>
    <w:rsid w:val="00304AFC"/>
    <w:rsid w:val="00306923"/>
    <w:rsid w:val="00321DA2"/>
    <w:rsid w:val="00325A58"/>
    <w:rsid w:val="00333ECE"/>
    <w:rsid w:val="00340ED3"/>
    <w:rsid w:val="00352DF1"/>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432BA"/>
    <w:rsid w:val="0044407E"/>
    <w:rsid w:val="00447BB9"/>
    <w:rsid w:val="00450461"/>
    <w:rsid w:val="0046031D"/>
    <w:rsid w:val="00461C91"/>
    <w:rsid w:val="004736A8"/>
    <w:rsid w:val="00473AC9"/>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6B66"/>
    <w:rsid w:val="006F6D3D"/>
    <w:rsid w:val="0071348D"/>
    <w:rsid w:val="00715BE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716B"/>
    <w:rsid w:val="009159A1"/>
    <w:rsid w:val="009303D9"/>
    <w:rsid w:val="00933C64"/>
    <w:rsid w:val="00954FD7"/>
    <w:rsid w:val="00972203"/>
    <w:rsid w:val="009E4CBD"/>
    <w:rsid w:val="009F1D79"/>
    <w:rsid w:val="009F4466"/>
    <w:rsid w:val="00A059B3"/>
    <w:rsid w:val="00A115BE"/>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3DFB"/>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F3F4D"/>
    <w:rsid w:val="00D2176E"/>
    <w:rsid w:val="00D34346"/>
    <w:rsid w:val="00D5588B"/>
    <w:rsid w:val="00D632BE"/>
    <w:rsid w:val="00D72D06"/>
    <w:rsid w:val="00D7522C"/>
    <w:rsid w:val="00D7536F"/>
    <w:rsid w:val="00D76668"/>
    <w:rsid w:val="00D768BB"/>
    <w:rsid w:val="00D829CF"/>
    <w:rsid w:val="00DA553C"/>
    <w:rsid w:val="00DA57B5"/>
    <w:rsid w:val="00E07383"/>
    <w:rsid w:val="00E165BC"/>
    <w:rsid w:val="00E5552A"/>
    <w:rsid w:val="00E578D6"/>
    <w:rsid w:val="00E61E12"/>
    <w:rsid w:val="00E7596C"/>
    <w:rsid w:val="00E768A4"/>
    <w:rsid w:val="00E83A92"/>
    <w:rsid w:val="00E878D3"/>
    <w:rsid w:val="00E878F2"/>
    <w:rsid w:val="00EB1760"/>
    <w:rsid w:val="00ED0149"/>
    <w:rsid w:val="00ED06A2"/>
    <w:rsid w:val="00ED25A6"/>
    <w:rsid w:val="00EE578D"/>
    <w:rsid w:val="00EF7DE3"/>
    <w:rsid w:val="00F03103"/>
    <w:rsid w:val="00F166E8"/>
    <w:rsid w:val="00F271DE"/>
    <w:rsid w:val="00F35845"/>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github.com/yalesong/tvsum" TargetMode="External"/><Relationship Id="rId26" Type="http://purl.oclc.org/ooxml/officeDocument/relationships/hyperlink" Target="https://doi.org/10.1109/TASLP.2015.2509257" TargetMode="External"/><Relationship Id="rId21" Type="http://purl.oclc.org/ooxml/officeDocument/relationships/hyperlink" Target="http://proceedings.mlr.press/v5/salakhutdinov09a.html" TargetMode="External"/><Relationship Id="rId34" Type="http://purl.oclc.org/ooxml/officeDocument/relationships/hyperlink" Target="https://onlinelibrary.wiley.com/doi/abs/10.1002/rob.21918" TargetMode="External"/><Relationship Id="rId7" Type="http://purl.oclc.org/ooxml/officeDocument/relationships/endnotes" Target="endnotes.xml"/><Relationship Id="rId12" Type="http://schemas.microsoft.com/office/2007/relationships/hdphoto" Target="media/hdphoto1.wdp"/><Relationship Id="rId17" Type="http://purl.oclc.org/ooxml/officeDocument/relationships/hyperlink" Target="https://gyglim.github.io/me/" TargetMode="External"/><Relationship Id="rId25" Type="http://purl.oclc.org/ooxml/officeDocument/relationships/hyperlink" Target="https://www.aclweb.org/anthology/C12-2104" TargetMode="External"/><Relationship Id="rId33" Type="http://purl.oclc.org/ooxml/officeDocument/relationships/hyperlink" Target="https://www.frontiersin.org/article/10.3389/fnins.2020.00779" TargetMode="External"/><Relationship Id="rId2" Type="http://purl.oclc.org/ooxml/officeDocument/relationships/numbering" Target="numbering.xml"/><Relationship Id="rId16" Type="http://purl.oclc.org/ooxml/officeDocument/relationships/hyperlink" Target="https://www.sciencedirect.com/science/article/pii/S0031320320304805" TargetMode="External"/><Relationship Id="rId20" Type="http://purl.oclc.org/ooxml/officeDocument/relationships/hyperlink" Target="https://doi.org/10.1145/1273496.1273596" TargetMode="External"/><Relationship Id="rId29" Type="http://purl.oclc.org/ooxml/officeDocument/relationships/hyperlink" Target="https://doi.org/10.1145/2647868.265491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sciencedirect.com/science/article/pii/S1574013721000198" TargetMode="External"/><Relationship Id="rId32" Type="http://purl.oclc.org/ooxml/officeDocument/relationships/hyperlink" Target="https://www.sciencedirect.com/science/article/pii/S1574013720304172"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hyperlink" Target="https://doi.org/10.1007/s11042-020-10293-x" TargetMode="External"/><Relationship Id="rId23" Type="http://purl.oclc.org/ooxml/officeDocument/relationships/hyperlink" Target="https://doi.org/10.1145/3234150" TargetMode="External"/><Relationship Id="rId28" Type="http://purl.oclc.org/ooxml/officeDocument/relationships/hyperlink" Target="http://arxiv.org/abs/1409.1556" TargetMode="External"/><Relationship Id="rId36" Type="http://purl.oclc.org/ooxml/officeDocument/relationships/fontTable" Target="fontTable.xml"/><Relationship Id="rId10" Type="http://purl.oclc.org/ooxml/officeDocument/relationships/image" Target="media/image1.jpeg"/><Relationship Id="rId19" Type="http://purl.oclc.org/ooxml/officeDocument/relationships/hyperlink" Target="https://doi.org/10.1162/neco.2006.18.7.1527" TargetMode="External"/><Relationship Id="rId31" Type="http://purl.oclc.org/ooxml/officeDocument/relationships/hyperlink" Target="https://www.sciencedirect.com/science/article/pii/S08936080193013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hyperlink" Target="https://www.sciencedirect.com/science/article/pii/S0925231216315533" TargetMode="External"/><Relationship Id="rId27" Type="http://purl.oclc.org/ooxml/officeDocument/relationships/hyperlink" Target="https://doi.org/10.1016/j.csl.2016.06.007" TargetMode="External"/><Relationship Id="rId30" Type="http://purl.oclc.org/ooxml/officeDocument/relationships/hyperlink" Target="https://www.sciencedirect.com/science/article/pii/S0031320317304120" TargetMode="External"/><Relationship Id="rId35" Type="http://purl.oclc.org/ooxml/officeDocument/relationships/hyperlink" Target="https://proceedings.neurips.cc/paper/2013/file/3871bd64012152bfb53fdf04b401193f-Pa" TargetMode="External"/><Relationship Id="rId8" Type="http://purl.oclc.org/ooxml/officeDocument/relationships/header" Target="head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330</TotalTime>
  <Pages>10</Pages>
  <Words>9577</Words>
  <Characters>54589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23</cp:revision>
  <dcterms:created xsi:type="dcterms:W3CDTF">2022-03-14T07:55:00Z</dcterms:created>
  <dcterms:modified xsi:type="dcterms:W3CDTF">2022-04-03T07:26:00Z</dcterms:modified>
</cp:coreProperties>
</file>