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湖北粮油绿色高产补贴示例</w:t>
      </w:r>
    </w:p>
    <w:p>
      <w:r>
        <w:t>适用对象：种植户、合作社、家庭农场。</w:t>
      </w:r>
    </w:p>
    <w:p>
      <w:r>
        <w:t>面积要求：50亩及以上。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