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1a2e"/>
          <w:sz w:val="40"/>
          <w:szCs w:val="40"/>
        </w:rPr>
        <w:t xml:space="preserve">Lithium in Primary Care</w:t>
      </w:r>
    </w:p>
    <w:p>
      <w:pPr>
        <w:spacing w:after="600" w:before="0"/>
        <w:jc w:val="center"/>
      </w:pPr>
      <w:r>
        <w:rPr>
          <w:rFonts w:ascii="Arial" w:cs="Arial" w:eastAsia="Arial" w:hAnsi="Arial"/>
          <w:i/>
          <w:iCs/>
          <w:color w:val="666666"/>
          <w:sz w:val="24"/>
          <w:szCs w:val="24"/>
        </w:rPr>
        <w:t xml:space="preserve">The Heart of the Argument — Spoken Narrative</w:t>
      </w:r>
    </w:p>
    <w:p>
      <w:pPr>
        <w:pStyle w:val="Heading1"/>
        <w:spacing w:after="160" w:before="480"/>
      </w:pPr>
      <w:r>
        <w:rPr>
          <w:rFonts w:ascii="Arial" w:cs="Arial" w:eastAsia="Arial" w:hAnsi="Arial"/>
          <w:b/>
          <w:bCs/>
          <w:color w:val="1a1a2e"/>
          <w:sz w:val="28"/>
          <w:szCs w:val="28"/>
        </w:rPr>
        <w:t xml:space="preserve">Personal Disclosure</w:t>
      </w:r>
    </w:p>
    <w:p>
      <w:pPr>
        <w:spacing w:after="80" w:before="80"/>
      </w:pPr>
      <w:r>
        <w:rPr>
          <w:rFonts w:ascii="Arial" w:cs="Arial" w:eastAsia="Arial" w:hAnsi="Arial"/>
          <w:i/>
          <w:iCs/>
          <w:color w:val="888888"/>
          <w:sz w:val="20"/>
          <w:szCs w:val="20"/>
        </w:rPr>
        <w:t xml:space="preserve">[Opening title slide]</w:t>
      </w:r>
    </w:p>
    <w:p>
      <w:pPr>
        <w:spacing w:after="200" w:before="0"/>
        <w:jc w:val="left"/>
      </w:pPr>
      <w:r>
        <w:rPr>
          <w:rFonts w:ascii="Georgia" w:cs="Georgia" w:eastAsia="Georgia" w:hAnsi="Georgia"/>
          <w:color w:val="000000"/>
          <w:sz w:val="24"/>
          <w:szCs w:val="24"/>
        </w:rPr>
        <w:t xml:space="preserve">What I’m offering today is a framework — my lens, shaped by many sources and a lot of clinical time. I’ve tried to synthesize honestly. But I am just one voice — I hope you will seek out others.</w:t>
      </w:r>
    </w:p>
    <w:p>
      <w:pPr>
        <w:spacing w:after="200" w:before="0"/>
        <w:jc w:val="left"/>
      </w:pPr>
      <w:r>
        <w:rPr>
          <w:rFonts w:ascii="Georgia" w:cs="Georgia" w:eastAsia="Georgia" w:hAnsi="Georgia"/>
          <w:color w:val="000000"/>
          <w:sz w:val="24"/>
          <w:szCs w:val="24"/>
        </w:rPr>
        <w:t xml:space="preserve">I am not about to come here and tell you that everyone should take lithium, nor will it work in every case. But when Dr. Stephen Pinals spoke here seven years ago and said that primary care should be prescribing lithium, I was dumbfounded and did not agree. But I have changed my mind. And now, I am hoping to change yours.</w:t>
      </w:r>
    </w:p>
    <w:p>
      <w:pPr>
        <w:pStyle w:val="Heading1"/>
        <w:spacing w:after="160" w:before="480"/>
      </w:pPr>
      <w:r>
        <w:rPr>
          <w:rFonts w:ascii="Arial" w:cs="Arial" w:eastAsia="Arial" w:hAnsi="Arial"/>
          <w:b/>
          <w:bCs/>
          <w:color w:val="1a1a2e"/>
          <w:sz w:val="28"/>
          <w:szCs w:val="28"/>
        </w:rPr>
        <w:t xml:space="preserve">Why This Matters — The Math of TRD</w:t>
      </w:r>
    </w:p>
    <w:p>
      <w:pPr>
        <w:spacing w:after="200" w:before="0"/>
        <w:jc w:val="left"/>
      </w:pPr>
      <w:r>
        <w:rPr>
          <w:rFonts w:ascii="Georgia" w:cs="Georgia" w:eastAsia="Georgia" w:hAnsi="Georgia"/>
          <w:color w:val="000000"/>
          <w:sz w:val="24"/>
          <w:szCs w:val="24"/>
        </w:rPr>
        <w:t xml:space="preserve">Treatment-resistant depression — TRD — is common. Too many to refer them all out.</w:t>
      </w:r>
    </w:p>
    <w:p>
      <w:pPr>
        <w:spacing w:after="200" w:before="0"/>
        <w:jc w:val="left"/>
      </w:pPr>
      <w:r>
        <w:rPr>
          <w:rFonts w:ascii="Georgia" w:cs="Georgia" w:eastAsia="Georgia" w:hAnsi="Georgia"/>
          <w:color w:val="000000"/>
          <w:sz w:val="24"/>
          <w:szCs w:val="24"/>
        </w:rPr>
        <w:t xml:space="preserve">After the patient — a person — has done all that they can do with lifestyle, when we have documented failure, harm, or only partial relief from adequate SSRI trials, there are four evidence-based treatments that stand apart.</w:t>
      </w:r>
    </w:p>
    <w:p>
      <w:pPr>
        <w:spacing w:after="200" w:before="0"/>
        <w:jc w:val="left"/>
      </w:pPr>
      <w:r>
        <w:rPr>
          <w:rFonts w:ascii="Georgia" w:cs="Georgia" w:eastAsia="Georgia" w:hAnsi="Georgia"/>
          <w:color w:val="000000"/>
          <w:sz w:val="24"/>
          <w:szCs w:val="24"/>
        </w:rPr>
        <w:t xml:space="preserve">In his book “Difficult to Treat Depression,” Dr. Chris Aiken identifies lithium as one of those options. When I last spoke, I suggested aripiprazole in low dose for antidepressant augmentation. And although we may now be more comfortable with second-generation antipsychotics like aripiprazole and lurasidone, I will present data today that I hope will cause you to add lithium to your toolbox.</w:t>
      </w:r>
    </w:p>
    <w:p>
      <w:pPr>
        <w:spacing w:after="200" w:before="0"/>
        <w:jc w:val="left"/>
      </w:pPr>
      <w:r>
        <w:rPr>
          <w:rFonts w:ascii="Georgia" w:cs="Georgia" w:eastAsia="Georgia" w:hAnsi="Georgia"/>
          <w:color w:val="000000"/>
          <w:sz w:val="24"/>
          <w:szCs w:val="24"/>
        </w:rPr>
        <w:t xml:space="preserve">The other two strategies — ketamine and pramipexole — are less studied, and ketamine is far less accessible in most primary care settings.</w:t>
      </w:r>
    </w:p>
    <w:p>
      <w:pPr>
        <w:spacing w:after="200" w:before="0"/>
        <w:jc w:val="left"/>
      </w:pPr>
      <w:r>
        <w:rPr>
          <w:rFonts w:ascii="Georgia" w:cs="Georgia" w:eastAsia="Georgia" w:hAnsi="Georgia"/>
          <w:color w:val="000000"/>
          <w:sz w:val="24"/>
          <w:szCs w:val="24"/>
        </w:rPr>
        <w:t xml:space="preserve">Notably, starting a third or fourth SSRI is not among the top approaches — and the evidence suggests it may cause harm. Lithium has unique advantages, and its risks are both overestimated and not properly understood within the context of its effectiveness.</w:t>
      </w:r>
    </w:p>
    <w:p>
      <w:pPr>
        <w:spacing w:after="200" w:before="0"/>
        <w:jc w:val="left"/>
      </w:pPr>
      <w:r>
        <w:rPr>
          <w:rFonts w:ascii="Georgia" w:cs="Georgia" w:eastAsia="Georgia" w:hAnsi="Georgia"/>
          <w:color w:val="000000"/>
          <w:sz w:val="24"/>
          <w:szCs w:val="24"/>
        </w:rPr>
        <w:t xml:space="preserve">SSRIs work for about one in three people. We know this because we offer them to many people and a certain percentage get better. Lithium works 30 to 60 percent of the time in TRD depending on the person — but again, we would need to offer and trial lithium to see who might respond. The number of people who could benefit is large — too large to refer them all. I suggest we should be able to inform our patients and make the offer within primary care for appropriate patients.</w:t>
      </w:r>
    </w:p>
    <w:p>
      <w:pPr>
        <w:spacing w:after="80" w:before="80"/>
      </w:pPr>
      <w:r>
        <w:rPr>
          <w:rFonts w:ascii="Arial" w:cs="Arial" w:eastAsia="Arial" w:hAnsi="Arial"/>
          <w:i/>
          <w:iCs/>
          <w:color w:val="888888"/>
          <w:sz w:val="20"/>
          <w:szCs w:val="20"/>
        </w:rPr>
        <w:t xml:space="preserve">[Population percentages slide]</w:t>
      </w:r>
    </w:p>
    <w:p>
      <w:pPr>
        <w:spacing w:after="80" w:before="80"/>
      </w:pPr>
      <w:r>
        <w:rPr>
          <w:rFonts w:ascii="Arial" w:cs="Arial" w:eastAsia="Arial" w:hAnsi="Arial"/>
          <w:i/>
          <w:iCs/>
          <w:color w:val="888888"/>
          <w:sz w:val="20"/>
          <w:szCs w:val="20"/>
        </w:rPr>
        <w:t xml:space="preserve">[NNT and strength of evidence slides]</w:t>
      </w:r>
    </w:p>
    <w:p>
      <w:pPr>
        <w:spacing w:after="80" w:before="80"/>
      </w:pPr>
      <w:r>
        <w:rPr>
          <w:rFonts w:ascii="Arial" w:cs="Arial" w:eastAsia="Arial" w:hAnsi="Arial"/>
          <w:i/>
          <w:iCs/>
          <w:color w:val="888888"/>
          <w:sz w:val="20"/>
          <w:szCs w:val="20"/>
        </w:rPr>
        <w:t xml:space="preserve">[Risk of re-hospitalization slide]</w:t>
      </w:r>
    </w:p>
    <w:p>
      <w:pPr>
        <w:spacing w:after="80" w:before="80"/>
      </w:pPr>
      <w:r>
        <w:rPr>
          <w:rFonts w:ascii="Arial" w:cs="Arial" w:eastAsia="Arial" w:hAnsi="Arial"/>
          <w:i/>
          <w:iCs/>
          <w:color w:val="888888"/>
          <w:sz w:val="20"/>
          <w:szCs w:val="20"/>
        </w:rPr>
        <w:t xml:space="preserve">[Study design slide]</w:t>
      </w:r>
    </w:p>
    <w:p>
      <w:pPr>
        <w:pStyle w:val="Heading1"/>
        <w:spacing w:after="160" w:before="480"/>
      </w:pPr>
      <w:r>
        <w:rPr>
          <w:rFonts w:ascii="Arial" w:cs="Arial" w:eastAsia="Arial" w:hAnsi="Arial"/>
          <w:b/>
          <w:bCs/>
          <w:color w:val="1a1a2e"/>
          <w:sz w:val="28"/>
          <w:szCs w:val="28"/>
        </w:rPr>
        <w:t xml:space="preserve">The Evidence — Bubble Chart Slides</w:t>
      </w:r>
    </w:p>
    <w:p>
      <w:pPr>
        <w:spacing w:after="200" w:before="0"/>
        <w:jc w:val="left"/>
      </w:pPr>
      <w:r>
        <w:rPr>
          <w:rFonts w:ascii="Georgia" w:cs="Georgia" w:eastAsia="Georgia" w:hAnsi="Georgia"/>
          <w:color w:val="000000"/>
          <w:sz w:val="24"/>
          <w:szCs w:val="24"/>
        </w:rPr>
        <w:t xml:space="preserve">Here is some of the data for the four strategies in TRD. I also added TMS and vortioxetine. TMS has data. The vortioxetine is unfairly placed here because the studies are not for TRD, just for “regular” depression. However, because many use it in this fashion, I put it here — although it may not look as good in TRD populations.</w:t>
      </w:r>
    </w:p>
    <w:p>
      <w:pPr>
        <w:spacing w:after="80" w:before="80"/>
      </w:pPr>
      <w:r>
        <w:rPr>
          <w:rFonts w:ascii="Arial" w:cs="Arial" w:eastAsia="Arial" w:hAnsi="Arial"/>
          <w:i/>
          <w:iCs/>
          <w:color w:val="888888"/>
          <w:sz w:val="20"/>
          <w:szCs w:val="20"/>
        </w:rPr>
        <w:t xml:space="preserve">[Bubble chart slide — patient years]</w:t>
      </w:r>
    </w:p>
    <w:p>
      <w:pPr>
        <w:spacing w:after="200" w:before="0"/>
        <w:jc w:val="left"/>
      </w:pPr>
      <w:r>
        <w:rPr>
          <w:rFonts w:ascii="Georgia" w:cs="Georgia" w:eastAsia="Georgia" w:hAnsi="Georgia"/>
          <w:color w:val="000000"/>
          <w:sz w:val="24"/>
          <w:szCs w:val="24"/>
        </w:rPr>
        <w:t xml:space="preserve">The bubbles in the chart are in patient years. For a response or remission, at first glance SGAs look good. As do pramipexole, ketamine, and TMS.</w:t>
      </w:r>
    </w:p>
    <w:p>
      <w:pPr>
        <w:spacing w:after="200" w:before="0"/>
        <w:jc w:val="left"/>
      </w:pPr>
      <w:r>
        <w:rPr>
          <w:rFonts w:ascii="Georgia" w:cs="Georgia" w:eastAsia="Georgia" w:hAnsi="Georgia"/>
          <w:color w:val="000000"/>
          <w:sz w:val="24"/>
          <w:szCs w:val="24"/>
        </w:rPr>
        <w:t xml:space="preserve">Lithium has a solid signal, but it does not look like the better choice here. The third SSRI requires quite a few people to take the medicine before one person gets better.</w:t>
      </w:r>
    </w:p>
    <w:p>
      <w:pPr>
        <w:spacing w:after="80" w:before="80"/>
      </w:pPr>
      <w:r>
        <w:rPr>
          <w:rFonts w:ascii="Arial" w:cs="Arial" w:eastAsia="Arial" w:hAnsi="Arial"/>
          <w:i/>
          <w:iCs/>
          <w:color w:val="888888"/>
          <w:sz w:val="20"/>
          <w:szCs w:val="20"/>
        </w:rPr>
        <w:t xml:space="preserve">[Toggle to onset]</w:t>
      </w:r>
    </w:p>
    <w:p>
      <w:pPr>
        <w:spacing w:after="200" w:before="0"/>
        <w:jc w:val="left"/>
      </w:pPr>
      <w:r>
        <w:rPr>
          <w:rFonts w:ascii="Georgia" w:cs="Georgia" w:eastAsia="Georgia" w:hAnsi="Georgia"/>
          <w:color w:val="000000"/>
          <w:sz w:val="24"/>
          <w:szCs w:val="24"/>
        </w:rPr>
        <w:t xml:space="preserve">SGAs also have a fairly rapid onset. The speed of onset is one of the reasons I suggested a medication like lurasidone in an earlier talk for acute severe depression. And ketamine and TMS both have rapid responses.</w:t>
      </w:r>
    </w:p>
    <w:p>
      <w:pPr>
        <w:spacing w:after="200" w:before="0"/>
        <w:jc w:val="left"/>
      </w:pPr>
      <w:r>
        <w:rPr>
          <w:rFonts w:ascii="Georgia" w:cs="Georgia" w:eastAsia="Georgia" w:hAnsi="Georgia"/>
          <w:color w:val="000000"/>
          <w:sz w:val="24"/>
          <w:szCs w:val="24"/>
        </w:rPr>
        <w:t xml:space="preserve">Although TMS in this chart says three weeks for onset, newer protocols for people with severe depression and suicidal ideation can bring rapid relief within a week — but this is not yet meaningfully available in Michigan.</w:t>
      </w:r>
    </w:p>
    <w:p>
      <w:pPr>
        <w:spacing w:after="80" w:before="80"/>
      </w:pPr>
      <w:r>
        <w:rPr>
          <w:rFonts w:ascii="Arial" w:cs="Arial" w:eastAsia="Arial" w:hAnsi="Arial"/>
          <w:i/>
          <w:iCs/>
          <w:color w:val="888888"/>
          <w:sz w:val="20"/>
          <w:szCs w:val="20"/>
        </w:rPr>
        <w:t xml:space="preserve">[Durability slide]</w:t>
      </w:r>
    </w:p>
    <w:p>
      <w:pPr>
        <w:spacing w:after="200" w:before="0"/>
        <w:jc w:val="left"/>
      </w:pPr>
      <w:r>
        <w:rPr>
          <w:rFonts w:ascii="Georgia" w:cs="Georgia" w:eastAsia="Georgia" w:hAnsi="Georgia"/>
          <w:color w:val="000000"/>
          <w:sz w:val="24"/>
          <w:szCs w:val="24"/>
        </w:rPr>
        <w:t xml:space="preserve">When we look at durability — you see that ketamine drops right off. If you don’t repeat or have a back-up plan, it has no persistence. It says TMS drops off, but it may not be this fast — it may be longer. And not really fair, because you can get maintenance dosing just like with oral medication — we don’t expect oral medicines to work when they are gone.</w:t>
      </w:r>
    </w:p>
    <w:p>
      <w:pPr>
        <w:spacing w:after="200" w:before="0"/>
        <w:jc w:val="left"/>
      </w:pPr>
      <w:r>
        <w:rPr>
          <w:rFonts w:ascii="Georgia" w:cs="Georgia" w:eastAsia="Georgia" w:hAnsi="Georgia"/>
          <w:color w:val="000000"/>
          <w:sz w:val="24"/>
          <w:szCs w:val="24"/>
        </w:rPr>
        <w:t xml:space="preserve">And, hard to take in, but quetiapine — and really any other antipsychotic — has no RCT data in TRD to show persistence of benefit. Most antipsychotics have an RCT signal of less than three weeks. Only open label trials, and not always in TRD — even the bipolar depression trials have not shown persistence in RCTs, they lose effectiveness. They are very effective in the short term, but people would usually benefit from a different long-term plan.</w:t>
      </w:r>
    </w:p>
    <w:p>
      <w:pPr>
        <w:spacing w:after="80" w:before="80"/>
      </w:pPr>
      <w:r>
        <w:rPr>
          <w:rFonts w:ascii="Arial" w:cs="Arial" w:eastAsia="Arial" w:hAnsi="Arial"/>
          <w:i/>
          <w:iCs/>
          <w:color w:val="888888"/>
          <w:sz w:val="20"/>
          <w:szCs w:val="20"/>
        </w:rPr>
        <w:t xml:space="preserve">[Scissor lift slide — from previous PowerPoint talk, if applicable]</w:t>
      </w:r>
    </w:p>
    <w:p>
      <w:pPr>
        <w:spacing w:after="200" w:before="0"/>
        <w:jc w:val="left"/>
      </w:pPr>
      <w:r>
        <w:rPr>
          <w:rFonts w:ascii="Georgia" w:cs="Georgia" w:eastAsia="Georgia" w:hAnsi="Georgia"/>
          <w:color w:val="000000"/>
          <w:sz w:val="24"/>
          <w:szCs w:val="24"/>
        </w:rPr>
        <w:t xml:space="preserve">Augmentation with aripiprazole has better data. This data on duration for aripiprazole also includes open label trials — but at least it persisted beyond eight weeks in RCTs, which no other SGA has done. Pramipexole is looking promising. Lithium has the best durability data of all — both in RCTs and in longitudinal studies with propensity matching and mirror-image design.</w:t>
      </w:r>
    </w:p>
    <w:p>
      <w:pPr>
        <w:spacing w:after="80" w:before="80"/>
      </w:pPr>
      <w:r>
        <w:rPr>
          <w:rFonts w:ascii="Arial" w:cs="Arial" w:eastAsia="Arial" w:hAnsi="Arial"/>
          <w:i/>
          <w:iCs/>
          <w:color w:val="888888"/>
          <w:sz w:val="20"/>
          <w:szCs w:val="20"/>
        </w:rPr>
        <w:t xml:space="preserve">[Harm/benefit comparison slide]</w:t>
      </w:r>
    </w:p>
    <w:p>
      <w:pPr>
        <w:spacing w:after="200" w:before="0"/>
        <w:jc w:val="left"/>
      </w:pPr>
      <w:r>
        <w:rPr>
          <w:rFonts w:ascii="Georgia" w:cs="Georgia" w:eastAsia="Georgia" w:hAnsi="Georgia"/>
          <w:color w:val="000000"/>
          <w:sz w:val="24"/>
          <w:szCs w:val="24"/>
        </w:rPr>
        <w:t xml:space="preserve">This slide compares the benefit to the harm. SGAs have tardive dyskinesia, akathisia, and some have weight gain. Pramipexole has a higher dropout rate — hedonism, hypomania or mania, and nausea being the top reasons why people might not think it is worth it.</w:t>
      </w:r>
    </w:p>
    <w:p>
      <w:pPr>
        <w:spacing w:after="200" w:before="0"/>
        <w:jc w:val="left"/>
      </w:pPr>
      <w:r>
        <w:rPr>
          <w:rFonts w:ascii="Georgia" w:cs="Georgia" w:eastAsia="Georgia" w:hAnsi="Georgia"/>
          <w:color w:val="000000"/>
          <w:sz w:val="24"/>
          <w:szCs w:val="24"/>
        </w:rPr>
        <w:t xml:space="preserve">Lithium shines as available, affordable, and again with unique persistent benefits. In addition to excellent prevention of relapse or next episode, one of those benefits is some relief from suicidal ideation, decrease in attempts and suicide completion.</w:t>
      </w:r>
    </w:p>
    <w:p>
      <w:pPr>
        <w:spacing w:after="80" w:before="80"/>
      </w:pPr>
      <w:r>
        <w:rPr>
          <w:rFonts w:ascii="Arial" w:cs="Arial" w:eastAsia="Arial" w:hAnsi="Arial"/>
          <w:i/>
          <w:iCs/>
          <w:color w:val="AA4400"/>
          <w:sz w:val="20"/>
          <w:szCs w:val="20"/>
        </w:rPr>
        <w:t xml:space="preserve">[NOTE: Suicide prevention slide placement TBD — two slides]</w:t>
      </w:r>
    </w:p>
    <w:p>
      <w:pPr>
        <w:pStyle w:val="Heading1"/>
        <w:spacing w:after="160" w:before="480"/>
      </w:pPr>
      <w:r>
        <w:rPr>
          <w:rFonts w:ascii="Arial" w:cs="Arial" w:eastAsia="Arial" w:hAnsi="Arial"/>
          <w:b/>
          <w:bCs/>
          <w:color w:val="1a1a2e"/>
          <w:sz w:val="28"/>
          <w:szCs w:val="28"/>
        </w:rPr>
        <w:t xml:space="preserve">Risks of Lithium — The Elephants in the Room</w:t>
      </w:r>
    </w:p>
    <w:p>
      <w:pPr>
        <w:spacing w:after="200" w:before="0"/>
        <w:jc w:val="left"/>
      </w:pPr>
      <w:r>
        <w:rPr>
          <w:rFonts w:ascii="Georgia" w:cs="Georgia" w:eastAsia="Georgia" w:hAnsi="Georgia"/>
          <w:color w:val="000000"/>
          <w:sz w:val="24"/>
          <w:szCs w:val="24"/>
        </w:rPr>
        <w:t xml:space="preserve">So let’s talk about the elephants in the room — starting with the kidney.</w:t>
      </w:r>
    </w:p>
    <w:p>
      <w:pPr>
        <w:spacing w:after="80" w:before="80"/>
      </w:pPr>
      <w:r>
        <w:rPr>
          <w:rFonts w:ascii="Arial" w:cs="Arial" w:eastAsia="Arial" w:hAnsi="Arial"/>
          <w:i/>
          <w:iCs/>
          <w:color w:val="AA4400"/>
          <w:sz w:val="20"/>
          <w:szCs w:val="20"/>
        </w:rPr>
        <w:t xml:space="preserve">[NOTE: Add second elephant reference later — for judgment/culture section]</w:t>
      </w:r>
    </w:p>
    <w:p>
      <w:pPr>
        <w:spacing w:after="80" w:before="80"/>
      </w:pPr>
      <w:r>
        <w:rPr>
          <w:rFonts w:ascii="Arial" w:cs="Arial" w:eastAsia="Arial" w:hAnsi="Arial"/>
          <w:i/>
          <w:iCs/>
          <w:color w:val="888888"/>
          <w:sz w:val="20"/>
          <w:szCs w:val="20"/>
        </w:rPr>
        <w:t xml:space="preserve">[Nephron slide]</w:t>
      </w:r>
    </w:p>
    <w:p>
      <w:pPr>
        <w:spacing w:after="200" w:before="0"/>
        <w:jc w:val="left"/>
      </w:pPr>
      <w:r>
        <w:rPr>
          <w:rFonts w:ascii="Georgia" w:cs="Georgia" w:eastAsia="Georgia" w:hAnsi="Georgia"/>
          <w:color w:val="000000"/>
          <w:sz w:val="24"/>
          <w:szCs w:val="24"/>
        </w:rPr>
        <w:t xml:space="preserve">Here is a nephron rendered by my friend, Claude. The ideas are correct — the hard specifics are simplified for this talk. Each time blood passes through the kidney, about 20 percent of the plasma filters through the glomerulus. Sodium and lithium pass freely. The proximal convoluted tubule is where the majority of sodium and lithium are reabsorbed.</w:t>
      </w:r>
    </w:p>
    <w:p>
      <w:pPr>
        <w:spacing w:after="200" w:before="0"/>
        <w:jc w:val="left"/>
      </w:pPr>
      <w:r>
        <w:rPr>
          <w:rFonts w:ascii="Georgia" w:cs="Georgia" w:eastAsia="Georgia" w:hAnsi="Georgia"/>
          <w:color w:val="000000"/>
          <w:sz w:val="24"/>
          <w:szCs w:val="24"/>
        </w:rPr>
        <w:t xml:space="preserve">Although slightly less than one to one, essentially sodium and lithium are transported in proportion to their concentration. So if 100 lithium ions walk into a bar while there are 100 sodium ions, 60 percent of the sodium is absorbed and 60 percent of the lithium — 60 ions. However, if there are only 10 sodium ions and 100 lithium ions, then 90 lithium ions are going to be absorbed. This is how serum toxicity occurs. That situation happens with dehydration, low-salt diets, and medications that reduce flow — such as ARBs, ACE inhibitors, and COX-2 inhibitors.</w:t>
      </w:r>
    </w:p>
    <w:p>
      <w:pPr>
        <w:spacing w:after="200" w:before="0"/>
        <w:jc w:val="left"/>
      </w:pPr>
      <w:r>
        <w:rPr>
          <w:rFonts w:ascii="Georgia" w:cs="Georgia" w:eastAsia="Georgia" w:hAnsi="Georgia"/>
          <w:color w:val="000000"/>
          <w:sz w:val="24"/>
          <w:szCs w:val="24"/>
        </w:rPr>
        <w:t xml:space="preserve">The same situation but with smaller numbers plays out in the ascending loop of Henle.</w:t>
      </w:r>
    </w:p>
    <w:p>
      <w:pPr>
        <w:spacing w:after="200" w:before="0"/>
        <w:jc w:val="left"/>
      </w:pPr>
      <w:r>
        <w:rPr>
          <w:rFonts w:ascii="Georgia" w:cs="Georgia" w:eastAsia="Georgia" w:hAnsi="Georgia"/>
          <w:color w:val="000000"/>
          <w:sz w:val="24"/>
          <w:szCs w:val="24"/>
        </w:rPr>
        <w:t xml:space="preserve">On the urine side of the principal collecting duct lives the Epithelial Sodium Channel — ENaC. Although sodium is in its name, it prefers lithium. So lithium is avidly taken into the cell. Unfortunately, the transporters on the basolateral side are not as good at getting lithium out. There is accumulation. I can tell you for sure about two things that result: the lithium accumulation prevents aquaporin from being inserted on the urine side, and the person will not be able to concentrate their urine — nephrogenic diabetes insipidus. And the accumulation of lithium results in cell death, apoptosis, and fibrosis.</w:t>
      </w:r>
    </w:p>
    <w:p>
      <w:pPr>
        <w:spacing w:after="200" w:before="0"/>
        <w:jc w:val="left"/>
      </w:pPr>
      <w:r>
        <w:rPr>
          <w:rFonts w:ascii="Georgia" w:cs="Georgia" w:eastAsia="Georgia" w:hAnsi="Georgia"/>
          <w:color w:val="000000"/>
          <w:sz w:val="24"/>
          <w:szCs w:val="24"/>
        </w:rPr>
        <w:t xml:space="preserve">Then amiloride walks into the bar and blocks ENaC and says to lithium: “Hit the road, Jack” — and lithium can’t come back no more. After the avid transporter is blocked, only a trickle gets in and the basolateral transporters can better handle this. There is less lithium accumulation — and BAM — aquaporin gets to the urine side and we can concentrate our urine. No more NDI.</w:t>
      </w:r>
    </w:p>
    <w:p>
      <w:pPr>
        <w:spacing w:after="200" w:before="0"/>
        <w:jc w:val="left"/>
      </w:pPr>
      <w:r>
        <w:rPr>
          <w:rFonts w:ascii="Georgia" w:cs="Georgia" w:eastAsia="Georgia" w:hAnsi="Georgia"/>
          <w:color w:val="000000"/>
          <w:sz w:val="24"/>
          <w:szCs w:val="24"/>
        </w:rPr>
        <w:t xml:space="preserve">Amiloride has the simultaneous effect of reducing the fibrosis caused by lithium. Unfortunately I cannot tell you that fibrosis is completely gone. This is evolving information — we will have to see. It is fairly new and based mostly on animal studies. What I can tell you with more confidence is that it makes a meaningful difference for the NDI.</w:t>
      </w:r>
    </w:p>
    <w:p>
      <w:pPr>
        <w:spacing w:after="80" w:before="80"/>
      </w:pPr>
      <w:r>
        <w:rPr>
          <w:rFonts w:ascii="Arial" w:cs="Arial" w:eastAsia="Arial" w:hAnsi="Arial"/>
          <w:i/>
          <w:iCs/>
          <w:color w:val="888888"/>
          <w:sz w:val="20"/>
          <w:szCs w:val="20"/>
        </w:rPr>
        <w:t xml:space="preserve">[Pregnancy slide]</w:t>
      </w:r>
    </w:p>
    <w:p>
      <w:pPr>
        <w:spacing w:after="200" w:before="0"/>
        <w:jc w:val="left"/>
      </w:pPr>
      <w:r>
        <w:rPr>
          <w:rFonts w:ascii="Georgia" w:cs="Georgia" w:eastAsia="Georgia" w:hAnsi="Georgia"/>
          <w:color w:val="000000"/>
          <w:sz w:val="24"/>
          <w:szCs w:val="24"/>
        </w:rPr>
        <w:t xml:space="preserve">I learned in my training that lithium causes Ebstein’s anomaly and that the risk is high — like a 400-fold increase. There is a risk, but that risk is on the order of 1 in 39 on higher-dose lithium, or a risk ratio of about 2.7. At doses lower than 900 mg, the risk is not detectable above the baseline population risk. Most of this will be handled by maternal-fetal medicine. Worth knowing: go up on the levothyroxine if they are on it, and there will be a goal of decreasing the serum level one week prior to delivery to reduce the risk of neonatal hypotonia.</w:t>
      </w:r>
    </w:p>
    <w:p>
      <w:pPr>
        <w:spacing w:after="80" w:before="80"/>
      </w:pPr>
      <w:r>
        <w:rPr>
          <w:rFonts w:ascii="Arial" w:cs="Arial" w:eastAsia="Arial" w:hAnsi="Arial"/>
          <w:i/>
          <w:iCs/>
          <w:color w:val="888888"/>
          <w:sz w:val="20"/>
          <w:szCs w:val="20"/>
        </w:rPr>
        <w:t xml:space="preserve">[Thyroid slide]</w:t>
      </w:r>
    </w:p>
    <w:p>
      <w:pPr>
        <w:spacing w:after="80" w:before="80"/>
      </w:pPr>
      <w:r>
        <w:rPr>
          <w:rFonts w:ascii="Arial" w:cs="Arial" w:eastAsia="Arial" w:hAnsi="Arial"/>
          <w:i/>
          <w:iCs/>
          <w:color w:val="888888"/>
          <w:sz w:val="20"/>
          <w:szCs w:val="20"/>
        </w:rPr>
        <w:t xml:space="preserve">[Tremor slide]</w:t>
      </w:r>
    </w:p>
    <w:p>
      <w:pPr>
        <w:spacing w:after="200" w:before="0"/>
        <w:jc w:val="left"/>
      </w:pPr>
      <w:r>
        <w:rPr>
          <w:rFonts w:ascii="Georgia" w:cs="Georgia" w:eastAsia="Georgia" w:hAnsi="Georgia"/>
          <w:color w:val="000000"/>
          <w:sz w:val="24"/>
          <w:szCs w:val="24"/>
        </w:rPr>
        <w:t xml:space="preserve">Tremor is common before and after lithium — so note it beforehand. If they like the lithium and want to stay on it, propranolol is effective. And reduce the dose if you can.</w:t>
      </w:r>
    </w:p>
    <w:p>
      <w:pPr>
        <w:pStyle w:val="Heading1"/>
        <w:spacing w:after="160" w:before="480"/>
      </w:pPr>
      <w:r>
        <w:rPr>
          <w:rFonts w:ascii="Arial" w:cs="Arial" w:eastAsia="Arial" w:hAnsi="Arial"/>
          <w:b/>
          <w:bCs/>
          <w:color w:val="1a1a2e"/>
          <w:sz w:val="28"/>
          <w:szCs w:val="28"/>
        </w:rPr>
        <w:t xml:space="preserve">The How of Dosing</w:t>
      </w:r>
    </w:p>
    <w:p>
      <w:pPr>
        <w:spacing w:after="200" w:before="0"/>
        <w:jc w:val="left"/>
      </w:pPr>
      <w:r>
        <w:rPr>
          <w:rFonts w:ascii="Georgia" w:cs="Georgia" w:eastAsia="Georgia" w:hAnsi="Georgia"/>
          <w:color w:val="000000"/>
          <w:sz w:val="24"/>
          <w:szCs w:val="24"/>
        </w:rPr>
        <w:t xml:space="preserve">When I first started prescribing suboxone, it felt so momentous and stress-inducing — would I harm the patient, what would it take to get it right? I kind of thought lithium would also feel momentous. But it never has. There is no activation, there is no worsening of sleep, no acute increase in suicidal ideation, no akathisia — it just quietly starts, and the patient does or does not notice a change.</w:t>
      </w:r>
    </w:p>
    <w:p>
      <w:pPr>
        <w:spacing w:after="200" w:before="0"/>
        <w:jc w:val="left"/>
      </w:pPr>
      <w:r>
        <w:rPr>
          <w:rFonts w:ascii="Georgia" w:cs="Georgia" w:eastAsia="Georgia" w:hAnsi="Georgia"/>
          <w:color w:val="000000"/>
          <w:sz w:val="24"/>
          <w:szCs w:val="24"/>
        </w:rPr>
        <w:t xml:space="preserve">There is no sudden kidney failure or tremendous polyuria. You generally have time. If they are hypomanic, you may want to refer or increase more quickly — but you can use SGAs for that in the short term.</w:t>
      </w:r>
    </w:p>
    <w:p>
      <w:pPr>
        <w:spacing w:after="200" w:before="0"/>
        <w:jc w:val="left"/>
      </w:pPr>
      <w:r>
        <w:rPr>
          <w:rFonts w:ascii="Georgia" w:cs="Georgia" w:eastAsia="Georgia" w:hAnsi="Georgia"/>
          <w:color w:val="000000"/>
          <w:sz w:val="24"/>
          <w:szCs w:val="24"/>
        </w:rPr>
        <w:t xml:space="preserve">For most people, start at 150 mg nightly. And wait a couple of months to see how they feel. If they have migraines, if they are nervous, if they want to try small dosing, consider 1 to 5 mg of lithium orotate. And test the waters for weeks to months.</w:t>
      </w:r>
    </w:p>
    <w:p>
      <w:pPr>
        <w:spacing w:after="200" w:before="0"/>
        <w:jc w:val="left"/>
      </w:pPr>
      <w:r>
        <w:rPr>
          <w:rFonts w:ascii="Georgia" w:cs="Georgia" w:eastAsia="Georgia" w:hAnsi="Georgia"/>
          <w:color w:val="000000"/>
          <w:sz w:val="24"/>
          <w:szCs w:val="24"/>
        </w:rPr>
        <w:t xml:space="preserve">Always once a day — the timing matters only for checking a level 12 hours later. Easier to do a level during business hours, so take it at night.</w:t>
      </w:r>
    </w:p>
    <w:p>
      <w:pPr>
        <w:pStyle w:val="Heading1"/>
        <w:spacing w:after="160" w:before="480"/>
      </w:pPr>
      <w:r>
        <w:rPr>
          <w:rFonts w:ascii="Arial" w:cs="Arial" w:eastAsia="Arial" w:hAnsi="Arial"/>
          <w:b/>
          <w:bCs/>
          <w:color w:val="1a1a2e"/>
          <w:sz w:val="28"/>
          <w:szCs w:val="28"/>
        </w:rPr>
        <w:t xml:space="preserve">Modern Day Monitoring</w:t>
      </w:r>
    </w:p>
    <w:p>
      <w:pPr>
        <w:spacing w:after="80" w:before="80"/>
      </w:pPr>
      <w:r>
        <w:rPr>
          <w:rFonts w:ascii="Arial" w:cs="Arial" w:eastAsia="Arial" w:hAnsi="Arial"/>
          <w:i/>
          <w:iCs/>
          <w:color w:val="888888"/>
          <w:sz w:val="20"/>
          <w:szCs w:val="20"/>
        </w:rPr>
        <w:t xml:space="preserve">[Nephron slide again]</w:t>
      </w:r>
    </w:p>
    <w:p>
      <w:pPr>
        <w:spacing w:after="200" w:before="0"/>
        <w:jc w:val="left"/>
      </w:pPr>
      <w:r>
        <w:rPr>
          <w:rFonts w:ascii="Georgia" w:cs="Georgia" w:eastAsia="Georgia" w:hAnsi="Georgia"/>
          <w:color w:val="000000"/>
          <w:sz w:val="24"/>
          <w:szCs w:val="24"/>
        </w:rPr>
        <w:t xml:space="preserve">No need to check a level in someone taking 150 mg to 300 mg of lithium with normal kidneys and not on long-term medications that impact the kidneys.</w:t>
      </w:r>
    </w:p>
    <w:p>
      <w:pPr>
        <w:spacing w:after="200" w:before="0"/>
        <w:jc w:val="left"/>
      </w:pPr>
      <w:r>
        <w:rPr>
          <w:rFonts w:ascii="Georgia" w:cs="Georgia" w:eastAsia="Georgia" w:hAnsi="Georgia"/>
          <w:color w:val="000000"/>
          <w:sz w:val="24"/>
          <w:szCs w:val="24"/>
        </w:rPr>
        <w:t xml:space="preserve">When needed, levels are drawn at least five days out. Once stable, twice yearly.</w:t>
      </w:r>
    </w:p>
    <w:p>
      <w:pPr>
        <w:spacing w:after="200" w:before="0"/>
        <w:jc w:val="left"/>
      </w:pPr>
      <w:r>
        <w:rPr>
          <w:rFonts w:ascii="Georgia" w:cs="Georgia" w:eastAsia="Georgia" w:hAnsi="Georgia"/>
          <w:color w:val="000000"/>
          <w:sz w:val="24"/>
          <w:szCs w:val="24"/>
        </w:rPr>
        <w:t xml:space="preserve">Start thinking harder about risk versus benefit when the estimated GFR is below 60.</w:t>
      </w:r>
    </w:p>
    <w:p>
      <w:pPr>
        <w:spacing w:after="80" w:before="80"/>
      </w:pPr>
      <w:r>
        <w:rPr>
          <w:rFonts w:ascii="Arial" w:cs="Arial" w:eastAsia="Arial" w:hAnsi="Arial"/>
          <w:i/>
          <w:iCs/>
          <w:color w:val="888888"/>
          <w:sz w:val="20"/>
          <w:szCs w:val="20"/>
        </w:rPr>
        <w:t xml:space="preserve">[Formulations slide]</w:t>
      </w:r>
    </w:p>
    <w:p>
      <w:pPr>
        <w:pStyle w:val="Heading1"/>
        <w:spacing w:after="160" w:before="480"/>
      </w:pPr>
      <w:r>
        <w:rPr>
          <w:rFonts w:ascii="Arial" w:cs="Arial" w:eastAsia="Arial" w:hAnsi="Arial"/>
          <w:b/>
          <w:bCs/>
          <w:color w:val="1a1a2e"/>
          <w:sz w:val="28"/>
          <w:szCs w:val="28"/>
        </w:rPr>
        <w:t xml:space="preserve">Who the Patient Is</w:t>
      </w:r>
    </w:p>
    <w:p>
      <w:pPr>
        <w:spacing w:after="200" w:before="0"/>
        <w:jc w:val="left"/>
      </w:pPr>
      <w:r>
        <w:rPr>
          <w:rFonts w:ascii="Georgia" w:cs="Georgia" w:eastAsia="Georgia" w:hAnsi="Georgia"/>
          <w:color w:val="000000"/>
          <w:sz w:val="24"/>
          <w:szCs w:val="24"/>
        </w:rPr>
        <w:t xml:space="preserve">Our marker is intensity, intractability, and recurrence. Severity, suffering — presenting as anger, anxiety, suicidal thoughts, as well as depression. Irritability is an especially good marker for who might respond. We do not have the luxury of examining our patients with three to five rating scales.</w:t>
      </w:r>
    </w:p>
    <w:p>
      <w:pPr>
        <w:pStyle w:val="Heading1"/>
        <w:spacing w:after="160" w:before="480"/>
      </w:pPr>
      <w:r>
        <w:rPr>
          <w:rFonts w:ascii="Arial" w:cs="Arial" w:eastAsia="Arial" w:hAnsi="Arial"/>
          <w:b/>
          <w:bCs/>
          <w:color w:val="1a1a2e"/>
          <w:sz w:val="28"/>
          <w:szCs w:val="28"/>
        </w:rPr>
        <w:t xml:space="preserve">Indications — The Bar Is Lower Than You Think</w:t>
      </w:r>
    </w:p>
    <w:p>
      <w:pPr>
        <w:spacing w:after="200" w:before="0"/>
        <w:jc w:val="left"/>
      </w:pPr>
      <w:r>
        <w:rPr>
          <w:rFonts w:ascii="Georgia" w:cs="Georgia" w:eastAsia="Georgia" w:hAnsi="Georgia"/>
          <w:color w:val="000000"/>
          <w:sz w:val="24"/>
          <w:szCs w:val="24"/>
        </w:rPr>
        <w:t xml:space="preserve">Dare I say it? The DSM is a mess. Do we really need to count symptoms to determine suffering, and then ignore the ones that don’t meet someone’s arbitrary cut? Isn’t it enough to see that there is a pattern? And who better to see that pattern over time?</w:t>
      </w:r>
    </w:p>
    <w:p>
      <w:pPr>
        <w:spacing w:after="200" w:before="0"/>
        <w:jc w:val="left"/>
      </w:pPr>
      <w:r>
        <w:rPr>
          <w:rFonts w:ascii="Georgia" w:cs="Georgia" w:eastAsia="Georgia" w:hAnsi="Georgia"/>
          <w:color w:val="000000"/>
          <w:sz w:val="24"/>
          <w:szCs w:val="24"/>
        </w:rPr>
        <w:t xml:space="preserve">It can be tricky — and sometimes political — to make an accurate psychiatric diagnosis. So step back, read the room, and look at the history. If there is a signal of persistence, recurrence, suicidal ideation, agitation that is a pattern — and especially anger and irritability — lithium may be able to offer some relief. Calling it recurrent depression is simple and true.</w:t>
      </w:r>
    </w:p>
    <w:p>
      <w:pPr>
        <w:spacing w:after="200" w:before="0"/>
        <w:jc w:val="left"/>
      </w:pPr>
      <w:r>
        <w:rPr>
          <w:rFonts w:ascii="Georgia" w:cs="Georgia" w:eastAsia="Georgia" w:hAnsi="Georgia"/>
          <w:color w:val="000000"/>
          <w:sz w:val="24"/>
          <w:szCs w:val="24"/>
        </w:rPr>
        <w:t xml:space="preserve">Make a home for them.</w:t>
      </w:r>
    </w:p>
    <w:p>
      <w:pPr>
        <w:spacing w:after="200" w:before="0"/>
        <w:jc w:val="left"/>
      </w:pPr>
      <w:r>
        <w:rPr>
          <w:rFonts w:ascii="Georgia" w:cs="Georgia" w:eastAsia="Georgia" w:hAnsi="Georgia"/>
          <w:color w:val="000000"/>
          <w:sz w:val="24"/>
          <w:szCs w:val="24"/>
        </w:rPr>
        <w:t xml:space="preserve">The bar here is not high: recurrent depression, resistant depression, incompletely treated depression, chronic suicidal ideation — or even just the shadow of bipolar. Enough to offer lithium as a possible option. Not the only answer. But for the right person, a life-altering one.</w:t>
      </w:r>
    </w:p>
    <w:p>
      <w:pPr>
        <w:spacing w:after="200" w:before="0"/>
        <w:jc w:val="left"/>
      </w:pPr>
      <w:r>
        <w:rPr>
          <w:rFonts w:ascii="Georgia" w:cs="Georgia" w:eastAsia="Georgia" w:hAnsi="Georgia"/>
          <w:color w:val="000000"/>
          <w:sz w:val="24"/>
          <w:szCs w:val="24"/>
        </w:rPr>
        <w:t xml:space="preserve">There is a nice article by Michael Gitlin in UpToDate that discusses the use of lithium in unipolar depression — a common go-to resource worth knowing and, I think, eye-opening.</w:t>
      </w:r>
    </w:p>
    <w:p>
      <w:pPr>
        <w:pStyle w:val="Heading1"/>
        <w:spacing w:after="160" w:before="480"/>
      </w:pPr>
      <w:r>
        <w:rPr>
          <w:rFonts w:ascii="Arial" w:cs="Arial" w:eastAsia="Arial" w:hAnsi="Arial"/>
          <w:b/>
          <w:bCs/>
          <w:color w:val="1a1a2e"/>
          <w:sz w:val="28"/>
          <w:szCs w:val="28"/>
        </w:rPr>
        <w:t xml:space="preserve">Why Lithium Is Unique</w:t>
      </w:r>
    </w:p>
    <w:p>
      <w:pPr>
        <w:spacing w:after="80" w:before="80"/>
      </w:pPr>
      <w:r>
        <w:rPr>
          <w:rFonts w:ascii="Arial" w:cs="Arial" w:eastAsia="Arial" w:hAnsi="Arial"/>
          <w:i/>
          <w:iCs/>
          <w:color w:val="888888"/>
          <w:sz w:val="20"/>
          <w:szCs w:val="20"/>
        </w:rPr>
        <w:t xml:space="preserve">[Lithium Is Unique slide]</w:t>
      </w:r>
    </w:p>
    <w:p>
      <w:pPr>
        <w:spacing w:after="200" w:before="0"/>
        <w:jc w:val="left"/>
      </w:pPr>
      <w:r>
        <w:rPr>
          <w:rFonts w:ascii="Georgia" w:cs="Georgia" w:eastAsia="Georgia" w:hAnsi="Georgia"/>
          <w:color w:val="000000"/>
          <w:sz w:val="24"/>
          <w:szCs w:val="24"/>
        </w:rPr>
        <w:t xml:space="preserve">You can call it a mood stabilizer, but there is nothing else that is a version of it.</w:t>
      </w:r>
    </w:p>
    <w:p>
      <w:pPr>
        <w:spacing w:after="200" w:before="0"/>
        <w:jc w:val="left"/>
      </w:pPr>
      <w:r>
        <w:rPr>
          <w:rFonts w:ascii="Georgia" w:cs="Georgia" w:eastAsia="Georgia" w:hAnsi="Georgia"/>
          <w:color w:val="000000"/>
          <w:sz w:val="24"/>
          <w:szCs w:val="24"/>
        </w:rPr>
        <w:t xml:space="preserve">Some people wonder if lithium is a micronutrient.</w:t>
      </w:r>
    </w:p>
    <w:p>
      <w:pPr>
        <w:spacing w:after="200" w:before="0"/>
        <w:jc w:val="left"/>
      </w:pPr>
      <w:r>
        <w:rPr>
          <w:rFonts w:ascii="Georgia" w:cs="Georgia" w:eastAsia="Georgia" w:hAnsi="Georgia"/>
          <w:color w:val="000000"/>
          <w:sz w:val="24"/>
          <w:szCs w:val="24"/>
        </w:rPr>
        <w:t xml:space="preserve">My guess is that for most of us — or at least for some of us — lithium is supposed to be part of the environment. Some groups of people likely evolved and flourished in places where lithium was simply present in the background. Like gravity. Like sunlight. It falls through the levers and molecules of our biology in a certain way, creating multiple effects. Maybe this civilization evolved away from rich lithium sources, and that one developed in areas with higher concentrations. And now we are just all a big genetic hodgepodge in a modern, migrating society that is generations away from where our ancestors evolved.</w:t>
      </w:r>
    </w:p>
    <w:p>
      <w:pPr>
        <w:spacing w:after="200" w:before="0"/>
        <w:jc w:val="left"/>
      </w:pPr>
      <w:r>
        <w:rPr>
          <w:rFonts w:ascii="Georgia" w:cs="Georgia" w:eastAsia="Georgia" w:hAnsi="Georgia"/>
          <w:color w:val="000000"/>
          <w:sz w:val="24"/>
          <w:szCs w:val="24"/>
        </w:rPr>
        <w:t xml:space="preserve">You would have a hard time finding a gene that coded for our response to gravity. And finding a gene or biomarker for lithium response may be just as elusive — not because the effect isn’t real, but because it is so fundamental, so woven into normal development and function, that it doesn’t announce itself as a target. But take gravity away from an adult, and they will grow weak. Keep it from a child, and they will develop very differently. And if you were studying that person in another environment entirely, it might be very hard to know what the missing ingredient was.</w:t>
      </w:r>
    </w:p>
    <w:p>
      <w:pPr>
        <w:spacing w:after="200" w:before="0"/>
        <w:jc w:val="left"/>
      </w:pPr>
      <w:r>
        <w:rPr>
          <w:rFonts w:ascii="Georgia" w:cs="Georgia" w:eastAsia="Georgia" w:hAnsi="Georgia"/>
          <w:color w:val="000000"/>
          <w:sz w:val="24"/>
          <w:szCs w:val="24"/>
        </w:rPr>
        <w:t xml:space="preserve">And maybe because it is like gravity, our typical trials — four weeks, eight weeks, even one year — cannot capture all the signals that are there. The longitudinal registries of the nationalized healthcare systems of Europe have some of the clearest pictures we have. The signals are real. And they show up in many ways, over time.</w:t>
      </w:r>
    </w:p>
    <w:p>
      <w:pPr>
        <w:spacing w:after="200" w:before="0"/>
        <w:jc w:val="left"/>
      </w:pPr>
      <w:r>
        <w:rPr>
          <w:rFonts w:ascii="Georgia" w:cs="Georgia" w:eastAsia="Georgia" w:hAnsi="Georgia"/>
          <w:color w:val="000000"/>
          <w:sz w:val="24"/>
          <w:szCs w:val="24"/>
        </w:rPr>
        <w:t xml:space="preserve">Lithium acts through many systems by many mechanisms. (The scope of which is beyond this lecture — I love that phrase!) The therapeutic dose is not one number — it is only well established for mania, and possibly for depression augmentation. The doses required for dementia prevention, lowering suicidal ideation, longevity, and sleep and circadian regulation are not definitively known. Which of these effects require a prescription dose, which may be achievable with an over-the-counter supplement, and which may occur at nutritional levels, is incompletely answered.</w:t>
      </w:r>
    </w:p>
    <w:p>
      <w:pPr>
        <w:pStyle w:val="Heading1"/>
        <w:spacing w:after="160" w:before="480"/>
      </w:pPr>
      <w:r>
        <w:rPr>
          <w:rFonts w:ascii="Arial" w:cs="Arial" w:eastAsia="Arial" w:hAnsi="Arial"/>
          <w:b/>
          <w:bCs/>
          <w:color w:val="1a1a2e"/>
          <w:sz w:val="28"/>
          <w:szCs w:val="28"/>
        </w:rPr>
        <w:t xml:space="preserve">The Offer Rate — The Gap Slide</w:t>
      </w:r>
    </w:p>
    <w:p>
      <w:pPr>
        <w:spacing w:after="80" w:before="80"/>
      </w:pPr>
      <w:r>
        <w:rPr>
          <w:rFonts w:ascii="Arial" w:cs="Arial" w:eastAsia="Arial" w:hAnsi="Arial"/>
          <w:i/>
          <w:iCs/>
          <w:color w:val="888888"/>
          <w:sz w:val="20"/>
          <w:szCs w:val="20"/>
        </w:rPr>
        <w:t xml:space="preserve">[Sköld gap slide]</w:t>
      </w:r>
    </w:p>
    <w:p>
      <w:pPr>
        <w:spacing w:after="200" w:before="0"/>
        <w:jc w:val="left"/>
      </w:pPr>
      <w:r>
        <w:rPr>
          <w:rFonts w:ascii="Georgia" w:cs="Georgia" w:eastAsia="Georgia" w:hAnsi="Georgia"/>
          <w:color w:val="000000"/>
          <w:sz w:val="24"/>
          <w:szCs w:val="24"/>
        </w:rPr>
        <w:t xml:space="preserve">Just like with SSRIs, we offer it and not everyone will respond. There is a similar response rate with lithium — 30 to 40 percent. To get to those people it needs to be considered and offered — because there is currently no validated biomarker or clinical feature that reliably predicts response. Some features — a strongly episodic course, a family history of response, a high bipolarity index — may increase the likelihood, but none are reliable enough to use as a filter.</w:t>
      </w:r>
    </w:p>
    <w:p>
      <w:pPr>
        <w:spacing w:after="200" w:before="0"/>
        <w:jc w:val="left"/>
      </w:pPr>
      <w:r>
        <w:rPr>
          <w:rFonts w:ascii="Georgia" w:cs="Georgia" w:eastAsia="Georgia" w:hAnsi="Georgia"/>
          <w:color w:val="000000"/>
          <w:sz w:val="24"/>
          <w:szCs w:val="24"/>
        </w:rPr>
        <w:t xml:space="preserve">About 12 to 15 percent of people with bipolar are on lithium. For depression, it is much less. I am not saying that everyone with TRD or difficult-to-treat depression should be on lithium — but not on the menu?!? And — unlike the alternatives — lithium has no black box warning.</w:t>
      </w:r>
    </w:p>
    <w:p>
      <w:pPr>
        <w:spacing w:after="200" w:before="0"/>
        <w:jc w:val="left"/>
      </w:pPr>
      <w:r>
        <w:rPr>
          <w:rFonts w:ascii="Georgia" w:cs="Georgia" w:eastAsia="Georgia" w:hAnsi="Georgia"/>
          <w:color w:val="000000"/>
          <w:sz w:val="24"/>
          <w:szCs w:val="24"/>
        </w:rPr>
        <w:t xml:space="preserve">What stops us? A gap in knowledge, a gap in skills, and a culture that does not include lithium — much less its use in primary care. If you think it might be a helpful option — where will we send people? Perhaps nowhere. It is currently uncommon to offer it even when depression is clearly undertreated — and yet the APA guidelines support its use as augmentation in partially treated depression, or depression that has only partially responded to SSRIs, even when it has not risen to the level of TRD. Over time we see patients who have been to psychiatry, perhaps multiple times in their past. They have settled, stopped trying, and continue with their symptoms. Often they have learned not to say that they have thoughts of death.</w:t>
      </w:r>
    </w:p>
    <w:p>
      <w:pPr>
        <w:spacing w:after="80" w:before="80"/>
      </w:pPr>
      <w:r>
        <w:rPr>
          <w:rFonts w:ascii="Arial" w:cs="Arial" w:eastAsia="Arial" w:hAnsi="Arial"/>
          <w:i/>
          <w:iCs/>
          <w:color w:val="888888"/>
          <w:sz w:val="20"/>
          <w:szCs w:val="20"/>
        </w:rPr>
        <w:t xml:space="preserve">[Sköld et al., Int J Bipolar Disord. 2021]</w:t>
      </w:r>
    </w:p>
    <w:p>
      <w:pPr>
        <w:pStyle w:val="Heading1"/>
        <w:spacing w:after="160" w:before="480"/>
      </w:pPr>
      <w:r>
        <w:rPr>
          <w:rFonts w:ascii="Arial" w:cs="Arial" w:eastAsia="Arial" w:hAnsi="Arial"/>
          <w:b/>
          <w:bCs/>
          <w:color w:val="1a1a2e"/>
          <w:sz w:val="28"/>
          <w:szCs w:val="28"/>
        </w:rPr>
        <w:t xml:space="preserve">The Antisuicidal Evidence</w:t>
      </w:r>
    </w:p>
    <w:p>
      <w:pPr>
        <w:spacing w:after="80" w:before="80"/>
      </w:pPr>
      <w:r>
        <w:rPr>
          <w:rFonts w:ascii="Arial" w:cs="Arial" w:eastAsia="Arial" w:hAnsi="Arial"/>
          <w:i/>
          <w:iCs/>
          <w:color w:val="888888"/>
          <w:sz w:val="20"/>
          <w:szCs w:val="20"/>
        </w:rPr>
        <w:t xml:space="preserve">[Antisuicidal evidence slide]</w:t>
      </w:r>
    </w:p>
    <w:p>
      <w:pPr>
        <w:spacing w:after="200" w:before="0"/>
        <w:jc w:val="left"/>
      </w:pPr>
      <w:r>
        <w:rPr>
          <w:rFonts w:ascii="Georgia" w:cs="Georgia" w:eastAsia="Georgia" w:hAnsi="Georgia"/>
          <w:color w:val="000000"/>
          <w:sz w:val="24"/>
          <w:szCs w:val="24"/>
        </w:rPr>
        <w:t xml:space="preserve">This data is from all-comers — general mood disorder populations, not TRD-specific. Bipolar and unipolar patients on lithium versus not. But the signal is real, it is unique to lithium among all the options on the bubble chart, and it is one of the most compelling reasons to offer it.</w:t>
      </w:r>
    </w:p>
    <w:p>
      <w:pPr>
        <w:pStyle w:val="Heading1"/>
        <w:spacing w:after="160" w:before="480"/>
      </w:pPr>
      <w:r>
        <w:rPr>
          <w:rFonts w:ascii="Arial" w:cs="Arial" w:eastAsia="Arial" w:hAnsi="Arial"/>
          <w:b/>
          <w:bCs/>
          <w:color w:val="1a1a2e"/>
          <w:sz w:val="28"/>
          <w:szCs w:val="28"/>
        </w:rPr>
        <w:t xml:space="preserve">Why Primary Care — The Permission Structure</w:t>
      </w:r>
    </w:p>
    <w:p>
      <w:pPr>
        <w:spacing w:after="200" w:before="0"/>
        <w:jc w:val="left"/>
      </w:pPr>
      <w:r>
        <w:rPr>
          <w:rFonts w:ascii="Georgia" w:cs="Georgia" w:eastAsia="Georgia" w:hAnsi="Georgia"/>
          <w:color w:val="000000"/>
          <w:sz w:val="24"/>
          <w:szCs w:val="24"/>
        </w:rPr>
        <w:t xml:space="preserve">Lithium is a tool that might benefit far more patients than there are psychiatric providers to see them. It is not a panacea. But it need not be a treatment reserved only for specialists — especially when we know that important decisions like this are often made in relationships that take time to build.</w:t>
      </w:r>
    </w:p>
    <w:p>
      <w:pPr>
        <w:pStyle w:val="Heading1"/>
        <w:spacing w:after="160" w:before="480"/>
      </w:pPr>
      <w:r>
        <w:rPr>
          <w:rFonts w:ascii="Arial" w:cs="Arial" w:eastAsia="Arial" w:hAnsi="Arial"/>
          <w:b/>
          <w:bCs/>
          <w:color w:val="1a1a2e"/>
          <w:sz w:val="28"/>
          <w:szCs w:val="28"/>
        </w:rPr>
        <w:t xml:space="preserve">Why You</w:t>
      </w:r>
    </w:p>
    <w:p>
      <w:pPr>
        <w:spacing w:after="80" w:before="80"/>
      </w:pPr>
      <w:r>
        <w:rPr>
          <w:rFonts w:ascii="Arial" w:cs="Arial" w:eastAsia="Arial" w:hAnsi="Arial"/>
          <w:i/>
          <w:iCs/>
          <w:color w:val="888888"/>
          <w:sz w:val="20"/>
          <w:szCs w:val="20"/>
        </w:rPr>
        <w:t xml:space="preserve">[Quote slide: patient whose wife died by suicide. “I wish she had had cancer.” “Because then I could have visited her. Her doctors would probably have communicated with me if she was very ill — they would have sent a note to her primary care provider.”]</w:t>
      </w:r>
    </w:p>
    <w:p>
      <w:pPr>
        <w:spacing w:after="200" w:before="0"/>
        <w:jc w:val="left"/>
      </w:pPr>
      <w:r>
        <w:rPr>
          <w:rFonts w:ascii="Georgia" w:cs="Georgia" w:eastAsia="Georgia" w:hAnsi="Georgia"/>
          <w:color w:val="000000"/>
          <w:sz w:val="24"/>
          <w:szCs w:val="24"/>
        </w:rPr>
        <w:t xml:space="preserve">The real black box in mental health is this: a lack of education in medical school and residency, a lack of meaningful interaction with our psychiatry colleagues that stunts growth in both directions, the haphazard placement of silos of help without connection or coordination, and the extraordinary effort required — by us, by our patients, by their families — to access any of it.</w:t>
      </w:r>
    </w:p>
    <w:p>
      <w:pPr>
        <w:spacing w:after="200" w:before="0"/>
        <w:jc w:val="left"/>
      </w:pPr>
      <w:r>
        <w:rPr>
          <w:rFonts w:ascii="Georgia" w:cs="Georgia" w:eastAsia="Georgia" w:hAnsi="Georgia"/>
          <w:color w:val="000000"/>
          <w:sz w:val="24"/>
          <w:szCs w:val="24"/>
        </w:rPr>
        <w:t xml:space="preserve">Do you do joint injections? I don’t — not really. But I know who does. I know their name. If I need to get someone into neurology, I can call ahead and get a head start on assessment or treatment before they can even get an appointment. That’s what a medical community looks like. We don’t yet have that with psychiatry.</w:t>
      </w:r>
    </w:p>
    <w:p>
      <w:pPr>
        <w:spacing w:after="200" w:before="0"/>
        <w:jc w:val="left"/>
      </w:pPr>
      <w:r>
        <w:rPr>
          <w:rFonts w:ascii="Georgia" w:cs="Georgia" w:eastAsia="Georgia" w:hAnsi="Georgia"/>
          <w:color w:val="000000"/>
          <w:sz w:val="24"/>
          <w:szCs w:val="24"/>
        </w:rPr>
        <w:t xml:space="preserve">It is so much better than when I started. But there are 50,000 psychiatric providers in this country and close to a million of us. We already check creatinines and TSH and urine microalbumins. We already see these patients across years — we can see patterns in the chart, notice what others miss. People have continuity with us. And the trials that shaped our caution about lithium excluded many of our actual patients.</w:t>
      </w:r>
    </w:p>
    <w:p>
      <w:pPr>
        <w:spacing w:after="200" w:before="0"/>
        <w:jc w:val="left"/>
      </w:pPr>
      <w:r>
        <w:rPr>
          <w:rFonts w:ascii="Georgia" w:cs="Georgia" w:eastAsia="Georgia" w:hAnsi="Georgia"/>
          <w:color w:val="000000"/>
          <w:sz w:val="24"/>
          <w:szCs w:val="24"/>
        </w:rPr>
        <w:t xml:space="preserve">The overall response rate to lithium in recurrent and difficult-to-treat depression is 30 to 40 percent. And for the carefully selected, clearly episodic patient — the one you have watched over years — the response rate is likely closer to 70%.</w:t>
      </w:r>
    </w:p>
    <w:p>
      <w:pPr>
        <w:spacing w:after="200" w:before="0"/>
        <w:jc w:val="left"/>
      </w:pPr>
      <w:r>
        <w:rPr>
          <w:rFonts w:ascii="Georgia" w:cs="Georgia" w:eastAsia="Georgia" w:hAnsi="Georgia"/>
          <w:color w:val="000000"/>
          <w:sz w:val="24"/>
          <w:szCs w:val="24"/>
        </w:rPr>
        <w:t xml:space="preserve">In Swedish counties where lithium was offered to 70 to 85 percent of bipolar patients, population-level recurrence rates fell significantly. We are currently offering it to roughly 15 percent of bipolar patients in the United States. For undertreated depression we have data that lithium could have a big impact. But that would require a culture shift. Perhaps we could be that culture. We could be our own county — maybe not Gotland, but what about Stockholm?</w:t>
      </w:r>
    </w:p>
    <w:p>
      <w:pPr>
        <w:spacing w:after="80" w:before="80"/>
      </w:pPr>
      <w:r>
        <w:rPr>
          <w:rFonts w:ascii="Arial" w:cs="Arial" w:eastAsia="Arial" w:hAnsi="Arial"/>
          <w:i/>
          <w:iCs/>
          <w:color w:val="888888"/>
          <w:sz w:val="20"/>
          <w:szCs w:val="20"/>
        </w:rPr>
        <w:t xml:space="preserve">[Sköld et al., Int J Bipolar Disord. 2021]</w:t>
      </w:r>
    </w:p>
    <w:p>
      <w:pPr>
        <w:pStyle w:val="Heading1"/>
        <w:spacing w:after="160" w:before="480"/>
      </w:pPr>
      <w:r>
        <w:rPr>
          <w:rFonts w:ascii="Arial" w:cs="Arial" w:eastAsia="Arial" w:hAnsi="Arial"/>
          <w:b/>
          <w:bCs/>
          <w:color w:val="1a1a2e"/>
          <w:sz w:val="28"/>
          <w:szCs w:val="28"/>
        </w:rPr>
        <w:t xml:space="preserve">Closing</w:t>
      </w:r>
    </w:p>
    <w:p>
      <w:pPr>
        <w:spacing w:after="200" w:before="0"/>
        <w:jc w:val="left"/>
      </w:pPr>
      <w:r>
        <w:rPr>
          <w:rFonts w:ascii="Georgia" w:cs="Georgia" w:eastAsia="Georgia" w:hAnsi="Georgia"/>
          <w:color w:val="000000"/>
          <w:sz w:val="24"/>
          <w:szCs w:val="24"/>
        </w:rPr>
        <w:t xml:space="preserve">I am not suggesting that everyone be on lithium.</w:t>
      </w:r>
    </w:p>
    <w:p>
      <w:pPr>
        <w:spacing w:after="200" w:before="0"/>
        <w:jc w:val="left"/>
      </w:pPr>
      <w:r>
        <w:rPr>
          <w:rFonts w:ascii="Georgia" w:cs="Georgia" w:eastAsia="Georgia" w:hAnsi="Georgia"/>
          <w:color w:val="000000"/>
          <w:sz w:val="24"/>
          <w:szCs w:val="24"/>
        </w:rPr>
        <w:t xml:space="preserve">However, back of the envelope math says there are a lot of patients who could benefit. And because lithium has multiple actions in the body, we cannot know which will get better and at what dose: their sleep with clock gene regulation? Their recurrent thoughts of death? Decreased dementia risk — from mood stabilization or independent protection against Alzheimer’s? Decreased irritability? Decreased hypomania?</w:t>
      </w:r>
    </w:p>
    <w:p>
      <w:pPr>
        <w:spacing w:after="200" w:before="0"/>
        <w:jc w:val="left"/>
      </w:pPr>
      <w:r>
        <w:rPr>
          <w:rFonts w:ascii="Georgia" w:cs="Georgia" w:eastAsia="Georgia" w:hAnsi="Georgia"/>
          <w:color w:val="000000"/>
          <w:sz w:val="24"/>
          <w:szCs w:val="24"/>
        </w:rPr>
        <w:t xml:space="preserve">The data says one in three patients are not better, or not better enough, on their current regimen. You probably already know who some of them are.</w:t>
      </w:r>
    </w:p>
    <w:p>
      <w:pPr>
        <w:spacing w:after="200" w:before="0"/>
        <w:jc w:val="left"/>
      </w:pPr>
      <w:r>
        <w:rPr>
          <w:rFonts w:ascii="Georgia" w:cs="Georgia" w:eastAsia="Georgia" w:hAnsi="Georgia"/>
          <w:color w:val="000000"/>
          <w:sz w:val="24"/>
          <w:szCs w:val="24"/>
        </w:rPr>
        <w:t xml:space="preserve">So consider opening a conversation — about mood, about suicidal ideation, about how they are really doing. Talk about options. That may involve a conversation about the very limited long-term evidence for SSRIs and the underappreciated risks of second-generation antipsychotics. And then there is lithium. An old treatment — a “natural” one — whose use has declined not because it stopped working, but because of fears that the data does not fully support, newer heavily advertised drugs whose risks are underappreciated, and a gap in education and experience that has widened over time. Our fears have sat mostly unexamined and we have developed little collective experience.</w:t>
      </w:r>
    </w:p>
    <w:p>
      <w:pPr>
        <w:spacing w:after="200" w:before="0"/>
        <w:jc w:val="left"/>
      </w:pPr>
      <w:r>
        <w:rPr>
          <w:rFonts w:ascii="Georgia" w:cs="Georgia" w:eastAsia="Georgia" w:hAnsi="Georgia"/>
          <w:color w:val="000000"/>
          <w:sz w:val="24"/>
          <w:szCs w:val="24"/>
        </w:rPr>
        <w:t xml:space="preserve">Perhaps a culture shift also includes prescribing fewer second-generation antipsychotics — or at least being honest with our patients about the goal: episodic use, with a longer-term plan, and a frank conversation about what they are signing up for.</w:t>
      </w:r>
    </w:p>
    <w:p>
      <w:pPr>
        <w:spacing w:after="200" w:before="0"/>
        <w:jc w:val="left"/>
      </w:pPr>
      <w:r>
        <w:rPr>
          <w:rFonts w:ascii="Georgia" w:cs="Georgia" w:eastAsia="Georgia" w:hAnsi="Georgia"/>
          <w:color w:val="000000"/>
          <w:sz w:val="24"/>
          <w:szCs w:val="24"/>
        </w:rPr>
        <w:t xml:space="preserve">When you account for the proportion of depressed patients who actually have TRD — somewhere between 22 and 55 percent — and then apply lithium’s response rate of 40 to 60 percent within that group, you arrive at roughly 10 to 40 percent of your broader depressed population who might meaningfully improve. That is not a small number. And none of them can benefit if we never offer. And we wait alongside them over time to look for the impact and durability over months and years.</w:t>
      </w:r>
    </w:p>
    <w:p>
      <w:pPr>
        <w:spacing w:after="200" w:before="0"/>
        <w:jc w:val="left"/>
      </w:pPr>
      <w:r>
        <w:rPr>
          <w:rFonts w:ascii="Georgia" w:cs="Georgia" w:eastAsia="Georgia" w:hAnsi="Georgia"/>
          <w:color w:val="000000"/>
          <w:sz w:val="24"/>
          <w:szCs w:val="24"/>
        </w:rPr>
        <w:t xml:space="preserve">No minimum dose. Put your toe in the water. Offer your patients. Set appropriate expectations, monitor.</w:t>
      </w:r>
    </w:p>
    <w:p>
      <w:pPr>
        <w:spacing w:after="200" w:before="0"/>
        <w:jc w:val="left"/>
      </w:pPr>
      <w:r>
        <w:rPr>
          <w:rFonts w:ascii="Georgia" w:cs="Georgia" w:eastAsia="Georgia" w:hAnsi="Georgia"/>
          <w:color w:val="000000"/>
          <w:sz w:val="24"/>
          <w:szCs w:val="24"/>
        </w:rPr>
        <w:t xml:space="preserve">To get to the people who may benefit, we need to educate and offer to all appropriate individuals. And back of the envelope math says this needs to be within the scope and mission of primary care.</w:t>
      </w:r>
    </w:p>
    <w:p>
      <w:pPr>
        <w:spacing w:after="200" w:before="0"/>
        <w:jc w:val="left"/>
      </w:pPr>
      <w:r>
        <w:rPr>
          <w:rFonts w:ascii="Georgia" w:cs="Georgia" w:eastAsia="Georgia" w:hAnsi="Georgia"/>
          <w:color w:val="000000"/>
          <w:sz w:val="24"/>
          <w:szCs w:val="24"/>
        </w:rPr>
        <w:t xml:space="preserve">It is time we educate ourselves, our patients, and their families about lithium. To form a community and culture that responsibly supports its appropriate use within primary care — for suicidality, difficult-to-treat depression, patients on the bipolar and manic-depressive spectrum, dementia prevention, and the ongoing co-care of patients who are stable on lithium over time.</w:t>
      </w:r>
    </w:p>
    <w:p>
      <w:pPr>
        <w:spacing w:after="200" w:before="0"/>
        <w:jc w:val="left"/>
      </w:pPr>
      <w:r>
        <w:rPr>
          <w:rFonts w:ascii="Georgia" w:cs="Georgia" w:eastAsia="Georgia" w:hAnsi="Georgia"/>
          <w:color w:val="000000"/>
          <w:sz w:val="24"/>
          <w:szCs w:val="24"/>
        </w:rPr>
        <w:t xml:space="preserve">As I tell my patients when we begin this journey together: lithium is for the long game. And that is an achievable goal in the long-term relationship we have with our patients.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2026-04-24T00:28:25.984Z</dcterms:created>
  <dcterms:modified xsi:type="dcterms:W3CDTF">2026-04-24T00:28:25.985Z</dcterms:modified>
</cp:coreProperties>
</file>

<file path=docProps/custom.xml><?xml version="1.0" encoding="utf-8"?>
<Properties xmlns="http://schemas.openxmlformats.org/officeDocument/2006/custom-properties" xmlns:vt="http://schemas.openxmlformats.org/officeDocument/2006/docPropsVTypes"/>
</file>