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947CA" w14:textId="77777777" w:rsidR="00495D8B" w:rsidRDefault="00495D8B">
      <w:pPr>
        <w:rPr>
          <w:rFonts w:asciiTheme="majorHAnsi" w:eastAsiaTheme="majorEastAsia" w:hAnsiTheme="majorHAnsi" w:cstheme="majorBidi"/>
          <w:sz w:val="44"/>
          <w:szCs w:val="44"/>
        </w:rPr>
      </w:pPr>
    </w:p>
    <w:p w14:paraId="06741263" w14:textId="77777777" w:rsidR="00C13E5A" w:rsidRDefault="00C13E5A">
      <w:pPr>
        <w:rPr>
          <w:rFonts w:asciiTheme="majorHAnsi" w:eastAsiaTheme="majorEastAsia" w:hAnsiTheme="majorHAnsi" w:cstheme="majorBidi"/>
          <w:sz w:val="44"/>
          <w:szCs w:val="44"/>
        </w:rPr>
      </w:pPr>
    </w:p>
    <w:p w14:paraId="2DF21923" w14:textId="77777777" w:rsidR="00C13E5A" w:rsidRDefault="00C13E5A">
      <w:pPr>
        <w:rPr>
          <w:rFonts w:asciiTheme="majorHAnsi" w:eastAsiaTheme="majorEastAsia" w:hAnsiTheme="majorHAnsi" w:cstheme="majorBidi"/>
          <w:sz w:val="44"/>
          <w:szCs w:val="44"/>
        </w:rPr>
      </w:pPr>
    </w:p>
    <w:p w14:paraId="3BBB1DE5" w14:textId="77777777" w:rsidR="00495D8B" w:rsidRDefault="00495D8B">
      <w:pPr>
        <w:rPr>
          <w:rFonts w:asciiTheme="majorHAnsi" w:eastAsiaTheme="majorEastAsia" w:hAnsiTheme="majorHAnsi" w:cstheme="majorBidi"/>
          <w:sz w:val="44"/>
          <w:szCs w:val="44"/>
        </w:rPr>
      </w:pPr>
    </w:p>
    <w:p w14:paraId="1476AD4A" w14:textId="77777777" w:rsidR="00495D8B" w:rsidRPr="001F3A03" w:rsidRDefault="00495D8B" w:rsidP="00495D8B">
      <w:pPr>
        <w:jc w:val="center"/>
        <w:rPr>
          <w:rFonts w:eastAsiaTheme="majorEastAsia"/>
          <w:b/>
          <w:sz w:val="28"/>
          <w:szCs w:val="28"/>
        </w:rPr>
      </w:pPr>
      <w:r w:rsidRPr="001F3A03">
        <w:rPr>
          <w:rFonts w:eastAsiaTheme="majorEastAsia"/>
          <w:b/>
          <w:sz w:val="28"/>
          <w:szCs w:val="28"/>
        </w:rPr>
        <w:t xml:space="preserve">REMITTANCE </w:t>
      </w:r>
      <w:r w:rsidR="00707D86">
        <w:rPr>
          <w:rFonts w:eastAsiaTheme="majorEastAsia"/>
          <w:b/>
          <w:sz w:val="28"/>
          <w:szCs w:val="28"/>
        </w:rPr>
        <w:t>AND</w:t>
      </w:r>
      <w:r w:rsidRPr="001F3A03">
        <w:rPr>
          <w:rFonts w:eastAsiaTheme="majorEastAsia"/>
          <w:b/>
          <w:sz w:val="28"/>
          <w:szCs w:val="28"/>
        </w:rPr>
        <w:t xml:space="preserve"> INFLATION</w:t>
      </w:r>
    </w:p>
    <w:p w14:paraId="27E2B438" w14:textId="77777777" w:rsidR="004960CF" w:rsidRPr="001F3A03" w:rsidRDefault="00495D8B" w:rsidP="00495D8B">
      <w:pPr>
        <w:jc w:val="center"/>
        <w:rPr>
          <w:rFonts w:eastAsiaTheme="majorEastAsia"/>
          <w:b/>
          <w:sz w:val="28"/>
          <w:szCs w:val="28"/>
        </w:rPr>
      </w:pPr>
      <w:r w:rsidRPr="001F3A03">
        <w:rPr>
          <w:rFonts w:eastAsiaTheme="majorEastAsia"/>
          <w:b/>
          <w:sz w:val="28"/>
          <w:szCs w:val="28"/>
        </w:rPr>
        <w:t>– AN EMPIRICAL STUDY FOR VIETNAM</w:t>
      </w:r>
    </w:p>
    <w:p w14:paraId="3F2894FF" w14:textId="77777777" w:rsidR="00495D8B" w:rsidRPr="001F3A03" w:rsidRDefault="00495D8B">
      <w:pPr>
        <w:rPr>
          <w:rFonts w:eastAsiaTheme="majorEastAsia"/>
          <w:b/>
          <w:sz w:val="28"/>
          <w:szCs w:val="28"/>
        </w:rPr>
      </w:pPr>
    </w:p>
    <w:p w14:paraId="12E8CD83" w14:textId="77777777" w:rsidR="00495D8B" w:rsidRDefault="00521A39" w:rsidP="00495D8B">
      <w:pPr>
        <w:ind w:left="720" w:firstLine="720"/>
        <w:jc w:val="center"/>
      </w:pPr>
      <w:r>
        <w:t xml:space="preserve">Hai, Nguyen </w:t>
      </w:r>
      <w:proofErr w:type="spellStart"/>
      <w:r>
        <w:t>Thi</w:t>
      </w:r>
      <w:proofErr w:type="spellEnd"/>
      <w:r>
        <w:t xml:space="preserve"> </w:t>
      </w:r>
      <w:proofErr w:type="spellStart"/>
      <w:r>
        <w:t>Hong</w:t>
      </w:r>
      <w:r w:rsidR="00495D8B">
        <w:rPr>
          <w:vertAlign w:val="superscript"/>
        </w:rPr>
        <w:t>a</w:t>
      </w:r>
      <w:proofErr w:type="spellEnd"/>
      <w:r w:rsidR="00495D8B">
        <w:t xml:space="preserve">; </w:t>
      </w:r>
      <w:r>
        <w:t>Thang</w:t>
      </w:r>
      <w:r w:rsidR="00495D8B">
        <w:t xml:space="preserve">, </w:t>
      </w:r>
      <w:r>
        <w:t xml:space="preserve">Doan </w:t>
      </w:r>
      <w:proofErr w:type="spellStart"/>
      <w:r>
        <w:t>Ngoc</w:t>
      </w:r>
      <w:r w:rsidR="00495D8B">
        <w:rPr>
          <w:vertAlign w:val="superscript"/>
        </w:rPr>
        <w:t>b</w:t>
      </w:r>
      <w:proofErr w:type="spellEnd"/>
    </w:p>
    <w:p w14:paraId="0820CA06" w14:textId="77777777" w:rsidR="00495D8B" w:rsidRDefault="00495D8B" w:rsidP="00495D8B">
      <w:pPr>
        <w:ind w:left="720" w:firstLine="720"/>
        <w:jc w:val="center"/>
      </w:pPr>
      <w:proofErr w:type="spellStart"/>
      <w:proofErr w:type="gramStart"/>
      <w:r>
        <w:t>a,b</w:t>
      </w:r>
      <w:proofErr w:type="spellEnd"/>
      <w:proofErr w:type="gramEnd"/>
      <w:r>
        <w:t>: International Business Faculty</w:t>
      </w:r>
    </w:p>
    <w:p w14:paraId="6CF2FAD4" w14:textId="77777777" w:rsidR="00495D8B" w:rsidRDefault="00495D8B" w:rsidP="00495D8B">
      <w:pPr>
        <w:ind w:left="720" w:firstLine="720"/>
        <w:jc w:val="center"/>
      </w:pPr>
      <w:r>
        <w:t>Banking Academy of Vietnam</w:t>
      </w:r>
    </w:p>
    <w:p w14:paraId="408D8F20" w14:textId="77777777" w:rsidR="00495D8B" w:rsidRPr="00672BBD" w:rsidRDefault="00495D8B" w:rsidP="00495D8B">
      <w:pPr>
        <w:ind w:left="720" w:firstLine="720"/>
        <w:jc w:val="center"/>
      </w:pPr>
      <w:r>
        <w:t xml:space="preserve">No.12 Chua </w:t>
      </w:r>
      <w:proofErr w:type="spellStart"/>
      <w:r>
        <w:t>Boc</w:t>
      </w:r>
      <w:proofErr w:type="spellEnd"/>
      <w:r>
        <w:t xml:space="preserve"> Str., Hanoi, Vietnam</w:t>
      </w:r>
    </w:p>
    <w:p w14:paraId="11B89F10" w14:textId="77777777" w:rsidR="00495D8B" w:rsidRDefault="00495D8B">
      <w:pPr>
        <w:rPr>
          <w:sz w:val="28"/>
          <w:szCs w:val="28"/>
        </w:rPr>
      </w:pPr>
    </w:p>
    <w:p w14:paraId="72BAD385" w14:textId="77777777" w:rsidR="00495D8B" w:rsidRPr="001F3A03" w:rsidRDefault="00495D8B">
      <w:pPr>
        <w:rPr>
          <w:b/>
          <w:sz w:val="28"/>
          <w:szCs w:val="28"/>
          <w:u w:val="single"/>
        </w:rPr>
      </w:pPr>
      <w:r w:rsidRPr="001F3A03">
        <w:rPr>
          <w:b/>
          <w:sz w:val="28"/>
          <w:szCs w:val="28"/>
          <w:u w:val="single"/>
        </w:rPr>
        <w:t>Abstract:</w:t>
      </w:r>
    </w:p>
    <w:p w14:paraId="045183B1" w14:textId="77777777" w:rsidR="00495D8B" w:rsidRDefault="0028698F">
      <w:pPr>
        <w:rPr>
          <w:i/>
        </w:rPr>
      </w:pPr>
      <w:r w:rsidRPr="006C1AB7">
        <w:rPr>
          <w:i/>
        </w:rPr>
        <w:t xml:space="preserve">Remittances have recently received such a great attention as private monetary flows that its monetary nature seems to be </w:t>
      </w:r>
      <w:r w:rsidR="00293C2C">
        <w:rPr>
          <w:i/>
        </w:rPr>
        <w:t>disregarded</w:t>
      </w:r>
      <w:r w:rsidRPr="006C1AB7">
        <w:rPr>
          <w:i/>
        </w:rPr>
        <w:t xml:space="preserve">. The issue that whether remittance flows are inflationary, resulting in a change in relative price, remains controversial. </w:t>
      </w:r>
      <w:r w:rsidR="00521A39">
        <w:rPr>
          <w:i/>
        </w:rPr>
        <w:t>This study utilizes</w:t>
      </w:r>
      <w:r w:rsidRPr="006C1AB7">
        <w:rPr>
          <w:i/>
        </w:rPr>
        <w:t xml:space="preserve"> a reduced-form VAR model to </w:t>
      </w:r>
      <w:proofErr w:type="gramStart"/>
      <w:r w:rsidRPr="006C1AB7">
        <w:rPr>
          <w:i/>
        </w:rPr>
        <w:t>investigate  the</w:t>
      </w:r>
      <w:proofErr w:type="gramEnd"/>
      <w:r w:rsidRPr="006C1AB7">
        <w:rPr>
          <w:i/>
        </w:rPr>
        <w:t xml:space="preserve"> inflation’s response to a positive shock to the remittance based on Ball et al (2009)’s study. We use a quarterly data from 1th quarter 1996 to 3th quarter 2012. The main findings are that </w:t>
      </w:r>
      <w:r>
        <w:rPr>
          <w:i/>
        </w:rPr>
        <w:t xml:space="preserve">first, </w:t>
      </w:r>
      <w:r w:rsidRPr="006C1AB7">
        <w:rPr>
          <w:i/>
        </w:rPr>
        <w:t>there exists a positive effect of remittance on inflation in Vietnam and its effect</w:t>
      </w:r>
      <w:r w:rsidR="001F3A03">
        <w:rPr>
          <w:i/>
        </w:rPr>
        <w:t>s</w:t>
      </w:r>
      <w:r w:rsidRPr="006C1AB7">
        <w:rPr>
          <w:i/>
        </w:rPr>
        <w:t xml:space="preserve"> </w:t>
      </w:r>
      <w:r w:rsidR="001F3A03">
        <w:rPr>
          <w:i/>
        </w:rPr>
        <w:t>prolong</w:t>
      </w:r>
      <w:r w:rsidRPr="006C1AB7">
        <w:rPr>
          <w:i/>
        </w:rPr>
        <w:t xml:space="preserve"> up to three quarters</w:t>
      </w:r>
      <w:r>
        <w:rPr>
          <w:i/>
        </w:rPr>
        <w:t>; second</w:t>
      </w:r>
      <w:r w:rsidR="00345BA6">
        <w:rPr>
          <w:i/>
        </w:rPr>
        <w:t xml:space="preserve"> others main macroeconomic factors also affect </w:t>
      </w:r>
      <w:r w:rsidR="009A1CD9">
        <w:rPr>
          <w:i/>
        </w:rPr>
        <w:t xml:space="preserve">inflation </w:t>
      </w:r>
      <w:r w:rsidR="00345BA6">
        <w:rPr>
          <w:i/>
        </w:rPr>
        <w:t xml:space="preserve">but </w:t>
      </w:r>
      <w:r w:rsidR="009A1CD9">
        <w:rPr>
          <w:i/>
        </w:rPr>
        <w:t>at a lower magnitude compared with remittances.</w:t>
      </w:r>
    </w:p>
    <w:p w14:paraId="4635BFD8" w14:textId="77777777" w:rsidR="0028698F" w:rsidRDefault="0028698F">
      <w:pPr>
        <w:rPr>
          <w:i/>
        </w:rPr>
      </w:pPr>
    </w:p>
    <w:p w14:paraId="170D9132" w14:textId="77777777" w:rsidR="0028698F" w:rsidRDefault="0028698F">
      <w:pPr>
        <w:rPr>
          <w:i/>
        </w:rPr>
      </w:pPr>
      <w:r w:rsidRPr="006C1AB7">
        <w:rPr>
          <w:i/>
        </w:rPr>
        <w:t>Key words: Remittance, Inflation, VAR.</w:t>
      </w:r>
    </w:p>
    <w:p w14:paraId="7E87E8D4" w14:textId="77777777" w:rsidR="0028698F" w:rsidRDefault="0028698F">
      <w:pPr>
        <w:rPr>
          <w:i/>
        </w:rPr>
      </w:pPr>
    </w:p>
    <w:p w14:paraId="3EFBF9A9" w14:textId="77777777" w:rsidR="0028698F" w:rsidRDefault="0028698F">
      <w:pPr>
        <w:rPr>
          <w:i/>
        </w:rPr>
      </w:pPr>
    </w:p>
    <w:p w14:paraId="63A5B0EB" w14:textId="77777777" w:rsidR="0028698F" w:rsidRDefault="0028698F">
      <w:pPr>
        <w:rPr>
          <w:i/>
        </w:rPr>
      </w:pPr>
    </w:p>
    <w:p w14:paraId="6681101E" w14:textId="77777777" w:rsidR="0028698F" w:rsidRDefault="0028698F">
      <w:pPr>
        <w:rPr>
          <w:i/>
        </w:rPr>
      </w:pPr>
    </w:p>
    <w:p w14:paraId="00544C8F" w14:textId="77777777" w:rsidR="0028698F" w:rsidRDefault="0028698F">
      <w:pPr>
        <w:rPr>
          <w:i/>
        </w:rPr>
      </w:pPr>
    </w:p>
    <w:p w14:paraId="3D09AE84" w14:textId="77777777" w:rsidR="0028698F" w:rsidRDefault="0028698F">
      <w:pPr>
        <w:rPr>
          <w:i/>
        </w:rPr>
      </w:pPr>
    </w:p>
    <w:p w14:paraId="3778CA02" w14:textId="77777777" w:rsidR="00C13E5A" w:rsidRPr="00A71FA3" w:rsidRDefault="00C13E5A" w:rsidP="00C13E5A">
      <w:pPr>
        <w:jc w:val="both"/>
        <w:rPr>
          <w:b/>
        </w:rPr>
      </w:pPr>
      <w:r w:rsidRPr="00A71FA3">
        <w:rPr>
          <w:b/>
        </w:rPr>
        <w:lastRenderedPageBreak/>
        <w:t>INTRODUCTION</w:t>
      </w:r>
    </w:p>
    <w:p w14:paraId="2FEA7E9A" w14:textId="77777777" w:rsidR="00C13E5A" w:rsidRPr="00A71FA3" w:rsidRDefault="00C13E5A" w:rsidP="00C13E5A">
      <w:pPr>
        <w:jc w:val="both"/>
      </w:pPr>
      <w:r w:rsidRPr="00A71FA3">
        <w:t xml:space="preserve">The remittance flows play an important role in many developing countries due to the positive effects. However, these flows, simultaneously, have the negative impact on economies, say, increasing the inflation. This paper will use the VAR method to analyze the impact of remittance on inflation in Vietnam from 1996 to 2012. </w:t>
      </w:r>
    </w:p>
    <w:p w14:paraId="5207A58C" w14:textId="77777777" w:rsidR="00C13E5A" w:rsidRPr="00A71FA3" w:rsidRDefault="00C13E5A" w:rsidP="00C13E5A">
      <w:pPr>
        <w:jc w:val="both"/>
      </w:pPr>
      <w:r w:rsidRPr="00A71FA3">
        <w:t>Economists are interested in the impacts of remittance flow on inflation. Theoretically, these impacts lead to three different results: an appreciation of local currency, an increase in money supply and a change in BOP. Salter-Swan-</w:t>
      </w:r>
      <w:proofErr w:type="spellStart"/>
      <w:r w:rsidRPr="00A71FA3">
        <w:t>Corden</w:t>
      </w:r>
      <w:proofErr w:type="spellEnd"/>
      <w:r w:rsidRPr="00A71FA3">
        <w:t>-</w:t>
      </w:r>
      <w:proofErr w:type="spellStart"/>
      <w:r w:rsidRPr="00A71FA3">
        <w:t>Dornbusch</w:t>
      </w:r>
      <w:proofErr w:type="spellEnd"/>
      <w:r w:rsidRPr="00A71FA3">
        <w:t xml:space="preserve"> model explains the relationship between the inflow (remittance in this case), price level, and real exchange rate in developing countries. The remittance will affect the consumption, leading the price increase, then home currency appreciates. However, the final impacts depend on the exchange rate regime. In fixed exchange rate regime, the inflows will cause inflation and the nominal money supply increase. It </w:t>
      </w:r>
      <w:r>
        <w:t>causes</w:t>
      </w:r>
      <w:r w:rsidRPr="00A71FA3">
        <w:t xml:space="preserve"> the home currency appreciate. In the float exchange rate regime, the remittance seems not to impact the inflation as well as nominal money supply. </w:t>
      </w:r>
    </w:p>
    <w:p w14:paraId="0A66D044" w14:textId="77777777" w:rsidR="00C13E5A" w:rsidRPr="00A71FA3" w:rsidRDefault="00C13E5A" w:rsidP="00C13E5A">
      <w:pPr>
        <w:jc w:val="both"/>
      </w:pPr>
      <w:r w:rsidRPr="00A71FA3">
        <w:t>An increase in remittance flow will rise the foreign currency supply, leading home currency appreciation and foreign currency depreciation. In fixed exchange rate regime, central bank must intervene the market by buying foreign currency to prevent home currency from appreciation. This intervention increases the nominal supply. At the same time, central bank, normally, sterilize the increase of money supply through the open market. However, this sterilization is not as efficient as desired, which causes inflation. By contrast, central bank does not intervene the foreign market, therefore both nominal money supply and inflation remain unchanged.</w:t>
      </w:r>
    </w:p>
    <w:p w14:paraId="25508377" w14:textId="77777777" w:rsidR="00C13E5A" w:rsidRPr="00A71FA3" w:rsidRDefault="00C13E5A" w:rsidP="00C13E5A">
      <w:pPr>
        <w:jc w:val="both"/>
      </w:pPr>
      <w:r w:rsidRPr="00A71FA3">
        <w:t xml:space="preserve">In theory, Ball </w:t>
      </w:r>
      <w:r>
        <w:t>et al.</w:t>
      </w:r>
      <w:r w:rsidRPr="00A71FA3">
        <w:t xml:space="preserve"> (2009) used the money model to prove the above conclusions about the impact of the remittance on inflation. He also found out the empirical evidence for these conclusions when using the data in Brazil, Colombia, Costa Rica, Dominica Republic, Ecuador, El Salvador and Mexico </w:t>
      </w:r>
      <w:proofErr w:type="gramStart"/>
      <w:r w:rsidRPr="00A71FA3">
        <w:t>form</w:t>
      </w:r>
      <w:proofErr w:type="gramEnd"/>
      <w:r w:rsidRPr="00A71FA3">
        <w:t xml:space="preserve"> 1980 to 2006. Before that, Caceres and </w:t>
      </w:r>
      <w:proofErr w:type="spellStart"/>
      <w:r w:rsidRPr="00A71FA3">
        <w:t>Saca</w:t>
      </w:r>
      <w:proofErr w:type="spellEnd"/>
      <w:r w:rsidRPr="00A71FA3">
        <w:t xml:space="preserve"> (2006) indicated that large remittance flow caused inflation in El Salvador increase while this country seeks the fixed exchange rate regime. Others findings conducted by </w:t>
      </w:r>
      <w:proofErr w:type="spellStart"/>
      <w:r w:rsidRPr="00A71FA3">
        <w:t>Amuedo-Dorantes</w:t>
      </w:r>
      <w:proofErr w:type="spellEnd"/>
      <w:r w:rsidRPr="00A71FA3">
        <w:t xml:space="preserve"> &amp; </w:t>
      </w:r>
      <w:proofErr w:type="spellStart"/>
      <w:r w:rsidRPr="00A71FA3">
        <w:t>Poro</w:t>
      </w:r>
      <w:proofErr w:type="spellEnd"/>
      <w:r w:rsidRPr="00A71FA3">
        <w:t xml:space="preserve"> (2004), </w:t>
      </w:r>
      <w:proofErr w:type="spellStart"/>
      <w:r w:rsidRPr="00A71FA3">
        <w:t>Bourdet</w:t>
      </w:r>
      <w:proofErr w:type="spellEnd"/>
      <w:r w:rsidRPr="00A71FA3">
        <w:t xml:space="preserve"> &amp; </w:t>
      </w:r>
      <w:proofErr w:type="spellStart"/>
      <w:r w:rsidRPr="00A71FA3">
        <w:t>Falck</w:t>
      </w:r>
      <w:proofErr w:type="spellEnd"/>
      <w:r w:rsidRPr="00A71FA3">
        <w:t xml:space="preserve"> (2006), Lopez, Molina &amp; </w:t>
      </w:r>
      <w:proofErr w:type="spellStart"/>
      <w:r w:rsidRPr="00A71FA3">
        <w:t>Bussolo</w:t>
      </w:r>
      <w:proofErr w:type="spellEnd"/>
      <w:r w:rsidRPr="00A71FA3">
        <w:t xml:space="preserve"> (2007) show the same results about the effects of the remittance on inflation under the fixed exchange rate regime. However, the empirical evidence of those effects under the float exchange rate regime is not clear.</w:t>
      </w:r>
    </w:p>
    <w:p w14:paraId="1CD04001" w14:textId="77777777" w:rsidR="00C13E5A" w:rsidRPr="00A71FA3" w:rsidRDefault="00C13E5A" w:rsidP="00C13E5A">
      <w:pPr>
        <w:jc w:val="both"/>
      </w:pPr>
      <w:r w:rsidRPr="00A71FA3">
        <w:lastRenderedPageBreak/>
        <w:t>There is no official research about the impact of the remittance on inflation in Vietnam. Previous research only focused on the effect of the remittance on economy under microeconomic view, say, Le &amp; Nguyen (1999), Nguyen and colleagues (2005), Dang (2005), Hernandez-</w:t>
      </w:r>
      <w:proofErr w:type="spellStart"/>
      <w:r w:rsidRPr="00A71FA3">
        <w:t>Coss</w:t>
      </w:r>
      <w:proofErr w:type="spellEnd"/>
      <w:r w:rsidRPr="00A71FA3">
        <w:t xml:space="preserve"> (2005), </w:t>
      </w:r>
      <w:proofErr w:type="spellStart"/>
      <w:r w:rsidRPr="00A71FA3">
        <w:t>Sakr</w:t>
      </w:r>
      <w:proofErr w:type="spellEnd"/>
      <w:r w:rsidRPr="00A71FA3">
        <w:t xml:space="preserve"> (2006), </w:t>
      </w:r>
      <w:proofErr w:type="spellStart"/>
      <w:r w:rsidRPr="00A71FA3">
        <w:t>Pfau</w:t>
      </w:r>
      <w:proofErr w:type="spellEnd"/>
      <w:r w:rsidRPr="00A71FA3">
        <w:t xml:space="preserve"> &amp; </w:t>
      </w:r>
      <w:proofErr w:type="spellStart"/>
      <w:r w:rsidRPr="00A71FA3">
        <w:t>Giang</w:t>
      </w:r>
      <w:proofErr w:type="spellEnd"/>
      <w:r w:rsidRPr="00A71FA3">
        <w:t xml:space="preserve"> (2006), Nguyen (2006), Nguyen (2007), Do (2007) and Nguyen (2009). Therefore, this paper is new at this time. </w:t>
      </w:r>
    </w:p>
    <w:p w14:paraId="7C341CAF" w14:textId="77777777" w:rsidR="00C13E5A" w:rsidRPr="00A71FA3" w:rsidRDefault="00C13E5A" w:rsidP="00C13E5A">
      <w:pPr>
        <w:jc w:val="both"/>
        <w:rPr>
          <w:b/>
        </w:rPr>
      </w:pPr>
      <w:r w:rsidRPr="00A71FA3">
        <w:rPr>
          <w:b/>
        </w:rPr>
        <w:t>Overview on Vietnam’s remittance</w:t>
      </w:r>
    </w:p>
    <w:p w14:paraId="763D59DC" w14:textId="77777777" w:rsidR="00C13E5A" w:rsidRPr="004464CD" w:rsidRDefault="00C13E5A" w:rsidP="00C13E5A">
      <w:pPr>
        <w:jc w:val="both"/>
        <w:rPr>
          <w:color w:val="auto"/>
        </w:rPr>
      </w:pPr>
      <w:r w:rsidRPr="004464CD">
        <w:rPr>
          <w:color w:val="auto"/>
        </w:rPr>
        <w:t>With about 5 million Vietnamese living and working in around 90 different nations and territories, Vietnam is one of the world’s top 10 remittance-receiving countries, with remittances from overseas Vietnamese in 2013 recorded at US$10.6 billion that is equivalent to about 6.5 per cent compared with previous year, according to the World Bank.</w:t>
      </w:r>
    </w:p>
    <w:p w14:paraId="2AAD4987" w14:textId="77777777" w:rsidR="00C13E5A" w:rsidRPr="004464CD" w:rsidRDefault="00C13E5A" w:rsidP="00C13E5A">
      <w:pPr>
        <w:jc w:val="both"/>
        <w:rPr>
          <w:color w:val="auto"/>
        </w:rPr>
      </w:pPr>
      <w:r w:rsidRPr="004464CD">
        <w:rPr>
          <w:color w:val="auto"/>
        </w:rPr>
        <w:t>Remittance is one of two foreign inflow capitals (the other is FDI) which accounts for the largest share in Vietnam and tends to increase over years. In period 2003-2006, the value of remittance exceeded the FDI’s. Compared to ODA, remittance always surpasses. (Figure 1, 2, and 3, see Appendix)</w:t>
      </w:r>
    </w:p>
    <w:p w14:paraId="54EA9C94" w14:textId="77777777" w:rsidR="00C13E5A" w:rsidRPr="00A71FA3" w:rsidRDefault="00C13E5A" w:rsidP="00C13E5A">
      <w:pPr>
        <w:jc w:val="both"/>
        <w:rPr>
          <w:b/>
          <w:color w:val="000000"/>
        </w:rPr>
      </w:pPr>
      <w:r>
        <w:rPr>
          <w:b/>
          <w:color w:val="000000"/>
        </w:rPr>
        <w:t>Variables and Data D</w:t>
      </w:r>
      <w:r w:rsidRPr="00A71FA3">
        <w:rPr>
          <w:b/>
          <w:color w:val="000000"/>
        </w:rPr>
        <w:t>escription</w:t>
      </w:r>
    </w:p>
    <w:p w14:paraId="4785C01E" w14:textId="77777777" w:rsidR="00C13E5A" w:rsidRPr="00A71FA3" w:rsidRDefault="00C13E5A" w:rsidP="00C13E5A">
      <w:pPr>
        <w:jc w:val="both"/>
        <w:rPr>
          <w:rFonts w:ascii="TimesNewRomanPSMT" w:hAnsi="TimesNewRomanPSMT" w:cs="TimesNewRomanPSMT"/>
        </w:rPr>
      </w:pPr>
      <w:r w:rsidRPr="00A71FA3">
        <w:rPr>
          <w:color w:val="000000"/>
        </w:rPr>
        <w:t xml:space="preserve">Our VAR model uses four endogenous variables, which are adequate in explain the remittance framework of a </w:t>
      </w:r>
      <w:r w:rsidRPr="00A71FA3">
        <w:t xml:space="preserve">small open economy like Vietnam. We choose variables based on the variables used by Ball et al. (2009). In their model, they use </w:t>
      </w:r>
      <w:r w:rsidRPr="00A71FA3">
        <w:rPr>
          <w:rFonts w:ascii="TimesNewRomanPSMT" w:hAnsi="TimesNewRomanPSMT" w:cs="TimesNewRomanPSMT"/>
        </w:rPr>
        <w:t xml:space="preserve">quarterly data for the CPI, nominal money supply (M2), real GDP, real exchange rate (RER) and remittances (REM). In our VAR model, we use the consumer price index (CPI), nominal money supply (M2), real effective exchange rate (REER) and remittances (REM). The data set is obtained from several various sources. The data of Vietnam’s CPI, Vietnam’s money supply is obtained from the International Financial Statistics (IFS). Remittance (REM) is obtained from </w:t>
      </w:r>
      <w:r w:rsidRPr="00A71FA3">
        <w:t xml:space="preserve">General Statistics Office of Vietnam (GSO) and </w:t>
      </w:r>
      <w:r w:rsidRPr="00A71FA3">
        <w:rPr>
          <w:rFonts w:ascii="TimesNewRomanPSMT" w:hAnsi="TimesNewRomanPSMT" w:cs="TimesNewRomanPSMT"/>
        </w:rPr>
        <w:t xml:space="preserve">International Financial Statistics (IFS). The REER is calculated as a weighted average of real exchange rates of the Vietnamese currency to the currencies of Vietnam’s main trading partners. The original data is </w:t>
      </w:r>
      <w:r w:rsidRPr="00A71FA3">
        <w:t xml:space="preserve">adjusted seasonally by Census 11 method and then, </w:t>
      </w:r>
      <w:r w:rsidRPr="00A71FA3">
        <w:rPr>
          <w:rFonts w:ascii="TimesNewRomanPSMT" w:hAnsi="TimesNewRomanPSMT" w:cs="TimesNewRomanPSMT"/>
        </w:rPr>
        <w:t>transformed into logarithms. The period considered is 1996:1 to 2012:3.</w:t>
      </w:r>
    </w:p>
    <w:p w14:paraId="71281D61" w14:textId="77777777" w:rsidR="00C13E5A" w:rsidRPr="00A71FA3" w:rsidRDefault="00C13E5A" w:rsidP="00C13E5A">
      <w:pPr>
        <w:jc w:val="both"/>
        <w:rPr>
          <w:color w:val="000000"/>
        </w:rPr>
      </w:pPr>
      <w:r w:rsidRPr="00FC3E9A">
        <w:rPr>
          <w:rFonts w:ascii="TimesNewRomanPSMT" w:hAnsi="TimesNewRomanPSMT" w:cs="TimesNewRomanPSMT"/>
        </w:rPr>
        <w:t xml:space="preserve">A preliminary investigation of the variables demonstrates that </w:t>
      </w:r>
      <w:r>
        <w:rPr>
          <w:rFonts w:ascii="TimesNewRomanPSMT" w:hAnsi="TimesNewRomanPSMT" w:cs="TimesNewRomanPSMT"/>
        </w:rPr>
        <w:t>all of our variables</w:t>
      </w:r>
      <w:r w:rsidRPr="00FC3E9A">
        <w:rPr>
          <w:rFonts w:ascii="TimesNewRomanPSMT" w:hAnsi="TimesNewRomanPSMT" w:cs="TimesNewRomanPSMT"/>
        </w:rPr>
        <w:t xml:space="preserve"> are non-stationary. Hence, our analysis focuses on the continuously compounded growth rates of CPI, M2, REER, and REM. The quarterly percentage changes reported are annualized percentage changes </w:t>
      </w:r>
      <w:r w:rsidRPr="00FC3E9A">
        <w:t>(Table 2, see Appendix</w:t>
      </w:r>
      <w:r w:rsidRPr="00A71FA3">
        <w:rPr>
          <w:color w:val="000000"/>
        </w:rPr>
        <w:t>).</w:t>
      </w:r>
    </w:p>
    <w:p w14:paraId="2AFC1451" w14:textId="77777777" w:rsidR="00C13E5A" w:rsidRPr="00A71FA3" w:rsidRDefault="00C13E5A" w:rsidP="00C13E5A">
      <w:pPr>
        <w:jc w:val="both"/>
        <w:rPr>
          <w:rFonts w:ascii="TimesNewRomanPSMT" w:hAnsi="TimesNewRomanPSMT" w:cs="TimesNewRomanPSMT"/>
          <w:b/>
        </w:rPr>
      </w:pPr>
      <w:r w:rsidRPr="00A71FA3">
        <w:rPr>
          <w:rFonts w:ascii="TimesNewRomanPSMT" w:hAnsi="TimesNewRomanPSMT" w:cs="TimesNewRomanPSMT"/>
          <w:b/>
        </w:rPr>
        <w:lastRenderedPageBreak/>
        <w:t>Methodology</w:t>
      </w:r>
    </w:p>
    <w:p w14:paraId="23A4277E" w14:textId="77777777" w:rsidR="00C13E5A" w:rsidRPr="00A71FA3" w:rsidRDefault="00C13E5A" w:rsidP="00C13E5A">
      <w:pPr>
        <w:jc w:val="both"/>
        <w:rPr>
          <w:color w:val="000000"/>
        </w:rPr>
      </w:pPr>
      <w:r w:rsidRPr="00A71FA3">
        <w:rPr>
          <w:color w:val="000000"/>
        </w:rPr>
        <w:t>The empirical behavior of the variables is modeled using the Vector Autoregressive approach.</w:t>
      </w:r>
    </w:p>
    <w:p w14:paraId="6B8BCBDC" w14:textId="77777777" w:rsidR="00C13E5A" w:rsidRPr="00A71FA3" w:rsidRDefault="00C13E5A" w:rsidP="00C13E5A">
      <w:pPr>
        <w:jc w:val="both"/>
        <w:rPr>
          <w:color w:val="000000"/>
        </w:rPr>
      </w:pPr>
      <w:r w:rsidRPr="00A71FA3">
        <w:rPr>
          <w:color w:val="000000"/>
        </w:rPr>
        <w:t xml:space="preserve">The initial econometric model </w:t>
      </w:r>
      <w:r>
        <w:rPr>
          <w:color w:val="000000"/>
        </w:rPr>
        <w:t>has</w:t>
      </w:r>
      <w:r w:rsidRPr="00A71FA3">
        <w:rPr>
          <w:color w:val="000000"/>
        </w:rPr>
        <w:t xml:space="preserve"> the reduced form</w:t>
      </w:r>
      <w:r>
        <w:rPr>
          <w:color w:val="000000"/>
        </w:rPr>
        <w:t xml:space="preserve"> as following</w:t>
      </w:r>
      <w:r w:rsidRPr="00A71FA3">
        <w:rPr>
          <w:color w:val="000000"/>
        </w:rPr>
        <w:t>:</w:t>
      </w:r>
    </w:p>
    <w:p w14:paraId="6D18B4E0" w14:textId="77777777" w:rsidR="00C13E5A" w:rsidRPr="00A71FA3" w:rsidRDefault="00C13E5A" w:rsidP="00C13E5A">
      <w:pPr>
        <w:jc w:val="both"/>
        <w:rPr>
          <w:color w:val="000000"/>
        </w:rPr>
      </w:pPr>
      <w:r w:rsidRPr="00A71FA3">
        <w:rPr>
          <w:color w:val="000000"/>
        </w:rPr>
        <w:tab/>
      </w:r>
      <w:r w:rsidRPr="00A71FA3">
        <w:rPr>
          <w:color w:val="000000"/>
        </w:rPr>
        <w:tab/>
      </w:r>
      <w:proofErr w:type="spellStart"/>
      <w:proofErr w:type="gramStart"/>
      <w:r w:rsidRPr="00A71FA3">
        <w:rPr>
          <w:color w:val="000000"/>
        </w:rPr>
        <w:t>Y</w:t>
      </w:r>
      <w:r w:rsidRPr="00A71FA3">
        <w:rPr>
          <w:color w:val="000000"/>
          <w:vertAlign w:val="subscript"/>
        </w:rPr>
        <w:t>i,t</w:t>
      </w:r>
      <w:proofErr w:type="spellEnd"/>
      <w:proofErr w:type="gramEnd"/>
      <w:r w:rsidRPr="00A71FA3">
        <w:rPr>
          <w:color w:val="000000"/>
        </w:rPr>
        <w:t xml:space="preserve"> = Γ(L)</w:t>
      </w:r>
      <w:proofErr w:type="spellStart"/>
      <w:r w:rsidRPr="00A71FA3">
        <w:rPr>
          <w:color w:val="000000"/>
        </w:rPr>
        <w:t>Y</w:t>
      </w:r>
      <w:r>
        <w:rPr>
          <w:color w:val="000000"/>
          <w:vertAlign w:val="subscript"/>
        </w:rPr>
        <w:t>i</w:t>
      </w:r>
      <w:r w:rsidRPr="00A71FA3">
        <w:rPr>
          <w:color w:val="000000"/>
          <w:vertAlign w:val="subscript"/>
        </w:rPr>
        <w:t>t</w:t>
      </w:r>
      <w:proofErr w:type="spellEnd"/>
      <w:r w:rsidRPr="00A71FA3">
        <w:rPr>
          <w:color w:val="000000"/>
        </w:rPr>
        <w:t xml:space="preserve"> + </w:t>
      </w:r>
      <w:proofErr w:type="spellStart"/>
      <w:r w:rsidRPr="00A71FA3">
        <w:rPr>
          <w:color w:val="000000"/>
        </w:rPr>
        <w:t>u</w:t>
      </w:r>
      <w:r>
        <w:rPr>
          <w:color w:val="000000"/>
          <w:vertAlign w:val="subscript"/>
        </w:rPr>
        <w:t>i</w:t>
      </w:r>
      <w:r w:rsidRPr="00A71FA3">
        <w:rPr>
          <w:color w:val="000000"/>
          <w:vertAlign w:val="subscript"/>
        </w:rPr>
        <w:t>t</w:t>
      </w:r>
      <w:proofErr w:type="spellEnd"/>
      <w:r w:rsidRPr="00A71FA3">
        <w:rPr>
          <w:color w:val="000000"/>
        </w:rPr>
        <w:tab/>
      </w:r>
      <w:r w:rsidRPr="00A71FA3">
        <w:rPr>
          <w:color w:val="000000"/>
        </w:rPr>
        <w:tab/>
      </w:r>
      <w:r w:rsidRPr="00A71FA3">
        <w:rPr>
          <w:color w:val="000000"/>
        </w:rPr>
        <w:tab/>
      </w:r>
      <w:r w:rsidRPr="00A71FA3">
        <w:rPr>
          <w:color w:val="000000"/>
        </w:rPr>
        <w:tab/>
      </w:r>
      <w:r w:rsidRPr="00A71FA3">
        <w:rPr>
          <w:color w:val="000000"/>
        </w:rPr>
        <w:tab/>
      </w:r>
      <w:r w:rsidRPr="00A71FA3">
        <w:rPr>
          <w:color w:val="000000"/>
        </w:rPr>
        <w:tab/>
        <w:t>(1)</w:t>
      </w:r>
    </w:p>
    <w:p w14:paraId="67DFDC40" w14:textId="77777777" w:rsidR="00C13E5A" w:rsidRPr="00A71FA3" w:rsidRDefault="00C13E5A" w:rsidP="00C13E5A">
      <w:pPr>
        <w:jc w:val="both"/>
        <w:rPr>
          <w:color w:val="000000"/>
        </w:rPr>
      </w:pPr>
      <w:r w:rsidRPr="00A71FA3">
        <w:rPr>
          <w:color w:val="000000"/>
        </w:rPr>
        <w:t xml:space="preserve">where </w:t>
      </w:r>
      <w:proofErr w:type="spellStart"/>
      <w:r w:rsidRPr="00A71FA3">
        <w:rPr>
          <w:color w:val="000000"/>
        </w:rPr>
        <w:t>Y</w:t>
      </w:r>
      <w:r>
        <w:rPr>
          <w:color w:val="000000"/>
          <w:vertAlign w:val="subscript"/>
        </w:rPr>
        <w:t>i</w:t>
      </w:r>
      <w:r w:rsidRPr="00A71FA3">
        <w:rPr>
          <w:color w:val="000000"/>
          <w:vertAlign w:val="subscript"/>
        </w:rPr>
        <w:t>t</w:t>
      </w:r>
      <w:proofErr w:type="spellEnd"/>
      <w:r w:rsidRPr="00A71FA3">
        <w:rPr>
          <w:color w:val="000000"/>
        </w:rPr>
        <w:t xml:space="preserve"> is the 4</w:t>
      </w:r>
      <m:oMath>
        <m:r>
          <w:rPr>
            <w:rFonts w:ascii="Cambria Math" w:hAnsi="Cambria Math"/>
            <w:color w:val="000000"/>
          </w:rPr>
          <m:t>×</m:t>
        </m:r>
      </m:oMath>
      <w:r w:rsidRPr="00A71FA3">
        <w:rPr>
          <w:color w:val="000000"/>
        </w:rPr>
        <w:t xml:space="preserve">1 dependent and endogenous vector of variables with </w:t>
      </w:r>
      <w:proofErr w:type="spellStart"/>
      <w:proofErr w:type="gramStart"/>
      <w:r w:rsidRPr="00A71FA3">
        <w:rPr>
          <w:color w:val="000000"/>
        </w:rPr>
        <w:t>Y</w:t>
      </w:r>
      <w:r w:rsidRPr="00A71FA3">
        <w:rPr>
          <w:color w:val="000000"/>
          <w:vertAlign w:val="subscript"/>
        </w:rPr>
        <w:t>i,t</w:t>
      </w:r>
      <w:proofErr w:type="spellEnd"/>
      <w:proofErr w:type="gramEnd"/>
      <w:r w:rsidRPr="00A71FA3">
        <w:rPr>
          <w:color w:val="000000"/>
        </w:rPr>
        <w:t xml:space="preserve"> = [</w:t>
      </w:r>
      <w:proofErr w:type="spellStart"/>
      <w:r w:rsidRPr="00A71FA3">
        <w:rPr>
          <w:color w:val="000000"/>
        </w:rPr>
        <w:t>Δln</w:t>
      </w:r>
      <w:proofErr w:type="spellEnd"/>
      <w:r w:rsidRPr="00A71FA3">
        <w:rPr>
          <w:color w:val="000000"/>
        </w:rPr>
        <w:t>(REM)</w:t>
      </w:r>
      <w:r>
        <w:rPr>
          <w:color w:val="000000"/>
          <w:vertAlign w:val="subscript"/>
        </w:rPr>
        <w:t>i</w:t>
      </w:r>
      <w:r w:rsidRPr="00A71FA3">
        <w:rPr>
          <w:color w:val="000000"/>
          <w:vertAlign w:val="subscript"/>
        </w:rPr>
        <w:t>t</w:t>
      </w:r>
      <w:r w:rsidRPr="00A71FA3">
        <w:rPr>
          <w:color w:val="000000"/>
        </w:rPr>
        <w:t xml:space="preserve">, </w:t>
      </w:r>
      <w:proofErr w:type="spellStart"/>
      <w:r w:rsidRPr="00A71FA3">
        <w:rPr>
          <w:color w:val="000000"/>
        </w:rPr>
        <w:t>Δln</w:t>
      </w:r>
      <w:proofErr w:type="spellEnd"/>
      <w:r w:rsidRPr="00A71FA3">
        <w:rPr>
          <w:color w:val="000000"/>
        </w:rPr>
        <w:t>(M2)</w:t>
      </w:r>
      <w:r>
        <w:rPr>
          <w:color w:val="000000"/>
          <w:vertAlign w:val="subscript"/>
        </w:rPr>
        <w:t>i</w:t>
      </w:r>
      <w:r w:rsidRPr="00A71FA3">
        <w:rPr>
          <w:color w:val="000000"/>
          <w:vertAlign w:val="subscript"/>
        </w:rPr>
        <w:t>t</w:t>
      </w:r>
      <w:r w:rsidRPr="00A71FA3">
        <w:rPr>
          <w:color w:val="000000"/>
        </w:rPr>
        <w:t xml:space="preserve">, </w:t>
      </w:r>
      <w:proofErr w:type="spellStart"/>
      <w:r w:rsidRPr="00A71FA3">
        <w:rPr>
          <w:color w:val="000000"/>
        </w:rPr>
        <w:t>Δln</w:t>
      </w:r>
      <w:proofErr w:type="spellEnd"/>
      <w:r w:rsidRPr="00A71FA3">
        <w:rPr>
          <w:color w:val="000000"/>
        </w:rPr>
        <w:t>(CPI)</w:t>
      </w:r>
      <w:r>
        <w:rPr>
          <w:color w:val="000000"/>
          <w:vertAlign w:val="subscript"/>
        </w:rPr>
        <w:t>i</w:t>
      </w:r>
      <w:r w:rsidRPr="00A71FA3">
        <w:rPr>
          <w:color w:val="000000"/>
          <w:vertAlign w:val="subscript"/>
        </w:rPr>
        <w:t>t</w:t>
      </w:r>
      <w:r w:rsidRPr="00A71FA3">
        <w:rPr>
          <w:color w:val="000000"/>
        </w:rPr>
        <w:t xml:space="preserve">, </w:t>
      </w:r>
      <w:proofErr w:type="spellStart"/>
      <w:r w:rsidRPr="00A71FA3">
        <w:rPr>
          <w:color w:val="000000"/>
        </w:rPr>
        <w:t>Δln</w:t>
      </w:r>
      <w:proofErr w:type="spellEnd"/>
      <w:r w:rsidRPr="00A71FA3">
        <w:rPr>
          <w:color w:val="000000"/>
        </w:rPr>
        <w:t>(REER)</w:t>
      </w:r>
      <w:r>
        <w:rPr>
          <w:color w:val="000000"/>
          <w:vertAlign w:val="subscript"/>
        </w:rPr>
        <w:t>i</w:t>
      </w:r>
      <w:r w:rsidRPr="00A71FA3">
        <w:rPr>
          <w:color w:val="000000"/>
          <w:vertAlign w:val="subscript"/>
        </w:rPr>
        <w:t>t</w:t>
      </w:r>
      <w:r w:rsidRPr="00A71FA3">
        <w:rPr>
          <w:color w:val="000000"/>
        </w:rPr>
        <w:t>]’. Γ(L) is matrix polynomial in the lag operator (with Γ(L)= Γ</w:t>
      </w:r>
      <w:r w:rsidRPr="00A71FA3">
        <w:rPr>
          <w:color w:val="000000"/>
          <w:vertAlign w:val="subscript"/>
        </w:rPr>
        <w:t>1</w:t>
      </w:r>
      <w:r w:rsidRPr="00A71FA3">
        <w:rPr>
          <w:color w:val="000000"/>
        </w:rPr>
        <w:t>(L) + Γ</w:t>
      </w:r>
      <w:r w:rsidRPr="00A71FA3">
        <w:rPr>
          <w:color w:val="000000"/>
          <w:vertAlign w:val="subscript"/>
        </w:rPr>
        <w:t>2</w:t>
      </w:r>
      <w:r w:rsidRPr="00A71FA3">
        <w:rPr>
          <w:color w:val="000000"/>
        </w:rPr>
        <w:t>(L)</w:t>
      </w:r>
      <w:r w:rsidRPr="00A71FA3">
        <w:rPr>
          <w:color w:val="000000"/>
          <w:vertAlign w:val="superscript"/>
        </w:rPr>
        <w:t>2</w:t>
      </w:r>
      <w:r w:rsidRPr="00A71FA3">
        <w:rPr>
          <w:color w:val="000000"/>
        </w:rPr>
        <w:t xml:space="preserve"> + Γ</w:t>
      </w:r>
      <w:r w:rsidRPr="00A71FA3">
        <w:rPr>
          <w:color w:val="000000"/>
          <w:vertAlign w:val="subscript"/>
        </w:rPr>
        <w:t>3</w:t>
      </w:r>
      <w:r w:rsidRPr="00A71FA3">
        <w:rPr>
          <w:color w:val="000000"/>
        </w:rPr>
        <w:t>(L)</w:t>
      </w:r>
      <w:r w:rsidRPr="00A71FA3">
        <w:rPr>
          <w:color w:val="000000"/>
          <w:vertAlign w:val="superscript"/>
        </w:rPr>
        <w:t>3</w:t>
      </w:r>
      <w:r w:rsidRPr="00A71FA3">
        <w:rPr>
          <w:color w:val="000000"/>
        </w:rPr>
        <w:t xml:space="preserve"> + …). </w:t>
      </w:r>
      <w:proofErr w:type="spellStart"/>
      <w:r w:rsidRPr="00A71FA3">
        <w:rPr>
          <w:color w:val="000000"/>
        </w:rPr>
        <w:t>u</w:t>
      </w:r>
      <w:r>
        <w:rPr>
          <w:color w:val="000000"/>
          <w:vertAlign w:val="subscript"/>
        </w:rPr>
        <w:t>i</w:t>
      </w:r>
      <w:r w:rsidRPr="00A71FA3">
        <w:rPr>
          <w:color w:val="000000"/>
          <w:vertAlign w:val="subscript"/>
        </w:rPr>
        <w:t>t</w:t>
      </w:r>
      <w:proofErr w:type="spellEnd"/>
      <w:r w:rsidRPr="00A71FA3">
        <w:rPr>
          <w:color w:val="000000"/>
        </w:rPr>
        <w:t xml:space="preserve"> is the error</w:t>
      </w:r>
      <w:r>
        <w:rPr>
          <w:color w:val="000000"/>
        </w:rPr>
        <w:t xml:space="preserve"> term</w:t>
      </w:r>
      <w:r w:rsidRPr="00A71FA3">
        <w:rPr>
          <w:color w:val="000000"/>
        </w:rPr>
        <w:t>.</w:t>
      </w:r>
    </w:p>
    <w:p w14:paraId="12116C3A" w14:textId="77777777" w:rsidR="00C13E5A" w:rsidRPr="00A71FA3" w:rsidRDefault="00C13E5A" w:rsidP="00C13E5A">
      <w:pPr>
        <w:jc w:val="both"/>
        <w:rPr>
          <w:color w:val="000000"/>
        </w:rPr>
      </w:pPr>
      <w:r w:rsidRPr="00A71FA3">
        <w:rPr>
          <w:color w:val="000000"/>
        </w:rPr>
        <w:t xml:space="preserve">We then derive the impulse response </w:t>
      </w:r>
      <w:proofErr w:type="gramStart"/>
      <w:r w:rsidRPr="00A71FA3">
        <w:rPr>
          <w:color w:val="000000"/>
        </w:rPr>
        <w:t>functions  from</w:t>
      </w:r>
      <w:proofErr w:type="gramEnd"/>
      <w:r w:rsidRPr="00A71FA3">
        <w:rPr>
          <w:color w:val="000000"/>
        </w:rPr>
        <w:t xml:space="preserve"> equation (1) relying on the </w:t>
      </w:r>
      <w:proofErr w:type="spellStart"/>
      <w:r w:rsidRPr="00A71FA3">
        <w:rPr>
          <w:color w:val="000000"/>
        </w:rPr>
        <w:t>Cholesky</w:t>
      </w:r>
      <w:proofErr w:type="spellEnd"/>
      <w:r w:rsidRPr="00A71FA3">
        <w:rPr>
          <w:color w:val="000000"/>
        </w:rPr>
        <w:t xml:space="preserve"> decomposition to </w:t>
      </w:r>
      <w:proofErr w:type="spellStart"/>
      <w:r w:rsidRPr="00A71FA3">
        <w:rPr>
          <w:color w:val="000000"/>
        </w:rPr>
        <w:t>orthogonalize</w:t>
      </w:r>
      <w:proofErr w:type="spellEnd"/>
      <w:r w:rsidRPr="00A71FA3">
        <w:rPr>
          <w:color w:val="000000"/>
        </w:rPr>
        <w:t xml:space="preserve"> the residuals. </w:t>
      </w:r>
      <w:r>
        <w:rPr>
          <w:color w:val="000000"/>
        </w:rPr>
        <w:t>For this purpose</w:t>
      </w:r>
      <w:r w:rsidRPr="00A71FA3">
        <w:rPr>
          <w:color w:val="000000"/>
        </w:rPr>
        <w:t xml:space="preserve">, </w:t>
      </w:r>
      <w:r>
        <w:rPr>
          <w:color w:val="000000"/>
        </w:rPr>
        <w:t>“</w:t>
      </w:r>
      <w:r w:rsidRPr="00A71FA3">
        <w:rPr>
          <w:color w:val="000000"/>
        </w:rPr>
        <w:t xml:space="preserve">the variables must be ordered such that variables placed higher in the ordering have a contemporaneous impact on all variables lower in the </w:t>
      </w:r>
      <w:r w:rsidRPr="00082F46">
        <w:rPr>
          <w:color w:val="000000"/>
        </w:rPr>
        <w:t>ordering” (</w:t>
      </w:r>
      <w:r>
        <w:t>Ball et al</w:t>
      </w:r>
      <w:r w:rsidRPr="00082F46">
        <w:t>. 2</w:t>
      </w:r>
      <w:r>
        <w:t>009</w:t>
      </w:r>
      <w:r w:rsidRPr="00082F46">
        <w:t>)</w:t>
      </w:r>
      <w:r w:rsidRPr="00082F46">
        <w:rPr>
          <w:color w:val="000000"/>
        </w:rPr>
        <w:t>.</w:t>
      </w:r>
      <w:r w:rsidRPr="00A71FA3">
        <w:rPr>
          <w:color w:val="000000"/>
        </w:rPr>
        <w:t xml:space="preserve"> Hence, the first variables should be the most exogenous. A careful ordering of the variables allows identifying the response of inflation to a positive shock on remittances.</w:t>
      </w:r>
    </w:p>
    <w:p w14:paraId="4171B2E7" w14:textId="77777777" w:rsidR="00C13E5A" w:rsidRPr="00A71FA3" w:rsidRDefault="00C13E5A" w:rsidP="00C13E5A">
      <w:pPr>
        <w:jc w:val="both"/>
        <w:rPr>
          <w:color w:val="000000"/>
        </w:rPr>
      </w:pPr>
      <w:r w:rsidRPr="00A71FA3">
        <w:rPr>
          <w:color w:val="000000"/>
        </w:rPr>
        <w:t>The theoretical model considers remittances as the most independent of the internal conditions of a country while it has an impact on other variables. Empirical studies, such as The World Bank (2006), corroborate this assumption and show that remittances respond to external factors such as a reduction in transaction costs in the country where migrants live. Hence, remittances are the first variable, while ordering the remaining variables differs depending on the exchange rate regime considered.</w:t>
      </w:r>
    </w:p>
    <w:p w14:paraId="41E92CD9" w14:textId="77777777" w:rsidR="00C13E5A" w:rsidRPr="00A71FA3" w:rsidRDefault="00C13E5A" w:rsidP="00C13E5A">
      <w:pPr>
        <w:jc w:val="both"/>
        <w:rPr>
          <w:color w:val="000000"/>
        </w:rPr>
      </w:pPr>
      <w:r w:rsidRPr="00A71FA3">
        <w:rPr>
          <w:color w:val="000000"/>
        </w:rPr>
        <w:t xml:space="preserve">Under fix exchange rate regime, the central bank must intervene to keep the nominal exchange rate stable. Hence, a change in remittance leads to a change real money demand and in the nominal money demand, then in inflation and, finally, in the REER. The resulting orderings are </w:t>
      </w:r>
      <w:r>
        <w:rPr>
          <w:color w:val="000000"/>
        </w:rPr>
        <w:t>written as following</w:t>
      </w:r>
      <w:r w:rsidRPr="00A71FA3">
        <w:rPr>
          <w:color w:val="000000"/>
        </w:rPr>
        <w:t>:</w:t>
      </w:r>
    </w:p>
    <w:p w14:paraId="296A4E03" w14:textId="77777777" w:rsidR="00C13E5A" w:rsidRPr="00A71FA3" w:rsidRDefault="00C13E5A" w:rsidP="00C13E5A">
      <w:pPr>
        <w:jc w:val="both"/>
        <w:rPr>
          <w:color w:val="000000"/>
        </w:rPr>
      </w:pPr>
      <w:r w:rsidRPr="00A71FA3">
        <w:rPr>
          <w:color w:val="000000"/>
        </w:rPr>
        <w:t xml:space="preserve">Model: </w:t>
      </w:r>
      <w:proofErr w:type="spellStart"/>
      <w:r w:rsidRPr="00A71FA3">
        <w:rPr>
          <w:color w:val="000000"/>
        </w:rPr>
        <w:t>Δln</w:t>
      </w:r>
      <w:proofErr w:type="spellEnd"/>
      <w:r w:rsidRPr="00A71FA3">
        <w:rPr>
          <w:color w:val="000000"/>
        </w:rPr>
        <w:t>(REM)</w:t>
      </w:r>
      <w:r w:rsidRPr="00A71FA3">
        <w:rPr>
          <w:color w:val="000000"/>
          <w:vertAlign w:val="subscript"/>
        </w:rPr>
        <w:t>it</w:t>
      </w:r>
      <w:r w:rsidRPr="00A71FA3">
        <w:rPr>
          <w:color w:val="000000"/>
        </w:rPr>
        <w:t xml:space="preserve">, </w:t>
      </w:r>
      <w:proofErr w:type="spellStart"/>
      <w:r w:rsidRPr="00A71FA3">
        <w:rPr>
          <w:color w:val="000000"/>
        </w:rPr>
        <w:t>Δln</w:t>
      </w:r>
      <w:proofErr w:type="spellEnd"/>
      <w:r w:rsidRPr="00A71FA3">
        <w:rPr>
          <w:color w:val="000000"/>
        </w:rPr>
        <w:t>(M</w:t>
      </w:r>
      <w:proofErr w:type="gramStart"/>
      <w:r w:rsidRPr="00A71FA3">
        <w:rPr>
          <w:color w:val="000000"/>
        </w:rPr>
        <w:t>2)</w:t>
      </w:r>
      <w:r>
        <w:rPr>
          <w:color w:val="000000"/>
          <w:vertAlign w:val="subscript"/>
        </w:rPr>
        <w:t>i</w:t>
      </w:r>
      <w:r w:rsidRPr="00A71FA3">
        <w:rPr>
          <w:color w:val="000000"/>
          <w:vertAlign w:val="subscript"/>
        </w:rPr>
        <w:t>t</w:t>
      </w:r>
      <w:proofErr w:type="gramEnd"/>
      <w:r w:rsidRPr="00A71FA3">
        <w:rPr>
          <w:color w:val="000000"/>
        </w:rPr>
        <w:t xml:space="preserve">, </w:t>
      </w:r>
      <w:proofErr w:type="spellStart"/>
      <w:r w:rsidRPr="00A71FA3">
        <w:rPr>
          <w:color w:val="000000"/>
        </w:rPr>
        <w:t>Δln</w:t>
      </w:r>
      <w:proofErr w:type="spellEnd"/>
      <w:r w:rsidRPr="00A71FA3">
        <w:rPr>
          <w:color w:val="000000"/>
        </w:rPr>
        <w:t>(CPI)</w:t>
      </w:r>
      <w:r>
        <w:rPr>
          <w:color w:val="000000"/>
          <w:vertAlign w:val="subscript"/>
        </w:rPr>
        <w:t>i</w:t>
      </w:r>
      <w:r w:rsidRPr="00A71FA3">
        <w:rPr>
          <w:color w:val="000000"/>
          <w:vertAlign w:val="subscript"/>
        </w:rPr>
        <w:t>t</w:t>
      </w:r>
      <w:r w:rsidRPr="00A71FA3">
        <w:rPr>
          <w:color w:val="000000"/>
        </w:rPr>
        <w:t xml:space="preserve">, </w:t>
      </w:r>
      <w:proofErr w:type="spellStart"/>
      <w:r w:rsidRPr="00A71FA3">
        <w:rPr>
          <w:color w:val="000000"/>
        </w:rPr>
        <w:t>Δln</w:t>
      </w:r>
      <w:proofErr w:type="spellEnd"/>
      <w:r w:rsidRPr="00A71FA3">
        <w:rPr>
          <w:color w:val="000000"/>
        </w:rPr>
        <w:t>(REER)</w:t>
      </w:r>
      <w:r>
        <w:rPr>
          <w:color w:val="000000"/>
          <w:vertAlign w:val="subscript"/>
        </w:rPr>
        <w:t>i</w:t>
      </w:r>
      <w:r w:rsidRPr="00A71FA3">
        <w:rPr>
          <w:color w:val="000000"/>
          <w:vertAlign w:val="subscript"/>
        </w:rPr>
        <w:t>t</w:t>
      </w:r>
    </w:p>
    <w:p w14:paraId="6E3F8003" w14:textId="77777777" w:rsidR="00C13E5A" w:rsidRPr="00A71FA3" w:rsidRDefault="00C13E5A" w:rsidP="00C13E5A">
      <w:pPr>
        <w:jc w:val="both"/>
        <w:rPr>
          <w:b/>
          <w:color w:val="000000"/>
        </w:rPr>
      </w:pPr>
      <w:r w:rsidRPr="00A71FA3">
        <w:rPr>
          <w:b/>
          <w:color w:val="000000"/>
        </w:rPr>
        <w:t>Results of the unit root tests and the optimal lag</w:t>
      </w:r>
    </w:p>
    <w:p w14:paraId="151ED267" w14:textId="77777777" w:rsidR="00C13E5A" w:rsidRPr="00A71FA3" w:rsidRDefault="00C13E5A" w:rsidP="00C13E5A">
      <w:pPr>
        <w:jc w:val="both"/>
        <w:rPr>
          <w:color w:val="000000"/>
        </w:rPr>
      </w:pPr>
      <w:r w:rsidRPr="00A71FA3">
        <w:rPr>
          <w:color w:val="000000"/>
        </w:rPr>
        <w:t>We basically employ the Augmented Dickey-Fuller (ADF) test to exam whether the times series have a unit root. The null hypothesis is that</w:t>
      </w:r>
      <w:r>
        <w:rPr>
          <w:color w:val="000000"/>
        </w:rPr>
        <w:t xml:space="preserve"> there is a unit root in our series</w:t>
      </w:r>
      <w:r w:rsidRPr="00A71FA3">
        <w:rPr>
          <w:color w:val="000000"/>
        </w:rPr>
        <w:t xml:space="preserve">. In this paper, 1% is chosen to be the significance level. Thus, if test statistic reported by the ADF test is greater than critical value at 1%, the series is said to have no unit root; otherwise, it has a unit root. Accordingly, the ADF test shows that all of the series, except real GDP, </w:t>
      </w:r>
      <w:r w:rsidRPr="00A71FA3">
        <w:rPr>
          <w:color w:val="000000"/>
        </w:rPr>
        <w:lastRenderedPageBreak/>
        <w:t xml:space="preserve">have no unit test at 1% significance </w:t>
      </w:r>
      <w:proofErr w:type="gramStart"/>
      <w:r w:rsidRPr="00A71FA3">
        <w:rPr>
          <w:color w:val="000000"/>
        </w:rPr>
        <w:t>level..</w:t>
      </w:r>
      <w:proofErr w:type="gramEnd"/>
      <w:r w:rsidRPr="00A71FA3">
        <w:rPr>
          <w:color w:val="000000"/>
        </w:rPr>
        <w:t xml:space="preserve"> </w:t>
      </w:r>
      <w:r>
        <w:rPr>
          <w:color w:val="000000"/>
        </w:rPr>
        <w:t xml:space="preserve">The Johansen </w:t>
      </w:r>
      <w:proofErr w:type="spellStart"/>
      <w:r>
        <w:rPr>
          <w:color w:val="000000"/>
        </w:rPr>
        <w:t>cointegration</w:t>
      </w:r>
      <w:proofErr w:type="spellEnd"/>
      <w:r>
        <w:rPr>
          <w:color w:val="000000"/>
        </w:rPr>
        <w:t xml:space="preserve"> test shows that there is no </w:t>
      </w:r>
      <w:proofErr w:type="spellStart"/>
      <w:r>
        <w:rPr>
          <w:color w:val="000000"/>
        </w:rPr>
        <w:t>cointegration</w:t>
      </w:r>
      <w:proofErr w:type="spellEnd"/>
      <w:r>
        <w:rPr>
          <w:color w:val="000000"/>
        </w:rPr>
        <w:t>, therefore we can use the VAR model (Table 4, see Appendix).</w:t>
      </w:r>
    </w:p>
    <w:p w14:paraId="5A7A6EB1" w14:textId="77777777" w:rsidR="00C13E5A" w:rsidRPr="00A71FA3" w:rsidRDefault="00C13E5A" w:rsidP="00C13E5A">
      <w:pPr>
        <w:jc w:val="both"/>
        <w:rPr>
          <w:b/>
        </w:rPr>
      </w:pPr>
      <w:r>
        <w:rPr>
          <w:b/>
        </w:rPr>
        <w:t>Table 3</w:t>
      </w:r>
      <w:r w:rsidRPr="00A71FA3">
        <w:rPr>
          <w:b/>
        </w:rPr>
        <w:t xml:space="preserve"> Unit roots test results</w:t>
      </w:r>
    </w:p>
    <w:tbl>
      <w:tblPr>
        <w:tblW w:w="7200" w:type="dxa"/>
        <w:jc w:val="center"/>
        <w:tblLook w:val="04A0" w:firstRow="1" w:lastRow="0" w:firstColumn="1" w:lastColumn="0" w:noHBand="0" w:noVBand="1"/>
      </w:tblPr>
      <w:tblGrid>
        <w:gridCol w:w="1164"/>
        <w:gridCol w:w="960"/>
        <w:gridCol w:w="960"/>
        <w:gridCol w:w="960"/>
        <w:gridCol w:w="1920"/>
        <w:gridCol w:w="1440"/>
      </w:tblGrid>
      <w:tr w:rsidR="00C13E5A" w:rsidRPr="00A71FA3" w14:paraId="7AE736C3" w14:textId="77777777" w:rsidTr="001C5AF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55BC3" w14:textId="77777777" w:rsidR="00C13E5A" w:rsidRPr="00A71FA3" w:rsidRDefault="00C13E5A" w:rsidP="001C5AF5">
            <w:pPr>
              <w:jc w:val="both"/>
              <w:rPr>
                <w:rFonts w:ascii="Calibri" w:eastAsia="Times New Roman" w:hAnsi="Calibri"/>
                <w:b/>
                <w:color w:val="000000"/>
              </w:rPr>
            </w:pPr>
            <w:r w:rsidRPr="00A71FA3">
              <w:rPr>
                <w:rFonts w:ascii="Calibri" w:eastAsia="Times New Roman" w:hAnsi="Calibri"/>
                <w:b/>
                <w:color w:val="000000"/>
              </w:rPr>
              <w:t>Variables</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CE0B0D" w14:textId="77777777" w:rsidR="00C13E5A" w:rsidRPr="00A71FA3" w:rsidRDefault="00C13E5A" w:rsidP="001C5AF5">
            <w:pPr>
              <w:jc w:val="both"/>
              <w:rPr>
                <w:rFonts w:ascii="Calibri" w:eastAsia="Times New Roman" w:hAnsi="Calibri"/>
                <w:b/>
                <w:color w:val="000000"/>
              </w:rPr>
            </w:pPr>
            <w:r w:rsidRPr="00A71FA3">
              <w:rPr>
                <w:rFonts w:ascii="Calibri" w:eastAsia="Times New Roman" w:hAnsi="Calibri"/>
                <w:b/>
                <w:color w:val="000000"/>
              </w:rPr>
              <w:t>Critical values</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AC8F1" w14:textId="77777777" w:rsidR="00C13E5A" w:rsidRPr="00A71FA3" w:rsidRDefault="00C13E5A" w:rsidP="001C5AF5">
            <w:pPr>
              <w:jc w:val="both"/>
              <w:rPr>
                <w:rFonts w:ascii="Calibri" w:eastAsia="Times New Roman" w:hAnsi="Calibri"/>
                <w:b/>
                <w:color w:val="000000"/>
              </w:rPr>
            </w:pPr>
            <w:r w:rsidRPr="00A71FA3">
              <w:rPr>
                <w:rFonts w:ascii="Calibri" w:eastAsia="Times New Roman" w:hAnsi="Calibri"/>
                <w:b/>
                <w:color w:val="000000"/>
              </w:rPr>
              <w:t>Test-stat</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B8982" w14:textId="77777777" w:rsidR="00C13E5A" w:rsidRPr="00A71FA3" w:rsidRDefault="00C13E5A" w:rsidP="001C5AF5">
            <w:pPr>
              <w:jc w:val="both"/>
              <w:rPr>
                <w:rFonts w:ascii="Calibri" w:eastAsia="Times New Roman" w:hAnsi="Calibri"/>
                <w:b/>
                <w:color w:val="000000"/>
              </w:rPr>
            </w:pPr>
            <w:r w:rsidRPr="00A71FA3">
              <w:rPr>
                <w:rFonts w:ascii="Calibri" w:eastAsia="Times New Roman" w:hAnsi="Calibri"/>
                <w:b/>
                <w:color w:val="000000"/>
              </w:rPr>
              <w:t>Decision</w:t>
            </w:r>
          </w:p>
        </w:tc>
      </w:tr>
      <w:tr w:rsidR="00C13E5A" w:rsidRPr="00A71FA3" w14:paraId="18726F6D"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2CBE52" w14:textId="77777777" w:rsidR="00C13E5A" w:rsidRPr="00A71FA3" w:rsidRDefault="00C13E5A" w:rsidP="001C5AF5">
            <w:pPr>
              <w:jc w:val="both"/>
              <w:rPr>
                <w:rFonts w:ascii="Calibri" w:eastAsia="Times New Roman" w:hAnsi="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368DFD6C"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FE377"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E060DCB"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10%</w:t>
            </w:r>
          </w:p>
        </w:tc>
        <w:tc>
          <w:tcPr>
            <w:tcW w:w="1920" w:type="dxa"/>
            <w:vMerge/>
            <w:tcBorders>
              <w:top w:val="nil"/>
              <w:left w:val="nil"/>
              <w:bottom w:val="single" w:sz="4" w:space="0" w:color="auto"/>
              <w:right w:val="single" w:sz="4" w:space="0" w:color="auto"/>
            </w:tcBorders>
            <w:vAlign w:val="center"/>
            <w:hideMark/>
          </w:tcPr>
          <w:p w14:paraId="394BFC1D" w14:textId="77777777" w:rsidR="00C13E5A" w:rsidRPr="00A71FA3" w:rsidRDefault="00C13E5A" w:rsidP="001C5AF5">
            <w:pPr>
              <w:jc w:val="both"/>
              <w:rPr>
                <w:rFonts w:ascii="Calibri" w:eastAsia="Times New Roman" w:hAnsi="Calibri"/>
                <w:color w:val="00000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3313C4D2" w14:textId="77777777" w:rsidR="00C13E5A" w:rsidRPr="00A71FA3" w:rsidRDefault="00C13E5A" w:rsidP="001C5AF5">
            <w:pPr>
              <w:jc w:val="both"/>
              <w:rPr>
                <w:rFonts w:ascii="Calibri" w:eastAsia="Times New Roman" w:hAnsi="Calibri"/>
                <w:color w:val="000000"/>
              </w:rPr>
            </w:pPr>
          </w:p>
        </w:tc>
      </w:tr>
      <w:tr w:rsidR="00C13E5A" w:rsidRPr="00A71FA3" w14:paraId="1E7A33EF"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978D8" w14:textId="77777777" w:rsidR="00C13E5A" w:rsidRPr="00A71FA3" w:rsidRDefault="00C13E5A" w:rsidP="001C5AF5">
            <w:pPr>
              <w:jc w:val="both"/>
              <w:rPr>
                <w:rFonts w:ascii="Calibri" w:eastAsia="Times New Roman" w:hAnsi="Calibri"/>
                <w:color w:val="000000"/>
              </w:rPr>
            </w:pPr>
            <w:proofErr w:type="spellStart"/>
            <w:r w:rsidRPr="00A71FA3">
              <w:rPr>
                <w:rFonts w:ascii="Calibri" w:eastAsia="Times New Roman" w:hAnsi="Calibri"/>
                <w:color w:val="000000"/>
              </w:rPr>
              <w:t>lnCPI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70DE4EA"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-3.5366</w:t>
            </w:r>
          </w:p>
        </w:tc>
        <w:tc>
          <w:tcPr>
            <w:tcW w:w="960" w:type="dxa"/>
            <w:tcBorders>
              <w:top w:val="nil"/>
              <w:left w:val="nil"/>
              <w:bottom w:val="single" w:sz="4" w:space="0" w:color="auto"/>
              <w:right w:val="single" w:sz="4" w:space="0" w:color="auto"/>
            </w:tcBorders>
            <w:shd w:val="clear" w:color="auto" w:fill="auto"/>
            <w:noWrap/>
            <w:vAlign w:val="bottom"/>
            <w:hideMark/>
          </w:tcPr>
          <w:p w14:paraId="7B13B4F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-2.9077</w:t>
            </w:r>
          </w:p>
        </w:tc>
        <w:tc>
          <w:tcPr>
            <w:tcW w:w="960" w:type="dxa"/>
            <w:tcBorders>
              <w:top w:val="nil"/>
              <w:left w:val="nil"/>
              <w:bottom w:val="single" w:sz="4" w:space="0" w:color="auto"/>
              <w:right w:val="single" w:sz="4" w:space="0" w:color="auto"/>
            </w:tcBorders>
            <w:shd w:val="clear" w:color="auto" w:fill="auto"/>
            <w:noWrap/>
            <w:vAlign w:val="bottom"/>
            <w:hideMark/>
          </w:tcPr>
          <w:p w14:paraId="3E11ED93"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-2.5914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D400D6"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1.5822</w:t>
            </w:r>
          </w:p>
        </w:tc>
        <w:tc>
          <w:tcPr>
            <w:tcW w:w="1440" w:type="dxa"/>
            <w:tcBorders>
              <w:top w:val="nil"/>
              <w:left w:val="nil"/>
              <w:bottom w:val="single" w:sz="4" w:space="0" w:color="auto"/>
              <w:right w:val="single" w:sz="4" w:space="0" w:color="auto"/>
            </w:tcBorders>
            <w:shd w:val="clear" w:color="auto" w:fill="auto"/>
            <w:noWrap/>
            <w:vAlign w:val="bottom"/>
            <w:hideMark/>
          </w:tcPr>
          <w:p w14:paraId="7030E2D0"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Accept H0</w:t>
            </w:r>
          </w:p>
        </w:tc>
      </w:tr>
      <w:tr w:rsidR="00C13E5A" w:rsidRPr="00A71FA3" w14:paraId="11737B3A"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2720BB"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D(</w:t>
            </w:r>
            <w:proofErr w:type="spellStart"/>
            <w:r w:rsidRPr="00A71FA3">
              <w:rPr>
                <w:rFonts w:ascii="Calibri" w:eastAsia="Times New Roman" w:hAnsi="Calibri"/>
                <w:color w:val="000000"/>
              </w:rPr>
              <w:t>lnCPI</w:t>
            </w:r>
            <w:proofErr w:type="spellEnd"/>
            <w:r w:rsidRPr="00A71FA3">
              <w:rPr>
                <w:rFonts w:ascii="Calibri" w:eastAsia="Times New Roman" w:hAnsi="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51F75A8"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-3.5366</w:t>
            </w:r>
          </w:p>
        </w:tc>
        <w:tc>
          <w:tcPr>
            <w:tcW w:w="960" w:type="dxa"/>
            <w:tcBorders>
              <w:top w:val="nil"/>
              <w:left w:val="nil"/>
              <w:bottom w:val="single" w:sz="4" w:space="0" w:color="auto"/>
              <w:right w:val="single" w:sz="4" w:space="0" w:color="auto"/>
            </w:tcBorders>
            <w:shd w:val="clear" w:color="auto" w:fill="auto"/>
            <w:noWrap/>
            <w:vAlign w:val="bottom"/>
            <w:hideMark/>
          </w:tcPr>
          <w:p w14:paraId="02F19211"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-2.9077</w:t>
            </w:r>
          </w:p>
        </w:tc>
        <w:tc>
          <w:tcPr>
            <w:tcW w:w="960" w:type="dxa"/>
            <w:tcBorders>
              <w:top w:val="nil"/>
              <w:left w:val="nil"/>
              <w:bottom w:val="single" w:sz="4" w:space="0" w:color="auto"/>
              <w:right w:val="single" w:sz="4" w:space="0" w:color="auto"/>
            </w:tcBorders>
            <w:shd w:val="clear" w:color="auto" w:fill="auto"/>
            <w:noWrap/>
            <w:vAlign w:val="bottom"/>
            <w:hideMark/>
          </w:tcPr>
          <w:p w14:paraId="087D3619"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-2.5914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6911F19"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-3.8478***</w:t>
            </w:r>
          </w:p>
        </w:tc>
        <w:tc>
          <w:tcPr>
            <w:tcW w:w="1440" w:type="dxa"/>
            <w:tcBorders>
              <w:top w:val="nil"/>
              <w:left w:val="nil"/>
              <w:bottom w:val="single" w:sz="4" w:space="0" w:color="auto"/>
              <w:right w:val="single" w:sz="4" w:space="0" w:color="auto"/>
            </w:tcBorders>
            <w:shd w:val="clear" w:color="auto" w:fill="auto"/>
            <w:noWrap/>
            <w:vAlign w:val="bottom"/>
            <w:hideMark/>
          </w:tcPr>
          <w:p w14:paraId="4862CD86"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Reject H0</w:t>
            </w:r>
          </w:p>
        </w:tc>
      </w:tr>
      <w:tr w:rsidR="00C13E5A" w:rsidRPr="00A71FA3" w14:paraId="11F45D18"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4B28FA" w14:textId="77777777" w:rsidR="00C13E5A" w:rsidRPr="00A71FA3" w:rsidRDefault="00C13E5A" w:rsidP="001C5AF5">
            <w:pPr>
              <w:jc w:val="both"/>
              <w:rPr>
                <w:rFonts w:ascii="Calibri" w:eastAsia="Times New Roman" w:hAnsi="Calibri"/>
                <w:color w:val="000000"/>
              </w:rPr>
            </w:pPr>
            <w:proofErr w:type="spellStart"/>
            <w:r w:rsidRPr="00A71FA3">
              <w:rPr>
                <w:rFonts w:ascii="Calibri" w:eastAsia="Times New Roman" w:hAnsi="Calibri"/>
                <w:color w:val="000000"/>
              </w:rPr>
              <w:t>lnGDP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C6FCE8B"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-3.5482</w:t>
            </w:r>
          </w:p>
        </w:tc>
        <w:tc>
          <w:tcPr>
            <w:tcW w:w="960" w:type="dxa"/>
            <w:tcBorders>
              <w:top w:val="nil"/>
              <w:left w:val="nil"/>
              <w:bottom w:val="single" w:sz="4" w:space="0" w:color="auto"/>
              <w:right w:val="single" w:sz="4" w:space="0" w:color="auto"/>
            </w:tcBorders>
            <w:shd w:val="clear" w:color="auto" w:fill="auto"/>
            <w:noWrap/>
            <w:vAlign w:val="bottom"/>
            <w:hideMark/>
          </w:tcPr>
          <w:p w14:paraId="48538E86"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-2.9126</w:t>
            </w:r>
          </w:p>
        </w:tc>
        <w:tc>
          <w:tcPr>
            <w:tcW w:w="960" w:type="dxa"/>
            <w:tcBorders>
              <w:top w:val="nil"/>
              <w:left w:val="nil"/>
              <w:bottom w:val="single" w:sz="4" w:space="0" w:color="auto"/>
              <w:right w:val="single" w:sz="4" w:space="0" w:color="auto"/>
            </w:tcBorders>
            <w:shd w:val="clear" w:color="auto" w:fill="auto"/>
            <w:noWrap/>
            <w:vAlign w:val="bottom"/>
            <w:hideMark/>
          </w:tcPr>
          <w:p w14:paraId="488F9753"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-2.5940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7AD3387"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-0.6694</w:t>
            </w:r>
          </w:p>
        </w:tc>
        <w:tc>
          <w:tcPr>
            <w:tcW w:w="1440" w:type="dxa"/>
            <w:tcBorders>
              <w:top w:val="nil"/>
              <w:left w:val="nil"/>
              <w:bottom w:val="single" w:sz="4" w:space="0" w:color="auto"/>
              <w:right w:val="single" w:sz="4" w:space="0" w:color="auto"/>
            </w:tcBorders>
            <w:shd w:val="clear" w:color="auto" w:fill="auto"/>
            <w:noWrap/>
            <w:vAlign w:val="bottom"/>
            <w:hideMark/>
          </w:tcPr>
          <w:p w14:paraId="5A9E9CDB"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Accept H0</w:t>
            </w:r>
          </w:p>
        </w:tc>
      </w:tr>
      <w:tr w:rsidR="00C13E5A" w:rsidRPr="00A71FA3" w14:paraId="0B9B28EF"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A42BE5"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D(</w:t>
            </w:r>
            <w:proofErr w:type="spellStart"/>
            <w:r w:rsidRPr="00A71FA3">
              <w:rPr>
                <w:rFonts w:ascii="Calibri" w:eastAsia="Times New Roman" w:hAnsi="Calibri"/>
                <w:color w:val="000000"/>
              </w:rPr>
              <w:t>lnGDP</w:t>
            </w:r>
            <w:proofErr w:type="spellEnd"/>
            <w:r w:rsidRPr="00A71FA3">
              <w:rPr>
                <w:rFonts w:ascii="Calibri" w:eastAsia="Times New Roman" w:hAnsi="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4334E9A6"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-3.5482</w:t>
            </w:r>
          </w:p>
        </w:tc>
        <w:tc>
          <w:tcPr>
            <w:tcW w:w="960" w:type="dxa"/>
            <w:tcBorders>
              <w:top w:val="nil"/>
              <w:left w:val="nil"/>
              <w:bottom w:val="single" w:sz="4" w:space="0" w:color="auto"/>
              <w:right w:val="single" w:sz="4" w:space="0" w:color="auto"/>
            </w:tcBorders>
            <w:shd w:val="clear" w:color="auto" w:fill="auto"/>
            <w:noWrap/>
            <w:vAlign w:val="bottom"/>
            <w:hideMark/>
          </w:tcPr>
          <w:p w14:paraId="5FF47000"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-2.9126</w:t>
            </w:r>
          </w:p>
        </w:tc>
        <w:tc>
          <w:tcPr>
            <w:tcW w:w="960" w:type="dxa"/>
            <w:tcBorders>
              <w:top w:val="nil"/>
              <w:left w:val="nil"/>
              <w:bottom w:val="single" w:sz="4" w:space="0" w:color="auto"/>
              <w:right w:val="single" w:sz="4" w:space="0" w:color="auto"/>
            </w:tcBorders>
            <w:shd w:val="clear" w:color="auto" w:fill="auto"/>
            <w:noWrap/>
            <w:vAlign w:val="bottom"/>
            <w:hideMark/>
          </w:tcPr>
          <w:p w14:paraId="3F79A30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-2.5940</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86FA353"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-2.7604</w:t>
            </w:r>
          </w:p>
        </w:tc>
        <w:tc>
          <w:tcPr>
            <w:tcW w:w="1440" w:type="dxa"/>
            <w:tcBorders>
              <w:top w:val="nil"/>
              <w:left w:val="nil"/>
              <w:bottom w:val="single" w:sz="4" w:space="0" w:color="auto"/>
              <w:right w:val="single" w:sz="4" w:space="0" w:color="auto"/>
            </w:tcBorders>
            <w:shd w:val="clear" w:color="auto" w:fill="auto"/>
            <w:noWrap/>
            <w:vAlign w:val="bottom"/>
            <w:hideMark/>
          </w:tcPr>
          <w:p w14:paraId="2DD97CF2"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Accept H0</w:t>
            </w:r>
          </w:p>
        </w:tc>
      </w:tr>
      <w:tr w:rsidR="00C13E5A" w:rsidRPr="00A71FA3" w14:paraId="3F639AF4"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7E0435"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lnM2</w:t>
            </w:r>
          </w:p>
        </w:tc>
        <w:tc>
          <w:tcPr>
            <w:tcW w:w="960" w:type="dxa"/>
            <w:tcBorders>
              <w:top w:val="nil"/>
              <w:left w:val="nil"/>
              <w:bottom w:val="single" w:sz="4" w:space="0" w:color="auto"/>
              <w:right w:val="single" w:sz="4" w:space="0" w:color="auto"/>
            </w:tcBorders>
            <w:shd w:val="clear" w:color="auto" w:fill="auto"/>
            <w:noWrap/>
            <w:vAlign w:val="bottom"/>
            <w:hideMark/>
          </w:tcPr>
          <w:p w14:paraId="2F74459D"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-3.5441</w:t>
            </w:r>
          </w:p>
        </w:tc>
        <w:tc>
          <w:tcPr>
            <w:tcW w:w="960" w:type="dxa"/>
            <w:tcBorders>
              <w:top w:val="nil"/>
              <w:left w:val="nil"/>
              <w:bottom w:val="single" w:sz="4" w:space="0" w:color="auto"/>
              <w:right w:val="single" w:sz="4" w:space="0" w:color="auto"/>
            </w:tcBorders>
            <w:shd w:val="clear" w:color="auto" w:fill="auto"/>
            <w:noWrap/>
            <w:vAlign w:val="bottom"/>
            <w:hideMark/>
          </w:tcPr>
          <w:p w14:paraId="1A9F622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-2.9109</w:t>
            </w:r>
          </w:p>
        </w:tc>
        <w:tc>
          <w:tcPr>
            <w:tcW w:w="960" w:type="dxa"/>
            <w:tcBorders>
              <w:top w:val="nil"/>
              <w:left w:val="nil"/>
              <w:bottom w:val="single" w:sz="4" w:space="0" w:color="auto"/>
              <w:right w:val="single" w:sz="4" w:space="0" w:color="auto"/>
            </w:tcBorders>
            <w:shd w:val="clear" w:color="auto" w:fill="auto"/>
            <w:noWrap/>
            <w:vAlign w:val="bottom"/>
            <w:hideMark/>
          </w:tcPr>
          <w:p w14:paraId="6F84CB3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-2.5931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47478B5"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-1.8209</w:t>
            </w:r>
          </w:p>
        </w:tc>
        <w:tc>
          <w:tcPr>
            <w:tcW w:w="1440" w:type="dxa"/>
            <w:tcBorders>
              <w:top w:val="nil"/>
              <w:left w:val="nil"/>
              <w:bottom w:val="single" w:sz="4" w:space="0" w:color="auto"/>
              <w:right w:val="single" w:sz="4" w:space="0" w:color="auto"/>
            </w:tcBorders>
            <w:shd w:val="clear" w:color="auto" w:fill="auto"/>
            <w:noWrap/>
            <w:vAlign w:val="bottom"/>
            <w:hideMark/>
          </w:tcPr>
          <w:p w14:paraId="1347AA79"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Accept H0</w:t>
            </w:r>
          </w:p>
        </w:tc>
      </w:tr>
      <w:tr w:rsidR="00C13E5A" w:rsidRPr="00A71FA3" w14:paraId="10EF661D"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3C68EA"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d(lnM2)</w:t>
            </w:r>
          </w:p>
        </w:tc>
        <w:tc>
          <w:tcPr>
            <w:tcW w:w="960" w:type="dxa"/>
            <w:tcBorders>
              <w:top w:val="nil"/>
              <w:left w:val="nil"/>
              <w:bottom w:val="single" w:sz="4" w:space="0" w:color="auto"/>
              <w:right w:val="single" w:sz="4" w:space="0" w:color="auto"/>
            </w:tcBorders>
            <w:shd w:val="clear" w:color="auto" w:fill="auto"/>
            <w:noWrap/>
            <w:vAlign w:val="bottom"/>
            <w:hideMark/>
          </w:tcPr>
          <w:p w14:paraId="0791D6E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-3.5441</w:t>
            </w:r>
          </w:p>
        </w:tc>
        <w:tc>
          <w:tcPr>
            <w:tcW w:w="960" w:type="dxa"/>
            <w:tcBorders>
              <w:top w:val="nil"/>
              <w:left w:val="nil"/>
              <w:bottom w:val="single" w:sz="4" w:space="0" w:color="auto"/>
              <w:right w:val="single" w:sz="4" w:space="0" w:color="auto"/>
            </w:tcBorders>
            <w:shd w:val="clear" w:color="auto" w:fill="auto"/>
            <w:noWrap/>
            <w:vAlign w:val="bottom"/>
            <w:hideMark/>
          </w:tcPr>
          <w:p w14:paraId="00EDA24D"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-2.9109</w:t>
            </w:r>
          </w:p>
        </w:tc>
        <w:tc>
          <w:tcPr>
            <w:tcW w:w="960" w:type="dxa"/>
            <w:tcBorders>
              <w:top w:val="nil"/>
              <w:left w:val="nil"/>
              <w:bottom w:val="single" w:sz="4" w:space="0" w:color="auto"/>
              <w:right w:val="single" w:sz="4" w:space="0" w:color="auto"/>
            </w:tcBorders>
            <w:shd w:val="clear" w:color="auto" w:fill="auto"/>
            <w:noWrap/>
            <w:vAlign w:val="bottom"/>
            <w:hideMark/>
          </w:tcPr>
          <w:p w14:paraId="377823AA"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-2.5931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16FCF360"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-7.6493***</w:t>
            </w:r>
          </w:p>
        </w:tc>
        <w:tc>
          <w:tcPr>
            <w:tcW w:w="1440" w:type="dxa"/>
            <w:tcBorders>
              <w:top w:val="nil"/>
              <w:left w:val="nil"/>
              <w:bottom w:val="single" w:sz="4" w:space="0" w:color="auto"/>
              <w:right w:val="single" w:sz="4" w:space="0" w:color="auto"/>
            </w:tcBorders>
            <w:shd w:val="clear" w:color="auto" w:fill="auto"/>
            <w:noWrap/>
            <w:vAlign w:val="bottom"/>
            <w:hideMark/>
          </w:tcPr>
          <w:p w14:paraId="011154D0"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Reject H0</w:t>
            </w:r>
          </w:p>
        </w:tc>
      </w:tr>
      <w:tr w:rsidR="00C13E5A" w:rsidRPr="00A71FA3" w14:paraId="27A6C788"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2D2301" w14:textId="77777777" w:rsidR="00C13E5A" w:rsidRPr="00A71FA3" w:rsidRDefault="00C13E5A" w:rsidP="001C5AF5">
            <w:pPr>
              <w:jc w:val="both"/>
              <w:rPr>
                <w:rFonts w:ascii="Calibri" w:eastAsia="Times New Roman" w:hAnsi="Calibri"/>
                <w:color w:val="000000"/>
              </w:rPr>
            </w:pPr>
            <w:proofErr w:type="spellStart"/>
            <w:r w:rsidRPr="00A71FA3">
              <w:rPr>
                <w:rFonts w:ascii="Calibri" w:eastAsia="Times New Roman" w:hAnsi="Calibri"/>
                <w:color w:val="000000"/>
              </w:rPr>
              <w:t>lnREER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DA4B2BF"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-3.5441</w:t>
            </w:r>
          </w:p>
        </w:tc>
        <w:tc>
          <w:tcPr>
            <w:tcW w:w="960" w:type="dxa"/>
            <w:tcBorders>
              <w:top w:val="nil"/>
              <w:left w:val="nil"/>
              <w:bottom w:val="single" w:sz="4" w:space="0" w:color="auto"/>
              <w:right w:val="single" w:sz="4" w:space="0" w:color="auto"/>
            </w:tcBorders>
            <w:shd w:val="clear" w:color="auto" w:fill="auto"/>
            <w:noWrap/>
            <w:vAlign w:val="bottom"/>
            <w:hideMark/>
          </w:tcPr>
          <w:p w14:paraId="526A0F38"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-2.9109</w:t>
            </w:r>
          </w:p>
        </w:tc>
        <w:tc>
          <w:tcPr>
            <w:tcW w:w="960" w:type="dxa"/>
            <w:tcBorders>
              <w:top w:val="nil"/>
              <w:left w:val="nil"/>
              <w:bottom w:val="single" w:sz="4" w:space="0" w:color="auto"/>
              <w:right w:val="single" w:sz="4" w:space="0" w:color="auto"/>
            </w:tcBorders>
            <w:shd w:val="clear" w:color="auto" w:fill="auto"/>
            <w:noWrap/>
            <w:vAlign w:val="bottom"/>
            <w:hideMark/>
          </w:tcPr>
          <w:p w14:paraId="49D6BC46"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-2.5931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E01969B"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0.6446</w:t>
            </w:r>
          </w:p>
        </w:tc>
        <w:tc>
          <w:tcPr>
            <w:tcW w:w="1440" w:type="dxa"/>
            <w:tcBorders>
              <w:top w:val="nil"/>
              <w:left w:val="nil"/>
              <w:bottom w:val="single" w:sz="4" w:space="0" w:color="auto"/>
              <w:right w:val="single" w:sz="4" w:space="0" w:color="auto"/>
            </w:tcBorders>
            <w:shd w:val="clear" w:color="auto" w:fill="auto"/>
            <w:noWrap/>
            <w:vAlign w:val="bottom"/>
            <w:hideMark/>
          </w:tcPr>
          <w:p w14:paraId="2DFB9599"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Accept H0</w:t>
            </w:r>
          </w:p>
        </w:tc>
      </w:tr>
      <w:tr w:rsidR="00C13E5A" w:rsidRPr="00A71FA3" w14:paraId="66790905"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161AE"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d(</w:t>
            </w:r>
            <w:proofErr w:type="spellStart"/>
            <w:r w:rsidRPr="00A71FA3">
              <w:rPr>
                <w:rFonts w:ascii="Calibri" w:eastAsia="Times New Roman" w:hAnsi="Calibri"/>
                <w:color w:val="000000"/>
              </w:rPr>
              <w:t>lnREER</w:t>
            </w:r>
            <w:proofErr w:type="spellEnd"/>
            <w:r w:rsidRPr="00A71FA3">
              <w:rPr>
                <w:rFonts w:ascii="Calibri" w:eastAsia="Times New Roman" w:hAnsi="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1B4D2FAC"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-3.5441</w:t>
            </w:r>
          </w:p>
        </w:tc>
        <w:tc>
          <w:tcPr>
            <w:tcW w:w="960" w:type="dxa"/>
            <w:tcBorders>
              <w:top w:val="nil"/>
              <w:left w:val="nil"/>
              <w:bottom w:val="single" w:sz="4" w:space="0" w:color="auto"/>
              <w:right w:val="single" w:sz="4" w:space="0" w:color="auto"/>
            </w:tcBorders>
            <w:shd w:val="clear" w:color="auto" w:fill="auto"/>
            <w:noWrap/>
            <w:vAlign w:val="bottom"/>
            <w:hideMark/>
          </w:tcPr>
          <w:p w14:paraId="7B2A9CB1"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-2.9109</w:t>
            </w:r>
          </w:p>
        </w:tc>
        <w:tc>
          <w:tcPr>
            <w:tcW w:w="960" w:type="dxa"/>
            <w:tcBorders>
              <w:top w:val="nil"/>
              <w:left w:val="nil"/>
              <w:bottom w:val="single" w:sz="4" w:space="0" w:color="auto"/>
              <w:right w:val="single" w:sz="4" w:space="0" w:color="auto"/>
            </w:tcBorders>
            <w:shd w:val="clear" w:color="auto" w:fill="auto"/>
            <w:noWrap/>
            <w:vAlign w:val="bottom"/>
            <w:hideMark/>
          </w:tcPr>
          <w:p w14:paraId="2CCA2FE2"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-2.5931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39BB50F"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-6.0257***</w:t>
            </w:r>
          </w:p>
        </w:tc>
        <w:tc>
          <w:tcPr>
            <w:tcW w:w="1440" w:type="dxa"/>
            <w:tcBorders>
              <w:top w:val="nil"/>
              <w:left w:val="nil"/>
              <w:bottom w:val="single" w:sz="4" w:space="0" w:color="auto"/>
              <w:right w:val="single" w:sz="4" w:space="0" w:color="auto"/>
            </w:tcBorders>
            <w:shd w:val="clear" w:color="auto" w:fill="auto"/>
            <w:noWrap/>
            <w:vAlign w:val="bottom"/>
            <w:hideMark/>
          </w:tcPr>
          <w:p w14:paraId="677DF6FC"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Reject H0</w:t>
            </w:r>
          </w:p>
        </w:tc>
      </w:tr>
      <w:tr w:rsidR="00C13E5A" w:rsidRPr="00A71FA3" w14:paraId="281C434A"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BFF19" w14:textId="77777777" w:rsidR="00C13E5A" w:rsidRPr="00A71FA3" w:rsidRDefault="00C13E5A" w:rsidP="001C5AF5">
            <w:pPr>
              <w:jc w:val="both"/>
              <w:rPr>
                <w:rFonts w:ascii="Calibri" w:eastAsia="Times New Roman" w:hAnsi="Calibri"/>
                <w:color w:val="000000"/>
              </w:rPr>
            </w:pPr>
            <w:proofErr w:type="spellStart"/>
            <w:r w:rsidRPr="00A71FA3">
              <w:rPr>
                <w:rFonts w:ascii="Calibri" w:eastAsia="Times New Roman" w:hAnsi="Calibri"/>
                <w:color w:val="000000"/>
              </w:rPr>
              <w:t>lnREM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0564CB6"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-3.5441</w:t>
            </w:r>
          </w:p>
        </w:tc>
        <w:tc>
          <w:tcPr>
            <w:tcW w:w="960" w:type="dxa"/>
            <w:tcBorders>
              <w:top w:val="nil"/>
              <w:left w:val="nil"/>
              <w:bottom w:val="single" w:sz="4" w:space="0" w:color="auto"/>
              <w:right w:val="single" w:sz="4" w:space="0" w:color="auto"/>
            </w:tcBorders>
            <w:shd w:val="clear" w:color="auto" w:fill="auto"/>
            <w:noWrap/>
            <w:vAlign w:val="bottom"/>
            <w:hideMark/>
          </w:tcPr>
          <w:p w14:paraId="09C98171"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-2.9109</w:t>
            </w:r>
          </w:p>
        </w:tc>
        <w:tc>
          <w:tcPr>
            <w:tcW w:w="960" w:type="dxa"/>
            <w:tcBorders>
              <w:top w:val="nil"/>
              <w:left w:val="nil"/>
              <w:bottom w:val="single" w:sz="4" w:space="0" w:color="auto"/>
              <w:right w:val="single" w:sz="4" w:space="0" w:color="auto"/>
            </w:tcBorders>
            <w:shd w:val="clear" w:color="auto" w:fill="auto"/>
            <w:noWrap/>
            <w:vAlign w:val="bottom"/>
            <w:hideMark/>
          </w:tcPr>
          <w:p w14:paraId="12777CAF"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-2.5931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CF70302"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-2.2778</w:t>
            </w:r>
          </w:p>
        </w:tc>
        <w:tc>
          <w:tcPr>
            <w:tcW w:w="1440" w:type="dxa"/>
            <w:tcBorders>
              <w:top w:val="nil"/>
              <w:left w:val="nil"/>
              <w:bottom w:val="single" w:sz="4" w:space="0" w:color="auto"/>
              <w:right w:val="single" w:sz="4" w:space="0" w:color="auto"/>
            </w:tcBorders>
            <w:shd w:val="clear" w:color="auto" w:fill="auto"/>
            <w:noWrap/>
            <w:vAlign w:val="bottom"/>
            <w:hideMark/>
          </w:tcPr>
          <w:p w14:paraId="7B3B2C37"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Accept H0</w:t>
            </w:r>
          </w:p>
        </w:tc>
      </w:tr>
      <w:tr w:rsidR="00C13E5A" w:rsidRPr="00A71FA3" w14:paraId="114526A7" w14:textId="77777777" w:rsidTr="001C5AF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4E2F25"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d(</w:t>
            </w:r>
            <w:proofErr w:type="spellStart"/>
            <w:r w:rsidRPr="00A71FA3">
              <w:rPr>
                <w:rFonts w:ascii="Calibri" w:eastAsia="Times New Roman" w:hAnsi="Calibri"/>
                <w:color w:val="000000"/>
              </w:rPr>
              <w:t>lnREM</w:t>
            </w:r>
            <w:proofErr w:type="spellEnd"/>
            <w:r w:rsidRPr="00A71FA3">
              <w:rPr>
                <w:rFonts w:ascii="Calibri" w:eastAsia="Times New Roman" w:hAnsi="Calibri"/>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5573804C"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-3.5441</w:t>
            </w:r>
          </w:p>
        </w:tc>
        <w:tc>
          <w:tcPr>
            <w:tcW w:w="960" w:type="dxa"/>
            <w:tcBorders>
              <w:top w:val="nil"/>
              <w:left w:val="nil"/>
              <w:bottom w:val="single" w:sz="4" w:space="0" w:color="auto"/>
              <w:right w:val="single" w:sz="4" w:space="0" w:color="auto"/>
            </w:tcBorders>
            <w:shd w:val="clear" w:color="auto" w:fill="auto"/>
            <w:noWrap/>
            <w:vAlign w:val="bottom"/>
            <w:hideMark/>
          </w:tcPr>
          <w:p w14:paraId="4B0DC5FD"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-2.9109</w:t>
            </w:r>
          </w:p>
        </w:tc>
        <w:tc>
          <w:tcPr>
            <w:tcW w:w="960" w:type="dxa"/>
            <w:tcBorders>
              <w:top w:val="nil"/>
              <w:left w:val="nil"/>
              <w:bottom w:val="single" w:sz="4" w:space="0" w:color="auto"/>
              <w:right w:val="single" w:sz="4" w:space="0" w:color="auto"/>
            </w:tcBorders>
            <w:shd w:val="clear" w:color="auto" w:fill="auto"/>
            <w:noWrap/>
            <w:vAlign w:val="bottom"/>
            <w:hideMark/>
          </w:tcPr>
          <w:p w14:paraId="6A7167B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-2.5931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1BA45AB4"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-6.2965***</w:t>
            </w:r>
          </w:p>
        </w:tc>
        <w:tc>
          <w:tcPr>
            <w:tcW w:w="1440" w:type="dxa"/>
            <w:tcBorders>
              <w:top w:val="nil"/>
              <w:left w:val="nil"/>
              <w:bottom w:val="single" w:sz="4" w:space="0" w:color="auto"/>
              <w:right w:val="single" w:sz="4" w:space="0" w:color="auto"/>
            </w:tcBorders>
            <w:shd w:val="clear" w:color="auto" w:fill="auto"/>
            <w:noWrap/>
            <w:vAlign w:val="bottom"/>
            <w:hideMark/>
          </w:tcPr>
          <w:p w14:paraId="0B387DF7" w14:textId="77777777" w:rsidR="00C13E5A" w:rsidRPr="00A71FA3" w:rsidRDefault="00C13E5A" w:rsidP="001C5AF5">
            <w:pPr>
              <w:jc w:val="both"/>
              <w:rPr>
                <w:rFonts w:ascii="Calibri" w:eastAsia="Times New Roman" w:hAnsi="Calibri"/>
                <w:color w:val="000000"/>
              </w:rPr>
            </w:pPr>
            <w:r w:rsidRPr="00A71FA3">
              <w:rPr>
                <w:rFonts w:ascii="Calibri" w:eastAsia="Times New Roman" w:hAnsi="Calibri"/>
                <w:color w:val="000000"/>
              </w:rPr>
              <w:t>Reject H0</w:t>
            </w:r>
          </w:p>
        </w:tc>
      </w:tr>
    </w:tbl>
    <w:p w14:paraId="24E897CE" w14:textId="77777777" w:rsidR="00C13E5A" w:rsidRPr="00A71FA3" w:rsidRDefault="00C13E5A" w:rsidP="00C13E5A">
      <w:pPr>
        <w:ind w:firstLine="720"/>
        <w:jc w:val="both"/>
        <w:rPr>
          <w:i/>
        </w:rPr>
      </w:pPr>
      <w:r w:rsidRPr="00A71FA3">
        <w:rPr>
          <w:i/>
        </w:rPr>
        <w:t>Note: (**</w:t>
      </w:r>
      <w:proofErr w:type="gramStart"/>
      <w:r w:rsidRPr="00A71FA3">
        <w:rPr>
          <w:i/>
        </w:rPr>
        <w:t>*)reject</w:t>
      </w:r>
      <w:proofErr w:type="gramEnd"/>
      <w:r w:rsidRPr="00A71FA3">
        <w:rPr>
          <w:i/>
        </w:rPr>
        <w:t xml:space="preserve"> null hypothesis (H0) at 1% level of significance.</w:t>
      </w:r>
    </w:p>
    <w:p w14:paraId="0A148A16" w14:textId="77777777" w:rsidR="00C13E5A" w:rsidRPr="00A71FA3" w:rsidRDefault="00C13E5A" w:rsidP="00C13E5A">
      <w:pPr>
        <w:jc w:val="both"/>
        <w:rPr>
          <w:color w:val="000000"/>
        </w:rPr>
      </w:pPr>
    </w:p>
    <w:p w14:paraId="51023613" w14:textId="77777777" w:rsidR="00C13E5A" w:rsidRPr="00A71FA3" w:rsidRDefault="00C13E5A" w:rsidP="00C13E5A">
      <w:pPr>
        <w:jc w:val="both"/>
        <w:rPr>
          <w:color w:val="000000"/>
        </w:rPr>
      </w:pPr>
      <w:r w:rsidRPr="00A71FA3">
        <w:rPr>
          <w:color w:val="000000"/>
        </w:rPr>
        <w:t xml:space="preserve">There are </w:t>
      </w:r>
      <w:r>
        <w:rPr>
          <w:color w:val="000000"/>
        </w:rPr>
        <w:t>couple of information</w:t>
      </w:r>
      <w:r w:rsidRPr="00A71FA3">
        <w:rPr>
          <w:color w:val="000000"/>
        </w:rPr>
        <w:t xml:space="preserve"> criteria for </w:t>
      </w:r>
      <w:r>
        <w:rPr>
          <w:color w:val="000000"/>
        </w:rPr>
        <w:t>selecting</w:t>
      </w:r>
      <w:r w:rsidRPr="00A71FA3">
        <w:rPr>
          <w:color w:val="000000"/>
        </w:rPr>
        <w:t xml:space="preserve"> the optimal</w:t>
      </w:r>
      <w:r>
        <w:rPr>
          <w:color w:val="000000"/>
        </w:rPr>
        <w:t xml:space="preserve"> lag</w:t>
      </w:r>
      <w:r w:rsidRPr="00A71FA3">
        <w:rPr>
          <w:color w:val="000000"/>
        </w:rPr>
        <w:t xml:space="preserve"> number. LR, FPE, AIC, and HQ criteria select one lag as an optimal lag (Table</w:t>
      </w:r>
      <w:r>
        <w:rPr>
          <w:color w:val="000000"/>
        </w:rPr>
        <w:t xml:space="preserve"> 6</w:t>
      </w:r>
      <w:r w:rsidRPr="00A71FA3">
        <w:rPr>
          <w:color w:val="000000"/>
        </w:rPr>
        <w:t xml:space="preserve">, see Appendix). Thus, we choose one lag to estimate the VAR. To double check the optimal lag and stability of the VAR, we test for autocorrelation among residuals and examine the roots of characteristic polynomial. The autocorrelation LM test shows that there is no autocorrelation among residuals (Table </w:t>
      </w:r>
      <w:r>
        <w:rPr>
          <w:color w:val="000000"/>
        </w:rPr>
        <w:t>7</w:t>
      </w:r>
      <w:r w:rsidRPr="00A71FA3">
        <w:rPr>
          <w:color w:val="000000"/>
        </w:rPr>
        <w:t xml:space="preserve">, see Appendix). All inverse roots of characteristic are less than 1, which implies that the VAR satisfies the stability condition (Table </w:t>
      </w:r>
      <w:r>
        <w:rPr>
          <w:color w:val="000000"/>
        </w:rPr>
        <w:t>5</w:t>
      </w:r>
      <w:r w:rsidRPr="00A71FA3">
        <w:rPr>
          <w:color w:val="000000"/>
        </w:rPr>
        <w:t xml:space="preserve">, see Appendix).  In addition, the Residual </w:t>
      </w:r>
      <w:proofErr w:type="spellStart"/>
      <w:r w:rsidRPr="00A71FA3">
        <w:rPr>
          <w:color w:val="000000"/>
        </w:rPr>
        <w:t>Heteroskedasticity</w:t>
      </w:r>
      <w:proofErr w:type="spellEnd"/>
      <w:r w:rsidRPr="00A71FA3">
        <w:rPr>
          <w:color w:val="000000"/>
        </w:rPr>
        <w:t xml:space="preserve"> Tests shows that model variance is homoscedasticity (Table </w:t>
      </w:r>
      <w:r>
        <w:rPr>
          <w:color w:val="000000"/>
        </w:rPr>
        <w:t>8</w:t>
      </w:r>
      <w:r w:rsidRPr="00A71FA3">
        <w:rPr>
          <w:color w:val="000000"/>
        </w:rPr>
        <w:t xml:space="preserve">, see Appendix). Thus, we </w:t>
      </w:r>
      <w:r>
        <w:rPr>
          <w:color w:val="000000"/>
        </w:rPr>
        <w:t>are highly confident to run</w:t>
      </w:r>
      <w:r w:rsidRPr="00A71FA3">
        <w:rPr>
          <w:color w:val="000000"/>
        </w:rPr>
        <w:t xml:space="preserve"> the VAR model with one lag. In the following parts, we will discuss the impulse response functions of inflation with respect to positive shocks of other endogenous variables, specially focusing on the positive shock of remittance.</w:t>
      </w:r>
    </w:p>
    <w:p w14:paraId="5CE146B3" w14:textId="77777777" w:rsidR="00EB3E60" w:rsidRDefault="00EB3E60" w:rsidP="00C13E5A">
      <w:pPr>
        <w:jc w:val="both"/>
        <w:rPr>
          <w:b/>
        </w:rPr>
      </w:pPr>
    </w:p>
    <w:p w14:paraId="49622C06" w14:textId="77777777" w:rsidR="00C13E5A" w:rsidRPr="00A71FA3" w:rsidRDefault="00C13E5A" w:rsidP="00C13E5A">
      <w:pPr>
        <w:jc w:val="both"/>
        <w:rPr>
          <w:b/>
        </w:rPr>
      </w:pPr>
      <w:r w:rsidRPr="00A71FA3">
        <w:rPr>
          <w:b/>
        </w:rPr>
        <w:lastRenderedPageBreak/>
        <w:t>Responses of the inflation to positive shocks</w:t>
      </w:r>
    </w:p>
    <w:p w14:paraId="563FCAB4" w14:textId="77777777" w:rsidR="00C13E5A" w:rsidRPr="00A71FA3" w:rsidRDefault="00C13E5A" w:rsidP="00C13E5A">
      <w:pPr>
        <w:jc w:val="both"/>
      </w:pPr>
      <w:r w:rsidRPr="00A71FA3">
        <w:t xml:space="preserve">Figure 4 (see Appendix) shows that, the inflow of remittance causes inflation in Vietnam increase immediately and it lasts 2-3 quarters. It means that an increase in inflow remittance lead inflation tend to increase and vice versa. This phenomenon derives from following reason: </w:t>
      </w:r>
    </w:p>
    <w:p w14:paraId="68504423" w14:textId="77777777" w:rsidR="00C13E5A" w:rsidRPr="00A71FA3" w:rsidRDefault="00C13E5A" w:rsidP="00C13E5A">
      <w:pPr>
        <w:jc w:val="both"/>
      </w:pPr>
      <w:r w:rsidRPr="00A71FA3">
        <w:t xml:space="preserve">First, although State Bank of Vietnam (SBV) announced that Vietnam has pursued the managed floating exchange rate regime, the actual regime (de facto) is the exchange rate peg regime with dollars with relatively little volatility, especially after the world financial crisis 2007-2009 (Takagi Shinji and Pham (2011). There was a huge remittance flowing in (with FDI and FII flow) in the second half of 2007 caused VND appreciate. In order to prevent an appreciation of local currency, SBV bought USD to raise foreign exchange reserves up to 26 billion USD (about 9 billion USD only in 2007). Despite selling a large amount of bills and bonds through open market operations to collect money from circulation, this neutralizing activity was not as effective as desired making a total means of payment in 2007 increased to 47, 2%, pushing inflation higher. As the central bank pursues a stable exchange rate policy (applicable exchange rate peg regime), the strong remittance inflows plus the ineffectiveness of neutralization interventions (sterilization) has led to Vietnam's inflation increase. This conclusion is entirely consistent with the previous studies as </w:t>
      </w:r>
      <w:proofErr w:type="spellStart"/>
      <w:r w:rsidRPr="00A71FA3">
        <w:t>Amuedo-Dorantes</w:t>
      </w:r>
      <w:proofErr w:type="spellEnd"/>
      <w:r w:rsidRPr="00A71FA3">
        <w:t xml:space="preserve"> and </w:t>
      </w:r>
      <w:proofErr w:type="spellStart"/>
      <w:r w:rsidRPr="00A71FA3">
        <w:t>Pozo</w:t>
      </w:r>
      <w:proofErr w:type="spellEnd"/>
      <w:r w:rsidRPr="00A71FA3">
        <w:t xml:space="preserve"> (2004), BOURDET and </w:t>
      </w:r>
      <w:proofErr w:type="spellStart"/>
      <w:r w:rsidRPr="00A71FA3">
        <w:t>Falck</w:t>
      </w:r>
      <w:proofErr w:type="spellEnd"/>
      <w:r w:rsidRPr="00A71FA3">
        <w:t xml:space="preserve"> (2006), Lopez, Molina and </w:t>
      </w:r>
      <w:proofErr w:type="spellStart"/>
      <w:r w:rsidRPr="00A71FA3">
        <w:t>Bussolo</w:t>
      </w:r>
      <w:proofErr w:type="spellEnd"/>
      <w:r w:rsidRPr="00A71FA3">
        <w:t xml:space="preserve"> (2007), Ball et al (2009).</w:t>
      </w:r>
    </w:p>
    <w:p w14:paraId="6A52F05E" w14:textId="77777777" w:rsidR="00C13E5A" w:rsidRPr="00A71FA3" w:rsidRDefault="00C13E5A" w:rsidP="00C13E5A">
      <w:pPr>
        <w:jc w:val="both"/>
      </w:pPr>
      <w:r w:rsidRPr="00A71FA3">
        <w:t xml:space="preserve">Secondly, research also indicates that M2 money supply has a positive impact on inflation in Vietnam. More specifically, the impact persists for </w:t>
      </w:r>
      <w:r w:rsidR="000866E2">
        <w:t xml:space="preserve">7-8 </w:t>
      </w:r>
      <w:r w:rsidRPr="00A71FA3">
        <w:t>quarters after the shock with an impact remaining positive.</w:t>
      </w:r>
    </w:p>
    <w:p w14:paraId="0ADC3772" w14:textId="77777777" w:rsidR="00C13E5A" w:rsidRPr="00A71FA3" w:rsidRDefault="00C13E5A" w:rsidP="00C13E5A">
      <w:pPr>
        <w:jc w:val="both"/>
      </w:pPr>
      <w:r w:rsidRPr="00A71FA3">
        <w:t>Thirdly, real effective exchange rate has a positive impact on inflation in Vietnam. The impact becomes more clearly after quarter 2</w:t>
      </w:r>
      <w:r w:rsidRPr="00A71FA3">
        <w:rPr>
          <w:vertAlign w:val="superscript"/>
        </w:rPr>
        <w:t>th</w:t>
      </w:r>
      <w:r w:rsidRPr="00A71FA3">
        <w:t>. In theory, the real exchange rate increases (foreign currency revaluation and local currency devaluation) will make the price of exports cheaper and of imports more expensive, which causes the price level increase. This effect becomes greater because Vietnam has a large import demand. Hence, even though the price of imported goods is quite expensive, it is difficult to reduce the import volumes.</w:t>
      </w:r>
    </w:p>
    <w:p w14:paraId="3D47B61A" w14:textId="77777777" w:rsidR="00C13E5A" w:rsidRPr="00A71FA3" w:rsidRDefault="00C13E5A" w:rsidP="00C13E5A">
      <w:pPr>
        <w:jc w:val="both"/>
      </w:pPr>
      <w:r w:rsidRPr="00A71FA3">
        <w:t xml:space="preserve">Briefly, remittance, money supply and real effective exchange rate have positive impacts on inflation in Vietnam. It means that positive shocks of these variables will lead an increase </w:t>
      </w:r>
      <w:r w:rsidRPr="00A71FA3">
        <w:lastRenderedPageBreak/>
        <w:t>in inflation with different lags. However, from Table</w:t>
      </w:r>
      <w:r>
        <w:t xml:space="preserve"> 9</w:t>
      </w:r>
      <w:r w:rsidRPr="00A71FA3">
        <w:t xml:space="preserve"> (see Appendix) we can see that the expectation of inflation contributes about 90% of change in inflation in Vietnam.</w:t>
      </w:r>
    </w:p>
    <w:p w14:paraId="0321EB4D" w14:textId="77777777" w:rsidR="00C13E5A" w:rsidRPr="00A71FA3" w:rsidRDefault="00C13E5A" w:rsidP="00C13E5A">
      <w:pPr>
        <w:jc w:val="both"/>
        <w:rPr>
          <w:b/>
        </w:rPr>
      </w:pPr>
      <w:r w:rsidRPr="00A71FA3">
        <w:rPr>
          <w:b/>
        </w:rPr>
        <w:t>CONCLUSION</w:t>
      </w:r>
    </w:p>
    <w:p w14:paraId="474C9302" w14:textId="77777777" w:rsidR="00C13E5A" w:rsidRPr="00A71FA3" w:rsidRDefault="00C13E5A" w:rsidP="00C13E5A">
      <w:pPr>
        <w:jc w:val="both"/>
      </w:pPr>
      <w:r w:rsidRPr="00A71FA3">
        <w:t xml:space="preserve">With the quarterly data from 1996 to 2012 and VAR model, this paper </w:t>
      </w:r>
      <w:proofErr w:type="gramStart"/>
      <w:r>
        <w:t>investigate</w:t>
      </w:r>
      <w:proofErr w:type="gramEnd"/>
      <w:r w:rsidRPr="00A71FA3">
        <w:t xml:space="preserve"> the impact of remittance on inflation in Vietnam. </w:t>
      </w:r>
      <w:r>
        <w:t>There are two</w:t>
      </w:r>
      <w:r w:rsidRPr="00A71FA3">
        <w:t xml:space="preserve"> main findings:</w:t>
      </w:r>
    </w:p>
    <w:p w14:paraId="5FB089BF" w14:textId="77777777" w:rsidR="00C13E5A" w:rsidRPr="00A71FA3" w:rsidRDefault="00C13E5A" w:rsidP="00C13E5A">
      <w:pPr>
        <w:jc w:val="both"/>
      </w:pPr>
      <w:r w:rsidRPr="00A71FA3">
        <w:t>First, remittance inflows increase inflation in Vietnam. Empirical evidence has contributed to reinforce the theory of the impact of remittances on inflation in the peg exchange rate regime. It suggests for the policy makers that to minimize the negative impact of remittances on inflation, the</w:t>
      </w:r>
      <w:r w:rsidR="00521A39">
        <w:t xml:space="preserve"> central bank should reconsider</w:t>
      </w:r>
      <w:r w:rsidRPr="00A71FA3">
        <w:t xml:space="preserve"> the exchange rate regime.</w:t>
      </w:r>
    </w:p>
    <w:p w14:paraId="12A142F3" w14:textId="77777777" w:rsidR="00C13E5A" w:rsidRPr="00A71FA3" w:rsidRDefault="00C13E5A" w:rsidP="00C13E5A">
      <w:pPr>
        <w:jc w:val="both"/>
      </w:pPr>
      <w:r w:rsidRPr="00A71FA3">
        <w:t>Second, both money supply and real effective exchange rate affect i</w:t>
      </w:r>
      <w:r w:rsidR="00521A39">
        <w:t>nflation, however, they account</w:t>
      </w:r>
      <w:r w:rsidRPr="00A71FA3">
        <w:t xml:space="preserve"> for mere 2-3%. Inflation expectations is a major factor explaining the volatility of inflation in Vietnam.</w:t>
      </w:r>
    </w:p>
    <w:p w14:paraId="4F922098" w14:textId="77777777" w:rsidR="00C13E5A" w:rsidRPr="00A71FA3" w:rsidRDefault="00C13E5A" w:rsidP="00C13E5A">
      <w:pPr>
        <w:jc w:val="both"/>
        <w:rPr>
          <w:b/>
        </w:rPr>
      </w:pPr>
      <w:r w:rsidRPr="00A71FA3">
        <w:rPr>
          <w:b/>
        </w:rPr>
        <w:t>REFERENCES</w:t>
      </w:r>
    </w:p>
    <w:p w14:paraId="33F94987" w14:textId="77777777" w:rsidR="006B312F" w:rsidRDefault="00C13E5A" w:rsidP="003F58DD">
      <w:pPr>
        <w:autoSpaceDE w:val="0"/>
        <w:autoSpaceDN w:val="0"/>
        <w:adjustRightInd w:val="0"/>
        <w:spacing w:before="120" w:line="276" w:lineRule="auto"/>
        <w:jc w:val="both"/>
        <w:rPr>
          <w:i/>
        </w:rPr>
      </w:pPr>
      <w:proofErr w:type="spellStart"/>
      <w:r w:rsidRPr="00A71FA3">
        <w:t>Amuedo-Dorantes</w:t>
      </w:r>
      <w:proofErr w:type="spellEnd"/>
      <w:r w:rsidRPr="00A71FA3">
        <w:t xml:space="preserve">, Catalina and Susan </w:t>
      </w:r>
      <w:proofErr w:type="spellStart"/>
      <w:r w:rsidRPr="00A71FA3">
        <w:t>Pozo</w:t>
      </w:r>
      <w:proofErr w:type="spellEnd"/>
      <w:r w:rsidRPr="00A71FA3">
        <w:t xml:space="preserve"> (2004). </w:t>
      </w:r>
      <w:r w:rsidRPr="00A71FA3">
        <w:rPr>
          <w:i/>
        </w:rPr>
        <w:t xml:space="preserve">Workers’ Remittances and the Real </w:t>
      </w:r>
      <w:r w:rsidR="006B312F">
        <w:rPr>
          <w:i/>
        </w:rPr>
        <w:t xml:space="preserve"> </w:t>
      </w:r>
    </w:p>
    <w:p w14:paraId="7D867F81" w14:textId="77777777" w:rsidR="00C13E5A" w:rsidRDefault="00C13E5A" w:rsidP="003F58DD">
      <w:pPr>
        <w:autoSpaceDE w:val="0"/>
        <w:autoSpaceDN w:val="0"/>
        <w:adjustRightInd w:val="0"/>
        <w:spacing w:before="120" w:line="276" w:lineRule="auto"/>
        <w:ind w:firstLine="720"/>
        <w:jc w:val="both"/>
      </w:pPr>
      <w:r w:rsidRPr="00A71FA3">
        <w:rPr>
          <w:i/>
        </w:rPr>
        <w:t>Exchange Rate: A Paradox of Gifts</w:t>
      </w:r>
      <w:r w:rsidRPr="00A71FA3">
        <w:t>. World Development, 32: 1407-1417.</w:t>
      </w:r>
    </w:p>
    <w:p w14:paraId="2BD6724C" w14:textId="77777777" w:rsidR="003F58DD" w:rsidRDefault="00B66671" w:rsidP="003F58DD">
      <w:pPr>
        <w:autoSpaceDE w:val="0"/>
        <w:autoSpaceDN w:val="0"/>
        <w:adjustRightInd w:val="0"/>
        <w:spacing w:before="0" w:line="276" w:lineRule="auto"/>
        <w:rPr>
          <w:rFonts w:ascii="TimesNewRomanPSMT" w:hAnsi="TimesNewRomanPSMT" w:cs="TimesNewRomanPSMT"/>
          <w:i/>
        </w:rPr>
      </w:pPr>
      <w:proofErr w:type="spellStart"/>
      <w:r>
        <w:rPr>
          <w:rFonts w:ascii="TimesNewRomanPSMT" w:hAnsi="TimesNewRomanPSMT" w:cs="TimesNewRomanPSMT"/>
        </w:rPr>
        <w:t>Bourdet</w:t>
      </w:r>
      <w:proofErr w:type="spellEnd"/>
      <w:r>
        <w:rPr>
          <w:rFonts w:ascii="TimesNewRomanPSMT" w:hAnsi="TimesNewRomanPSMT" w:cs="TimesNewRomanPSMT"/>
        </w:rPr>
        <w:t xml:space="preserve">, Yves and Hans </w:t>
      </w:r>
      <w:proofErr w:type="spellStart"/>
      <w:r>
        <w:rPr>
          <w:rFonts w:ascii="TimesNewRomanPSMT" w:hAnsi="TimesNewRomanPSMT" w:cs="TimesNewRomanPSMT"/>
        </w:rPr>
        <w:t>Falck</w:t>
      </w:r>
      <w:proofErr w:type="spellEnd"/>
      <w:r>
        <w:rPr>
          <w:rFonts w:ascii="TimesNewRomanPSMT" w:hAnsi="TimesNewRomanPSMT" w:cs="TimesNewRomanPSMT"/>
        </w:rPr>
        <w:t xml:space="preserve">. 2006. </w:t>
      </w:r>
      <w:r w:rsidRPr="00B66671">
        <w:rPr>
          <w:rFonts w:ascii="TimesNewRomanPSMT" w:hAnsi="TimesNewRomanPSMT" w:cs="TimesNewRomanPSMT"/>
          <w:i/>
        </w:rPr>
        <w:t xml:space="preserve">Emigrants’ Remittances and Dutch Disease in Cape </w:t>
      </w:r>
    </w:p>
    <w:p w14:paraId="5CEB9FF4" w14:textId="77777777" w:rsidR="00B66671" w:rsidRDefault="00B66671" w:rsidP="003F58DD">
      <w:pPr>
        <w:autoSpaceDE w:val="0"/>
        <w:autoSpaceDN w:val="0"/>
        <w:adjustRightInd w:val="0"/>
        <w:spacing w:before="0" w:line="276" w:lineRule="auto"/>
        <w:ind w:firstLine="720"/>
        <w:rPr>
          <w:rFonts w:ascii="TimesNewRomanPSMT" w:hAnsi="TimesNewRomanPSMT" w:cs="TimesNewRomanPSMT"/>
        </w:rPr>
      </w:pPr>
      <w:r w:rsidRPr="00B66671">
        <w:rPr>
          <w:rFonts w:ascii="TimesNewRomanPSMT" w:hAnsi="TimesNewRomanPSMT" w:cs="TimesNewRomanPSMT"/>
          <w:i/>
        </w:rPr>
        <w:t>Verde</w:t>
      </w:r>
      <w:r>
        <w:rPr>
          <w:rFonts w:ascii="TimesNewRomanPSMT" w:hAnsi="TimesNewRomanPSMT" w:cs="TimesNewRomanPSMT"/>
        </w:rPr>
        <w:t>. International Economic Journal, 20: 267-284.</w:t>
      </w:r>
    </w:p>
    <w:p w14:paraId="56644561" w14:textId="77777777" w:rsidR="003F58DD" w:rsidRDefault="00B66671" w:rsidP="003F58DD">
      <w:pPr>
        <w:autoSpaceDE w:val="0"/>
        <w:autoSpaceDN w:val="0"/>
        <w:adjustRightInd w:val="0"/>
        <w:spacing w:before="0" w:line="276" w:lineRule="auto"/>
        <w:rPr>
          <w:rFonts w:ascii="TimesNewRomanPSMT" w:hAnsi="TimesNewRomanPSMT" w:cs="TimesNewRomanPSMT"/>
        </w:rPr>
      </w:pPr>
      <w:r>
        <w:rPr>
          <w:rFonts w:ascii="TimesNewRomanPSMT" w:hAnsi="TimesNewRomanPSMT" w:cs="TimesNewRomanPSMT"/>
        </w:rPr>
        <w:t xml:space="preserve">Bun, Maurice. 2001. </w:t>
      </w:r>
      <w:r w:rsidRPr="00B66671">
        <w:rPr>
          <w:rFonts w:ascii="TimesNewRomanPSMT" w:hAnsi="TimesNewRomanPSMT" w:cs="TimesNewRomanPSMT"/>
          <w:i/>
        </w:rPr>
        <w:t>Accurate Statistical Analysis in Dynamic Panel Data Models</w:t>
      </w:r>
      <w:r>
        <w:rPr>
          <w:rFonts w:ascii="TimesNewRomanPSMT" w:hAnsi="TimesNewRomanPSMT" w:cs="TimesNewRomanPSMT"/>
        </w:rPr>
        <w:t xml:space="preserve">, PhD </w:t>
      </w:r>
    </w:p>
    <w:p w14:paraId="5FC69019" w14:textId="77777777" w:rsidR="00B66671" w:rsidRPr="00A71FA3" w:rsidRDefault="00B66671" w:rsidP="003F58DD">
      <w:pPr>
        <w:autoSpaceDE w:val="0"/>
        <w:autoSpaceDN w:val="0"/>
        <w:adjustRightInd w:val="0"/>
        <w:spacing w:before="0" w:line="276" w:lineRule="auto"/>
        <w:ind w:firstLine="720"/>
        <w:rPr>
          <w:i/>
        </w:rPr>
      </w:pPr>
      <w:r>
        <w:rPr>
          <w:rFonts w:ascii="TimesNewRomanPSMT" w:hAnsi="TimesNewRomanPSMT" w:cs="TimesNewRomanPSMT"/>
        </w:rPr>
        <w:t>Thesis, Tinbergen Institute.</w:t>
      </w:r>
    </w:p>
    <w:p w14:paraId="5F930491" w14:textId="77777777" w:rsidR="006B312F" w:rsidRDefault="00C13E5A" w:rsidP="003F58DD">
      <w:pPr>
        <w:spacing w:before="120" w:line="276" w:lineRule="auto"/>
        <w:jc w:val="both"/>
        <w:rPr>
          <w:i/>
        </w:rPr>
      </w:pPr>
      <w:r w:rsidRPr="00A71FA3">
        <w:t xml:space="preserve">Ball, C.P., Crux-Zuniga, M., Lopez, C., and Reyes, J. (2009). </w:t>
      </w:r>
      <w:r w:rsidRPr="00A71FA3">
        <w:rPr>
          <w:i/>
        </w:rPr>
        <w:t xml:space="preserve">Remittances, inflation and </w:t>
      </w:r>
    </w:p>
    <w:p w14:paraId="262327B0" w14:textId="77777777" w:rsidR="00C13E5A" w:rsidRPr="00A71FA3" w:rsidRDefault="00C13E5A" w:rsidP="003F58DD">
      <w:pPr>
        <w:spacing w:before="120" w:line="276" w:lineRule="auto"/>
        <w:ind w:firstLine="720"/>
        <w:jc w:val="both"/>
      </w:pPr>
      <w:r w:rsidRPr="00A71FA3">
        <w:rPr>
          <w:i/>
        </w:rPr>
        <w:t>exchange rate regimes in small open economies</w:t>
      </w:r>
      <w:r w:rsidRPr="00A71FA3">
        <w:t xml:space="preserve">. </w:t>
      </w:r>
      <w:hyperlink r:id="rId6" w:history="1">
        <w:r w:rsidRPr="00A71FA3">
          <w:rPr>
            <w:rStyle w:val="Hyperlink"/>
          </w:rPr>
          <w:t>www.ssrn.com</w:t>
        </w:r>
      </w:hyperlink>
    </w:p>
    <w:p w14:paraId="2DB64BD4" w14:textId="77777777" w:rsidR="006B312F" w:rsidRDefault="00C13E5A" w:rsidP="003F58DD">
      <w:pPr>
        <w:autoSpaceDE w:val="0"/>
        <w:autoSpaceDN w:val="0"/>
        <w:adjustRightInd w:val="0"/>
        <w:spacing w:before="120" w:line="276" w:lineRule="auto"/>
        <w:jc w:val="both"/>
        <w:rPr>
          <w:i/>
        </w:rPr>
      </w:pPr>
      <w:proofErr w:type="spellStart"/>
      <w:r w:rsidRPr="00A71FA3">
        <w:t>Bourdet</w:t>
      </w:r>
      <w:proofErr w:type="spellEnd"/>
      <w:r w:rsidRPr="00A71FA3">
        <w:t xml:space="preserve">, Yves and Hans </w:t>
      </w:r>
      <w:proofErr w:type="spellStart"/>
      <w:r w:rsidRPr="00A71FA3">
        <w:t>Falck</w:t>
      </w:r>
      <w:proofErr w:type="spellEnd"/>
      <w:r w:rsidRPr="00A71FA3">
        <w:t xml:space="preserve"> (2006). </w:t>
      </w:r>
      <w:r w:rsidRPr="00A71FA3">
        <w:rPr>
          <w:i/>
        </w:rPr>
        <w:t xml:space="preserve">Emigrants’ Remittances and Dutch Disease in Cape </w:t>
      </w:r>
    </w:p>
    <w:p w14:paraId="4587C308" w14:textId="77777777" w:rsidR="00C13E5A" w:rsidRDefault="00C13E5A" w:rsidP="003F58DD">
      <w:pPr>
        <w:autoSpaceDE w:val="0"/>
        <w:autoSpaceDN w:val="0"/>
        <w:adjustRightInd w:val="0"/>
        <w:spacing w:before="120" w:line="276" w:lineRule="auto"/>
        <w:ind w:firstLine="720"/>
        <w:jc w:val="both"/>
      </w:pPr>
      <w:r w:rsidRPr="00A71FA3">
        <w:rPr>
          <w:i/>
        </w:rPr>
        <w:t>Verde</w:t>
      </w:r>
      <w:r w:rsidRPr="00A71FA3">
        <w:t xml:space="preserve">. </w:t>
      </w:r>
      <w:proofErr w:type="spellStart"/>
      <w:r w:rsidRPr="00A71FA3">
        <w:t>Int</w:t>
      </w:r>
      <w:proofErr w:type="spellEnd"/>
      <w:r w:rsidRPr="00A71FA3">
        <w:t xml:space="preserve"> </w:t>
      </w:r>
      <w:proofErr w:type="spellStart"/>
      <w:r w:rsidRPr="00A71FA3">
        <w:t>ernational</w:t>
      </w:r>
      <w:proofErr w:type="spellEnd"/>
      <w:r w:rsidRPr="00A71FA3">
        <w:t xml:space="preserve"> Economic Journal, 20: 267-284.</w:t>
      </w:r>
    </w:p>
    <w:p w14:paraId="0451DA88" w14:textId="77777777" w:rsidR="009F1C86" w:rsidRPr="009F1C86" w:rsidRDefault="00D8213B" w:rsidP="003F58DD">
      <w:pPr>
        <w:autoSpaceDE w:val="0"/>
        <w:autoSpaceDN w:val="0"/>
        <w:adjustRightInd w:val="0"/>
        <w:spacing w:before="0" w:line="276" w:lineRule="auto"/>
        <w:rPr>
          <w:rFonts w:ascii="TimesNewRomanPSMT" w:hAnsi="TimesNewRomanPSMT" w:cs="TimesNewRomanPSMT"/>
          <w:i/>
        </w:rPr>
      </w:pPr>
      <w:r>
        <w:rPr>
          <w:rFonts w:ascii="TimesNewRomanPSMT" w:hAnsi="TimesNewRomanPSMT" w:cs="TimesNewRomanPSMT"/>
        </w:rPr>
        <w:t>Caceres, L.R.</w:t>
      </w:r>
      <w:r w:rsidR="009F1C86">
        <w:rPr>
          <w:rFonts w:ascii="TimesNewRomanPSMT" w:hAnsi="TimesNewRomanPSMT" w:cs="TimesNewRomanPSMT"/>
        </w:rPr>
        <w:t xml:space="preserve"> </w:t>
      </w:r>
      <w:r w:rsidR="00134A3D">
        <w:rPr>
          <w:rFonts w:ascii="TimesNewRomanPSMT" w:hAnsi="TimesNewRomanPSMT" w:cs="TimesNewRomanPSMT"/>
        </w:rPr>
        <w:t xml:space="preserve">&amp; </w:t>
      </w:r>
      <w:proofErr w:type="spellStart"/>
      <w:r w:rsidR="00134A3D">
        <w:rPr>
          <w:rFonts w:ascii="TimesNewRomanPSMT" w:hAnsi="TimesNewRomanPSMT" w:cs="TimesNewRomanPSMT"/>
        </w:rPr>
        <w:t>Nolvia</w:t>
      </w:r>
      <w:proofErr w:type="spellEnd"/>
      <w:r w:rsidR="00134A3D">
        <w:rPr>
          <w:rFonts w:ascii="TimesNewRomanPSMT" w:hAnsi="TimesNewRomanPSMT" w:cs="TimesNewRomanPSMT"/>
        </w:rPr>
        <w:t>, N.S</w:t>
      </w:r>
      <w:r w:rsidR="009F1C86">
        <w:rPr>
          <w:rFonts w:ascii="TimesNewRomanPSMT" w:hAnsi="TimesNewRomanPSMT" w:cs="TimesNewRomanPSMT"/>
        </w:rPr>
        <w:t xml:space="preserve">. </w:t>
      </w:r>
      <w:r>
        <w:rPr>
          <w:rFonts w:ascii="TimesNewRomanPSMT" w:hAnsi="TimesNewRomanPSMT" w:cs="TimesNewRomanPSMT"/>
        </w:rPr>
        <w:t>(</w:t>
      </w:r>
      <w:r w:rsidR="009F1C86">
        <w:rPr>
          <w:rFonts w:ascii="TimesNewRomanPSMT" w:hAnsi="TimesNewRomanPSMT" w:cs="TimesNewRomanPSMT"/>
        </w:rPr>
        <w:t>2006</w:t>
      </w:r>
      <w:r>
        <w:rPr>
          <w:rFonts w:ascii="TimesNewRomanPSMT" w:hAnsi="TimesNewRomanPSMT" w:cs="TimesNewRomanPSMT"/>
        </w:rPr>
        <w:t>)</w:t>
      </w:r>
      <w:r w:rsidR="009F1C86">
        <w:rPr>
          <w:rFonts w:ascii="TimesNewRomanPSMT" w:hAnsi="TimesNewRomanPSMT" w:cs="TimesNewRomanPSMT"/>
        </w:rPr>
        <w:t xml:space="preserve">. </w:t>
      </w:r>
      <w:r w:rsidR="009F1C86" w:rsidRPr="009F1C86">
        <w:rPr>
          <w:rFonts w:ascii="TimesNewRomanPSMT" w:hAnsi="TimesNewRomanPSMT" w:cs="TimesNewRomanPSMT"/>
          <w:i/>
        </w:rPr>
        <w:t xml:space="preserve">What Do Remittances Do? Analyzing the </w:t>
      </w:r>
    </w:p>
    <w:p w14:paraId="533957F7" w14:textId="77777777" w:rsidR="009F1C86" w:rsidRDefault="009F1C86" w:rsidP="003F58DD">
      <w:pPr>
        <w:autoSpaceDE w:val="0"/>
        <w:autoSpaceDN w:val="0"/>
        <w:adjustRightInd w:val="0"/>
        <w:spacing w:before="0" w:line="276" w:lineRule="auto"/>
        <w:ind w:left="720"/>
      </w:pPr>
      <w:r w:rsidRPr="009F1C86">
        <w:rPr>
          <w:rFonts w:ascii="TimesNewRomanPSMT" w:hAnsi="TimesNewRomanPSMT" w:cs="TimesNewRomanPSMT"/>
          <w:i/>
        </w:rPr>
        <w:t>Private Remittance Transmission Mechanism in El Salvador</w:t>
      </w:r>
      <w:r>
        <w:rPr>
          <w:rFonts w:ascii="TimesNewRomanPSMT" w:hAnsi="TimesNewRomanPSMT" w:cs="TimesNewRomanPSMT"/>
        </w:rPr>
        <w:t>. International Monetary Fund Working Paper, WP/06/250.</w:t>
      </w:r>
    </w:p>
    <w:p w14:paraId="59F08049" w14:textId="77777777" w:rsidR="006B312F" w:rsidRDefault="00605F37" w:rsidP="003F58DD">
      <w:pPr>
        <w:autoSpaceDE w:val="0"/>
        <w:autoSpaceDN w:val="0"/>
        <w:adjustRightInd w:val="0"/>
        <w:spacing w:before="120" w:line="276" w:lineRule="auto"/>
        <w:jc w:val="both"/>
        <w:rPr>
          <w:i/>
        </w:rPr>
      </w:pPr>
      <w:proofErr w:type="spellStart"/>
      <w:r>
        <w:t>Hao</w:t>
      </w:r>
      <w:proofErr w:type="spellEnd"/>
      <w:r>
        <w:t xml:space="preserve">, D.K. (2013). </w:t>
      </w:r>
      <w:r w:rsidRPr="000C4788">
        <w:rPr>
          <w:i/>
        </w:rPr>
        <w:t xml:space="preserve">Evaluating the impacts of remittance on Vietnam economy. Banking </w:t>
      </w:r>
    </w:p>
    <w:p w14:paraId="7A765D63" w14:textId="77777777" w:rsidR="00605F37" w:rsidRDefault="00605F37" w:rsidP="003F58DD">
      <w:pPr>
        <w:autoSpaceDE w:val="0"/>
        <w:autoSpaceDN w:val="0"/>
        <w:adjustRightInd w:val="0"/>
        <w:spacing w:before="120" w:line="276" w:lineRule="auto"/>
        <w:ind w:firstLine="720"/>
        <w:jc w:val="both"/>
      </w:pPr>
      <w:r w:rsidRPr="000C4788">
        <w:rPr>
          <w:i/>
        </w:rPr>
        <w:t>Science &amp; Training</w:t>
      </w:r>
      <w:r w:rsidR="000C4788" w:rsidRPr="000C4788">
        <w:rPr>
          <w:i/>
        </w:rPr>
        <w:t xml:space="preserve"> Review</w:t>
      </w:r>
      <w:r w:rsidR="000C4788">
        <w:t>. No.134.</w:t>
      </w:r>
    </w:p>
    <w:p w14:paraId="29E99C3F" w14:textId="77777777" w:rsidR="006B312F" w:rsidRDefault="00C13E5A" w:rsidP="003F58DD">
      <w:pPr>
        <w:autoSpaceDE w:val="0"/>
        <w:autoSpaceDN w:val="0"/>
        <w:adjustRightInd w:val="0"/>
        <w:spacing w:before="120" w:line="276" w:lineRule="auto"/>
        <w:jc w:val="both"/>
        <w:rPr>
          <w:i/>
        </w:rPr>
      </w:pPr>
      <w:r w:rsidRPr="00A71FA3">
        <w:t xml:space="preserve">Lopez, Humberto, Luis Molina, and Maurizio </w:t>
      </w:r>
      <w:proofErr w:type="spellStart"/>
      <w:r w:rsidRPr="00A71FA3">
        <w:t>Bussolo</w:t>
      </w:r>
      <w:proofErr w:type="spellEnd"/>
      <w:r w:rsidRPr="00A71FA3">
        <w:t xml:space="preserve"> (2007). </w:t>
      </w:r>
      <w:r w:rsidRPr="00A71FA3">
        <w:rPr>
          <w:i/>
        </w:rPr>
        <w:t xml:space="preserve">Remittances and the Real </w:t>
      </w:r>
    </w:p>
    <w:p w14:paraId="021BEB57" w14:textId="77777777" w:rsidR="00C13E5A" w:rsidRDefault="00C13E5A" w:rsidP="003F58DD">
      <w:pPr>
        <w:autoSpaceDE w:val="0"/>
        <w:autoSpaceDN w:val="0"/>
        <w:adjustRightInd w:val="0"/>
        <w:spacing w:before="120" w:line="276" w:lineRule="auto"/>
        <w:ind w:firstLine="720"/>
        <w:jc w:val="both"/>
      </w:pPr>
      <w:r w:rsidRPr="00A71FA3">
        <w:rPr>
          <w:i/>
        </w:rPr>
        <w:t>Exchange Rate</w:t>
      </w:r>
      <w:r w:rsidRPr="00A71FA3">
        <w:t>. World Bank Policy Research Working Paper, WPS 4213, April.</w:t>
      </w:r>
    </w:p>
    <w:p w14:paraId="042022E7" w14:textId="77777777" w:rsidR="00C65940" w:rsidRDefault="00254817" w:rsidP="003F58DD">
      <w:pPr>
        <w:spacing w:line="276" w:lineRule="auto"/>
        <w:rPr>
          <w:bCs/>
          <w:i/>
          <w:color w:val="auto"/>
        </w:rPr>
      </w:pPr>
      <w:r w:rsidRPr="00C65940">
        <w:rPr>
          <w:bCs/>
          <w:color w:val="auto"/>
        </w:rPr>
        <w:t>The</w:t>
      </w:r>
      <w:r w:rsidR="00C77F10" w:rsidRPr="00C65940">
        <w:rPr>
          <w:bCs/>
          <w:color w:val="auto"/>
        </w:rPr>
        <w:t xml:space="preserve"> </w:t>
      </w:r>
      <w:proofErr w:type="spellStart"/>
      <w:r w:rsidR="00C77F10" w:rsidRPr="00C65940">
        <w:rPr>
          <w:bCs/>
          <w:color w:val="auto"/>
        </w:rPr>
        <w:t>Pfau</w:t>
      </w:r>
      <w:proofErr w:type="spellEnd"/>
      <w:r w:rsidR="00C77F10" w:rsidRPr="00C65940">
        <w:rPr>
          <w:bCs/>
          <w:color w:val="auto"/>
        </w:rPr>
        <w:t xml:space="preserve">, W.D., &amp; </w:t>
      </w:r>
      <w:proofErr w:type="spellStart"/>
      <w:r w:rsidR="00C77F10" w:rsidRPr="00C65940">
        <w:rPr>
          <w:bCs/>
          <w:color w:val="auto"/>
        </w:rPr>
        <w:t>Giang</w:t>
      </w:r>
      <w:proofErr w:type="spellEnd"/>
      <w:r w:rsidR="00C77F10" w:rsidRPr="00C65940">
        <w:rPr>
          <w:bCs/>
          <w:color w:val="auto"/>
        </w:rPr>
        <w:t>, L.T., 2010</w:t>
      </w:r>
      <w:r w:rsidR="00C77F10">
        <w:rPr>
          <w:bCs/>
          <w:i/>
          <w:color w:val="auto"/>
        </w:rPr>
        <w:t>. The</w:t>
      </w:r>
      <w:r w:rsidRPr="00254817">
        <w:rPr>
          <w:bCs/>
          <w:i/>
          <w:color w:val="auto"/>
        </w:rPr>
        <w:t xml:space="preserve"> Growing Role of International Remittances in </w:t>
      </w:r>
    </w:p>
    <w:p w14:paraId="5FE7B788" w14:textId="77777777" w:rsidR="00C77F10" w:rsidRDefault="00254817" w:rsidP="003F58DD">
      <w:pPr>
        <w:spacing w:line="276" w:lineRule="auto"/>
        <w:ind w:left="720"/>
        <w:rPr>
          <w:color w:val="auto"/>
        </w:rPr>
      </w:pPr>
      <w:r w:rsidRPr="00254817">
        <w:rPr>
          <w:bCs/>
          <w:i/>
          <w:color w:val="auto"/>
        </w:rPr>
        <w:lastRenderedPageBreak/>
        <w:t>the Vietnamese Economy: Evidence from the Vietnam (Ho</w:t>
      </w:r>
      <w:r w:rsidR="00C77F10">
        <w:rPr>
          <w:bCs/>
          <w:i/>
          <w:color w:val="auto"/>
        </w:rPr>
        <w:t xml:space="preserve">usehold) Living Standard Surveys. </w:t>
      </w:r>
      <w:r w:rsidRPr="00254817">
        <w:rPr>
          <w:color w:val="auto"/>
        </w:rPr>
        <w:t>MPRA Pape</w:t>
      </w:r>
      <w:r w:rsidR="00C77F10">
        <w:rPr>
          <w:color w:val="auto"/>
        </w:rPr>
        <w:t>r 24945, University Library of Munich, Germany.</w:t>
      </w:r>
    </w:p>
    <w:p w14:paraId="5778D568" w14:textId="77777777" w:rsidR="006B312F" w:rsidRDefault="00C13E5A" w:rsidP="003F58DD">
      <w:pPr>
        <w:spacing w:before="120" w:line="276" w:lineRule="auto"/>
        <w:jc w:val="both"/>
        <w:rPr>
          <w:i/>
        </w:rPr>
      </w:pPr>
      <w:r w:rsidRPr="00254817">
        <w:rPr>
          <w:color w:val="auto"/>
        </w:rPr>
        <w:t xml:space="preserve">Takagi, S. and </w:t>
      </w:r>
      <w:proofErr w:type="spellStart"/>
      <w:r w:rsidRPr="00254817">
        <w:rPr>
          <w:color w:val="auto"/>
        </w:rPr>
        <w:t>Pham.T.H.A</w:t>
      </w:r>
      <w:proofErr w:type="spellEnd"/>
      <w:r w:rsidRPr="00254817">
        <w:rPr>
          <w:color w:val="auto"/>
        </w:rPr>
        <w:t xml:space="preserve">. (2011). </w:t>
      </w:r>
      <w:r w:rsidRPr="00254817">
        <w:rPr>
          <w:i/>
          <w:color w:val="auto"/>
        </w:rPr>
        <w:t xml:space="preserve">Responding to the global financial crisis: Vietnamese </w:t>
      </w:r>
    </w:p>
    <w:p w14:paraId="519FCEBF" w14:textId="77777777" w:rsidR="00C13E5A" w:rsidRPr="00A71FA3" w:rsidRDefault="00C13E5A" w:rsidP="003F58DD">
      <w:pPr>
        <w:spacing w:before="120" w:line="276" w:lineRule="auto"/>
        <w:ind w:left="720"/>
        <w:jc w:val="both"/>
      </w:pPr>
      <w:r w:rsidRPr="00A71FA3">
        <w:rPr>
          <w:i/>
        </w:rPr>
        <w:t>exchange rate policy</w:t>
      </w:r>
      <w:r w:rsidRPr="00A71FA3">
        <w:t>, 2008-2009. Journal of Asian Economics, Vol. 22, No.6, 507-517, December 2011.</w:t>
      </w:r>
    </w:p>
    <w:p w14:paraId="7ACB58AA" w14:textId="77777777" w:rsidR="001175A9" w:rsidRDefault="00C13E5A" w:rsidP="00EA3AB4">
      <w:pPr>
        <w:spacing w:before="120" w:line="276" w:lineRule="auto"/>
      </w:pPr>
      <w:r w:rsidRPr="003A00D0">
        <w:t xml:space="preserve">Websites: </w:t>
      </w:r>
      <w:hyperlink r:id="rId7" w:history="1">
        <w:r w:rsidRPr="003A00D0">
          <w:rPr>
            <w:rStyle w:val="Hyperlink"/>
          </w:rPr>
          <w:t>www.imf.org</w:t>
        </w:r>
      </w:hyperlink>
      <w:r w:rsidR="00EA3AB4" w:rsidRPr="003A00D0">
        <w:rPr>
          <w:rStyle w:val="Hyperlink"/>
        </w:rPr>
        <w:t xml:space="preserve"> (</w:t>
      </w:r>
      <w:r w:rsidR="00EA3AB4" w:rsidRPr="003A00D0">
        <w:rPr>
          <w:color w:val="1B538E"/>
          <w:shd w:val="clear" w:color="auto" w:fill="FFFFFF"/>
        </w:rPr>
        <w:t>International Financial Statistics (IFS)</w:t>
      </w:r>
      <w:r w:rsidR="00EA3AB4" w:rsidRPr="003A00D0">
        <w:rPr>
          <w:rStyle w:val="Hyperlink"/>
        </w:rPr>
        <w:t>)</w:t>
      </w:r>
      <w:r w:rsidRPr="003A00D0">
        <w:t>;</w:t>
      </w:r>
      <w:r w:rsidR="001175A9" w:rsidRPr="001175A9">
        <w:t xml:space="preserve"> </w:t>
      </w:r>
      <w:hyperlink r:id="rId8" w:history="1">
        <w:r w:rsidR="001175A9" w:rsidRPr="00CF5745">
          <w:rPr>
            <w:rStyle w:val="Hyperlink"/>
          </w:rPr>
          <w:t>http://data.worldbank.org/</w:t>
        </w:r>
      </w:hyperlink>
    </w:p>
    <w:p w14:paraId="66156572" w14:textId="77777777" w:rsidR="00C13E5A" w:rsidRDefault="00C13E5A" w:rsidP="00EA3AB4">
      <w:pPr>
        <w:spacing w:before="120" w:line="276" w:lineRule="auto"/>
      </w:pPr>
      <w:r w:rsidRPr="003A00D0">
        <w:t xml:space="preserve"> </w:t>
      </w:r>
      <w:hyperlink r:id="rId9" w:history="1">
        <w:r w:rsidRPr="003A00D0">
          <w:rPr>
            <w:rStyle w:val="Hyperlink"/>
          </w:rPr>
          <w:t>www.gso.gov.vn</w:t>
        </w:r>
      </w:hyperlink>
      <w:r w:rsidRPr="003A00D0">
        <w:t xml:space="preserve">; </w:t>
      </w:r>
      <w:hyperlink r:id="rId10" w:history="1">
        <w:r w:rsidR="001175A9" w:rsidRPr="00CF5745">
          <w:rPr>
            <w:rStyle w:val="Hyperlink"/>
          </w:rPr>
          <w:t>www.sbv.gov.vn</w:t>
        </w:r>
      </w:hyperlink>
    </w:p>
    <w:p w14:paraId="5DE1B1A3" w14:textId="77777777" w:rsidR="001175A9" w:rsidRPr="003A00D0" w:rsidRDefault="001175A9" w:rsidP="00EA3AB4">
      <w:pPr>
        <w:spacing w:before="120" w:line="276" w:lineRule="auto"/>
      </w:pPr>
    </w:p>
    <w:p w14:paraId="36689148" w14:textId="77777777" w:rsidR="00C13E5A" w:rsidRPr="00E76707" w:rsidRDefault="00C13E5A" w:rsidP="00C13E5A">
      <w:pPr>
        <w:spacing w:before="120" w:after="120"/>
        <w:jc w:val="both"/>
        <w:rPr>
          <w:szCs w:val="28"/>
        </w:rPr>
      </w:pPr>
      <w:r w:rsidRPr="0026324F">
        <w:rPr>
          <w:b/>
          <w:szCs w:val="28"/>
        </w:rPr>
        <w:t>APPENDIX</w:t>
      </w:r>
    </w:p>
    <w:p w14:paraId="649A538A" w14:textId="77777777" w:rsidR="00C13E5A" w:rsidRDefault="00C13E5A" w:rsidP="00C13E5A">
      <w:pPr>
        <w:ind w:firstLine="720"/>
        <w:jc w:val="both"/>
        <w:rPr>
          <w:b/>
        </w:rPr>
      </w:pPr>
      <w:r>
        <w:rPr>
          <w:b/>
        </w:rPr>
        <w:t>Table 1: Definition of variables and their data sources</w:t>
      </w:r>
    </w:p>
    <w:tbl>
      <w:tblPr>
        <w:tblW w:w="8640" w:type="dxa"/>
        <w:tblInd w:w="93" w:type="dxa"/>
        <w:tblLook w:val="04A0" w:firstRow="1" w:lastRow="0" w:firstColumn="1" w:lastColumn="0" w:noHBand="0" w:noVBand="1"/>
      </w:tblPr>
      <w:tblGrid>
        <w:gridCol w:w="3840"/>
        <w:gridCol w:w="1920"/>
        <w:gridCol w:w="2880"/>
      </w:tblGrid>
      <w:tr w:rsidR="00C13E5A" w:rsidRPr="00652507" w14:paraId="41A3A26D" w14:textId="77777777" w:rsidTr="001C5AF5">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3D3EA" w14:textId="77777777" w:rsidR="00C13E5A" w:rsidRPr="00652507" w:rsidRDefault="00C13E5A" w:rsidP="001C5AF5">
            <w:pPr>
              <w:spacing w:line="240" w:lineRule="auto"/>
              <w:jc w:val="center"/>
              <w:rPr>
                <w:rFonts w:eastAsia="Times New Roman"/>
                <w:b/>
                <w:bCs/>
                <w:color w:val="000000"/>
                <w:sz w:val="22"/>
              </w:rPr>
            </w:pPr>
            <w:r w:rsidRPr="00652507">
              <w:rPr>
                <w:rFonts w:eastAsia="Times New Roman"/>
                <w:b/>
                <w:bCs/>
                <w:color w:val="000000"/>
                <w:sz w:val="22"/>
              </w:rPr>
              <w:t>Variable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F65785F" w14:textId="77777777" w:rsidR="00C13E5A" w:rsidRPr="00652507" w:rsidRDefault="00C13E5A" w:rsidP="001C5AF5">
            <w:pPr>
              <w:spacing w:line="240" w:lineRule="auto"/>
              <w:jc w:val="center"/>
              <w:rPr>
                <w:rFonts w:eastAsia="Times New Roman"/>
                <w:b/>
                <w:bCs/>
                <w:color w:val="000000"/>
                <w:sz w:val="22"/>
              </w:rPr>
            </w:pPr>
            <w:r w:rsidRPr="00652507">
              <w:rPr>
                <w:rFonts w:eastAsia="Times New Roman"/>
                <w:b/>
                <w:bCs/>
                <w:color w:val="000000"/>
                <w:sz w:val="22"/>
              </w:rPr>
              <w:t>Abbreviation</w:t>
            </w:r>
          </w:p>
        </w:tc>
        <w:tc>
          <w:tcPr>
            <w:tcW w:w="2880" w:type="dxa"/>
            <w:tcBorders>
              <w:top w:val="single" w:sz="4" w:space="0" w:color="auto"/>
              <w:left w:val="nil"/>
              <w:bottom w:val="single" w:sz="4" w:space="0" w:color="auto"/>
              <w:right w:val="single" w:sz="4" w:space="0" w:color="000000"/>
            </w:tcBorders>
            <w:shd w:val="clear" w:color="auto" w:fill="auto"/>
            <w:noWrap/>
            <w:vAlign w:val="bottom"/>
            <w:hideMark/>
          </w:tcPr>
          <w:p w14:paraId="02C7AF7B" w14:textId="77777777" w:rsidR="00C13E5A" w:rsidRPr="00652507" w:rsidRDefault="00C13E5A" w:rsidP="001C5AF5">
            <w:pPr>
              <w:spacing w:line="240" w:lineRule="auto"/>
              <w:jc w:val="center"/>
              <w:rPr>
                <w:rFonts w:eastAsia="Times New Roman"/>
                <w:b/>
                <w:bCs/>
                <w:color w:val="000000"/>
                <w:sz w:val="22"/>
              </w:rPr>
            </w:pPr>
            <w:r w:rsidRPr="00652507">
              <w:rPr>
                <w:rFonts w:eastAsia="Times New Roman"/>
                <w:b/>
                <w:bCs/>
                <w:color w:val="000000"/>
                <w:sz w:val="22"/>
              </w:rPr>
              <w:t>Source</w:t>
            </w:r>
          </w:p>
        </w:tc>
      </w:tr>
      <w:tr w:rsidR="00C13E5A" w:rsidRPr="00652507" w14:paraId="6BDD5E5B" w14:textId="77777777" w:rsidTr="001C5AF5">
        <w:trPr>
          <w:trHeight w:val="6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B17E7" w14:textId="77777777" w:rsidR="00C13E5A" w:rsidRPr="00652507" w:rsidRDefault="00C13E5A" w:rsidP="001C5AF5">
            <w:pPr>
              <w:spacing w:line="240" w:lineRule="auto"/>
              <w:rPr>
                <w:rFonts w:eastAsia="Times New Roman"/>
                <w:color w:val="000000"/>
                <w:sz w:val="22"/>
              </w:rPr>
            </w:pPr>
            <w:r w:rsidRPr="00652507">
              <w:rPr>
                <w:rFonts w:eastAsia="Times New Roman"/>
                <w:color w:val="000000"/>
                <w:sz w:val="22"/>
              </w:rPr>
              <w:t>Real Effective Exchange Rate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1F0BD68"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REER</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0B9EF303"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Computed by using available data from IFS</w:t>
            </w:r>
          </w:p>
        </w:tc>
      </w:tr>
      <w:tr w:rsidR="00C13E5A" w:rsidRPr="00652507" w14:paraId="6F926177" w14:textId="77777777" w:rsidTr="001C5AF5">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9B699" w14:textId="77777777" w:rsidR="00C13E5A" w:rsidRPr="00652507" w:rsidRDefault="00C13E5A" w:rsidP="001C5AF5">
            <w:pPr>
              <w:spacing w:line="240" w:lineRule="auto"/>
              <w:rPr>
                <w:rFonts w:eastAsia="Times New Roman"/>
                <w:color w:val="000000"/>
                <w:sz w:val="22"/>
              </w:rPr>
            </w:pPr>
            <w:r w:rsidRPr="00652507">
              <w:rPr>
                <w:rFonts w:eastAsia="Times New Roman"/>
                <w:color w:val="000000"/>
                <w:sz w:val="22"/>
              </w:rPr>
              <w:t xml:space="preserve">Money supply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265EC55B"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M2</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1CC5E943"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IFS</w:t>
            </w:r>
          </w:p>
        </w:tc>
      </w:tr>
      <w:tr w:rsidR="00C13E5A" w:rsidRPr="00652507" w14:paraId="7FE9EDAE" w14:textId="77777777" w:rsidTr="001C5AF5">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FFED" w14:textId="77777777" w:rsidR="00C13E5A" w:rsidRPr="00652507" w:rsidRDefault="00C13E5A" w:rsidP="001C5AF5">
            <w:pPr>
              <w:spacing w:line="240" w:lineRule="auto"/>
              <w:rPr>
                <w:rFonts w:eastAsia="Times New Roman"/>
                <w:color w:val="000000"/>
                <w:sz w:val="22"/>
              </w:rPr>
            </w:pPr>
            <w:r w:rsidRPr="00652507">
              <w:rPr>
                <w:rFonts w:eastAsia="Times New Roman"/>
                <w:color w:val="000000"/>
                <w:sz w:val="22"/>
              </w:rPr>
              <w:t>Remittance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10B3FDF1"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REM</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6421CE08"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IFS</w:t>
            </w:r>
          </w:p>
        </w:tc>
      </w:tr>
      <w:tr w:rsidR="00C13E5A" w:rsidRPr="00652507" w14:paraId="0F9C1982" w14:textId="77777777" w:rsidTr="001C5AF5">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0382D" w14:textId="77777777" w:rsidR="00C13E5A" w:rsidRPr="00652507" w:rsidRDefault="00C13E5A" w:rsidP="001C5AF5">
            <w:pPr>
              <w:spacing w:line="240" w:lineRule="auto"/>
              <w:rPr>
                <w:rFonts w:eastAsia="Times New Roman"/>
                <w:color w:val="000000"/>
                <w:sz w:val="22"/>
              </w:rPr>
            </w:pPr>
            <w:proofErr w:type="spellStart"/>
            <w:r w:rsidRPr="00652507">
              <w:rPr>
                <w:rFonts w:eastAsia="Times New Roman"/>
                <w:color w:val="000000"/>
                <w:sz w:val="22"/>
              </w:rPr>
              <w:t>Cosumer</w:t>
            </w:r>
            <w:proofErr w:type="spellEnd"/>
            <w:r w:rsidRPr="00652507">
              <w:rPr>
                <w:rFonts w:eastAsia="Times New Roman"/>
                <w:color w:val="000000"/>
                <w:sz w:val="22"/>
              </w:rPr>
              <w:t xml:space="preserve"> Price Index</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C87FBE0"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CPI</w:t>
            </w:r>
          </w:p>
        </w:tc>
        <w:tc>
          <w:tcPr>
            <w:tcW w:w="2880" w:type="dxa"/>
            <w:tcBorders>
              <w:top w:val="single" w:sz="4" w:space="0" w:color="auto"/>
              <w:left w:val="nil"/>
              <w:bottom w:val="single" w:sz="4" w:space="0" w:color="auto"/>
              <w:right w:val="single" w:sz="4" w:space="0" w:color="auto"/>
            </w:tcBorders>
            <w:shd w:val="clear" w:color="auto" w:fill="auto"/>
            <w:vAlign w:val="bottom"/>
            <w:hideMark/>
          </w:tcPr>
          <w:p w14:paraId="47D69EEF" w14:textId="77777777" w:rsidR="00C13E5A" w:rsidRPr="00652507" w:rsidRDefault="00C13E5A" w:rsidP="001C5AF5">
            <w:pPr>
              <w:spacing w:line="240" w:lineRule="auto"/>
              <w:jc w:val="center"/>
              <w:rPr>
                <w:rFonts w:eastAsia="Times New Roman"/>
                <w:color w:val="000000"/>
                <w:sz w:val="22"/>
              </w:rPr>
            </w:pPr>
            <w:r w:rsidRPr="00652507">
              <w:rPr>
                <w:rFonts w:eastAsia="Times New Roman"/>
                <w:color w:val="000000"/>
                <w:sz w:val="22"/>
              </w:rPr>
              <w:t>IFS</w:t>
            </w:r>
          </w:p>
        </w:tc>
      </w:tr>
    </w:tbl>
    <w:p w14:paraId="728B4C2B" w14:textId="77777777" w:rsidR="00C13E5A" w:rsidRDefault="00C13E5A" w:rsidP="00C13E5A">
      <w:pPr>
        <w:ind w:firstLine="720"/>
        <w:jc w:val="both"/>
        <w:rPr>
          <w:b/>
        </w:rPr>
      </w:pPr>
    </w:p>
    <w:p w14:paraId="64F5F372" w14:textId="77777777" w:rsidR="00C13E5A" w:rsidRDefault="00C13E5A" w:rsidP="00C13E5A">
      <w:pPr>
        <w:ind w:firstLine="720"/>
        <w:jc w:val="both"/>
        <w:rPr>
          <w:b/>
        </w:rPr>
      </w:pPr>
      <w:r>
        <w:rPr>
          <w:b/>
        </w:rPr>
        <w:t>Table 2: Statistics Summary of Data</w:t>
      </w:r>
    </w:p>
    <w:p w14:paraId="4A8956EC" w14:textId="77777777" w:rsidR="00C13E5A" w:rsidRDefault="00C13E5A" w:rsidP="00C13E5A">
      <w:pPr>
        <w:autoSpaceDE w:val="0"/>
        <w:autoSpaceDN w:val="0"/>
        <w:adjustRightInd w:val="0"/>
        <w:spacing w:line="240" w:lineRule="auto"/>
        <w:rPr>
          <w:rFonts w:ascii="Arial" w:hAnsi="Arial"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58"/>
        <w:gridCol w:w="1547"/>
        <w:gridCol w:w="1546"/>
        <w:gridCol w:w="1547"/>
        <w:gridCol w:w="1546"/>
      </w:tblGrid>
      <w:tr w:rsidR="00C13E5A" w14:paraId="0A6A6817" w14:textId="77777777" w:rsidTr="001C5AF5">
        <w:trPr>
          <w:trHeight w:val="255"/>
          <w:jc w:val="center"/>
        </w:trPr>
        <w:tc>
          <w:tcPr>
            <w:tcW w:w="1758" w:type="dxa"/>
            <w:vAlign w:val="bottom"/>
          </w:tcPr>
          <w:p w14:paraId="11D874E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38097B3D" w14:textId="77777777" w:rsidR="00C13E5A" w:rsidRPr="00652507" w:rsidRDefault="00C13E5A" w:rsidP="001C5AF5">
            <w:pPr>
              <w:autoSpaceDE w:val="0"/>
              <w:autoSpaceDN w:val="0"/>
              <w:adjustRightInd w:val="0"/>
              <w:spacing w:line="240" w:lineRule="auto"/>
              <w:jc w:val="center"/>
              <w:rPr>
                <w:rFonts w:ascii="Arial" w:hAnsi="Arial" w:cs="Arial"/>
                <w:b/>
                <w:color w:val="000000"/>
                <w:sz w:val="18"/>
                <w:szCs w:val="18"/>
              </w:rPr>
            </w:pPr>
            <w:r w:rsidRPr="00652507">
              <w:rPr>
                <w:rFonts w:ascii="Arial" w:hAnsi="Arial" w:cs="Arial"/>
                <w:b/>
                <w:color w:val="000000"/>
                <w:sz w:val="18"/>
                <w:szCs w:val="18"/>
              </w:rPr>
              <w:t>DREER</w:t>
            </w:r>
          </w:p>
        </w:tc>
        <w:tc>
          <w:tcPr>
            <w:tcW w:w="1546" w:type="dxa"/>
            <w:vAlign w:val="bottom"/>
          </w:tcPr>
          <w:p w14:paraId="5EC9AB46" w14:textId="77777777" w:rsidR="00C13E5A" w:rsidRPr="00652507" w:rsidRDefault="00C13E5A" w:rsidP="001C5AF5">
            <w:pPr>
              <w:autoSpaceDE w:val="0"/>
              <w:autoSpaceDN w:val="0"/>
              <w:adjustRightInd w:val="0"/>
              <w:spacing w:line="240" w:lineRule="auto"/>
              <w:jc w:val="center"/>
              <w:rPr>
                <w:rFonts w:ascii="Arial" w:hAnsi="Arial" w:cs="Arial"/>
                <w:b/>
                <w:color w:val="000000"/>
                <w:sz w:val="18"/>
                <w:szCs w:val="18"/>
              </w:rPr>
            </w:pPr>
            <w:r w:rsidRPr="00652507">
              <w:rPr>
                <w:rFonts w:ascii="Arial" w:hAnsi="Arial" w:cs="Arial"/>
                <w:b/>
                <w:color w:val="000000"/>
                <w:sz w:val="18"/>
                <w:szCs w:val="18"/>
              </w:rPr>
              <w:t>DM2</w:t>
            </w:r>
          </w:p>
        </w:tc>
        <w:tc>
          <w:tcPr>
            <w:tcW w:w="1547" w:type="dxa"/>
            <w:vAlign w:val="bottom"/>
          </w:tcPr>
          <w:p w14:paraId="79BC8DA5" w14:textId="77777777" w:rsidR="00C13E5A" w:rsidRPr="00652507" w:rsidRDefault="00C13E5A" w:rsidP="001C5AF5">
            <w:pPr>
              <w:autoSpaceDE w:val="0"/>
              <w:autoSpaceDN w:val="0"/>
              <w:adjustRightInd w:val="0"/>
              <w:spacing w:line="240" w:lineRule="auto"/>
              <w:jc w:val="center"/>
              <w:rPr>
                <w:rFonts w:ascii="Arial" w:hAnsi="Arial" w:cs="Arial"/>
                <w:b/>
                <w:color w:val="000000"/>
                <w:sz w:val="18"/>
                <w:szCs w:val="18"/>
              </w:rPr>
            </w:pPr>
            <w:r w:rsidRPr="00652507">
              <w:rPr>
                <w:rFonts w:ascii="Arial" w:hAnsi="Arial" w:cs="Arial"/>
                <w:b/>
                <w:color w:val="000000"/>
                <w:sz w:val="18"/>
                <w:szCs w:val="18"/>
              </w:rPr>
              <w:t>DREM</w:t>
            </w:r>
          </w:p>
        </w:tc>
        <w:tc>
          <w:tcPr>
            <w:tcW w:w="1546" w:type="dxa"/>
            <w:vAlign w:val="bottom"/>
          </w:tcPr>
          <w:p w14:paraId="5192DE63" w14:textId="77777777" w:rsidR="00C13E5A" w:rsidRPr="00652507" w:rsidRDefault="00C13E5A" w:rsidP="001C5AF5">
            <w:pPr>
              <w:autoSpaceDE w:val="0"/>
              <w:autoSpaceDN w:val="0"/>
              <w:adjustRightInd w:val="0"/>
              <w:spacing w:line="240" w:lineRule="auto"/>
              <w:jc w:val="center"/>
              <w:rPr>
                <w:rFonts w:ascii="Arial" w:hAnsi="Arial" w:cs="Arial"/>
                <w:b/>
                <w:color w:val="000000"/>
                <w:sz w:val="18"/>
                <w:szCs w:val="18"/>
              </w:rPr>
            </w:pPr>
            <w:r w:rsidRPr="00652507">
              <w:rPr>
                <w:rFonts w:ascii="Arial" w:hAnsi="Arial" w:cs="Arial"/>
                <w:b/>
                <w:color w:val="000000"/>
                <w:sz w:val="18"/>
                <w:szCs w:val="18"/>
              </w:rPr>
              <w:t>DCPI</w:t>
            </w:r>
          </w:p>
        </w:tc>
      </w:tr>
      <w:tr w:rsidR="00C13E5A" w14:paraId="21B9EF0D" w14:textId="77777777" w:rsidTr="001C5AF5">
        <w:trPr>
          <w:trHeight w:val="255"/>
          <w:jc w:val="center"/>
        </w:trPr>
        <w:tc>
          <w:tcPr>
            <w:tcW w:w="1758" w:type="dxa"/>
            <w:vAlign w:val="bottom"/>
          </w:tcPr>
          <w:p w14:paraId="2F27F1F4"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Mean</w:t>
            </w:r>
          </w:p>
        </w:tc>
        <w:tc>
          <w:tcPr>
            <w:tcW w:w="1547" w:type="dxa"/>
            <w:vAlign w:val="bottom"/>
          </w:tcPr>
          <w:p w14:paraId="2A79EEF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-3.603162</w:t>
            </w:r>
          </w:p>
        </w:tc>
        <w:tc>
          <w:tcPr>
            <w:tcW w:w="1546" w:type="dxa"/>
            <w:vAlign w:val="bottom"/>
          </w:tcPr>
          <w:p w14:paraId="22D04A1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25.35545</w:t>
            </w:r>
          </w:p>
        </w:tc>
        <w:tc>
          <w:tcPr>
            <w:tcW w:w="1547" w:type="dxa"/>
            <w:vAlign w:val="bottom"/>
          </w:tcPr>
          <w:p w14:paraId="2BB783E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19.54856</w:t>
            </w:r>
          </w:p>
        </w:tc>
        <w:tc>
          <w:tcPr>
            <w:tcW w:w="1546" w:type="dxa"/>
            <w:vAlign w:val="bottom"/>
          </w:tcPr>
          <w:p w14:paraId="3A4C71E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6.822710</w:t>
            </w:r>
          </w:p>
        </w:tc>
      </w:tr>
      <w:tr w:rsidR="00C13E5A" w14:paraId="7B0FFA87" w14:textId="77777777" w:rsidTr="001C5AF5">
        <w:trPr>
          <w:trHeight w:val="255"/>
          <w:jc w:val="center"/>
        </w:trPr>
        <w:tc>
          <w:tcPr>
            <w:tcW w:w="1758" w:type="dxa"/>
            <w:vAlign w:val="bottom"/>
          </w:tcPr>
          <w:p w14:paraId="75149A8A"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Median</w:t>
            </w:r>
          </w:p>
        </w:tc>
        <w:tc>
          <w:tcPr>
            <w:tcW w:w="1547" w:type="dxa"/>
            <w:vAlign w:val="bottom"/>
          </w:tcPr>
          <w:p w14:paraId="327991A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-4.647274</w:t>
            </w:r>
          </w:p>
        </w:tc>
        <w:tc>
          <w:tcPr>
            <w:tcW w:w="1546" w:type="dxa"/>
            <w:vAlign w:val="bottom"/>
          </w:tcPr>
          <w:p w14:paraId="7CD56E5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22.99552</w:t>
            </w:r>
          </w:p>
        </w:tc>
        <w:tc>
          <w:tcPr>
            <w:tcW w:w="1547" w:type="dxa"/>
            <w:vAlign w:val="bottom"/>
          </w:tcPr>
          <w:p w14:paraId="22F6BBB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5.650192</w:t>
            </w:r>
          </w:p>
        </w:tc>
        <w:tc>
          <w:tcPr>
            <w:tcW w:w="1546" w:type="dxa"/>
            <w:vAlign w:val="bottom"/>
          </w:tcPr>
          <w:p w14:paraId="6E8B8F9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5.582550</w:t>
            </w:r>
          </w:p>
        </w:tc>
      </w:tr>
      <w:tr w:rsidR="00C13E5A" w14:paraId="7EE00E68" w14:textId="77777777" w:rsidTr="001C5AF5">
        <w:trPr>
          <w:trHeight w:val="255"/>
          <w:jc w:val="center"/>
        </w:trPr>
        <w:tc>
          <w:tcPr>
            <w:tcW w:w="1758" w:type="dxa"/>
            <w:vAlign w:val="bottom"/>
          </w:tcPr>
          <w:p w14:paraId="2F0AFE43"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Maximum</w:t>
            </w:r>
          </w:p>
        </w:tc>
        <w:tc>
          <w:tcPr>
            <w:tcW w:w="1547" w:type="dxa"/>
            <w:vAlign w:val="bottom"/>
          </w:tcPr>
          <w:p w14:paraId="53C9157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94.11329</w:t>
            </w:r>
          </w:p>
        </w:tc>
        <w:tc>
          <w:tcPr>
            <w:tcW w:w="1546" w:type="dxa"/>
            <w:vAlign w:val="bottom"/>
          </w:tcPr>
          <w:p w14:paraId="644A9C1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1640.010</w:t>
            </w:r>
          </w:p>
        </w:tc>
        <w:tc>
          <w:tcPr>
            <w:tcW w:w="1547" w:type="dxa"/>
            <w:vAlign w:val="bottom"/>
          </w:tcPr>
          <w:p w14:paraId="1D52772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761.2623</w:t>
            </w:r>
          </w:p>
        </w:tc>
        <w:tc>
          <w:tcPr>
            <w:tcW w:w="1546" w:type="dxa"/>
            <w:vAlign w:val="bottom"/>
          </w:tcPr>
          <w:p w14:paraId="7FB2868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32.81905</w:t>
            </w:r>
          </w:p>
        </w:tc>
      </w:tr>
      <w:tr w:rsidR="00C13E5A" w14:paraId="2976B67D" w14:textId="77777777" w:rsidTr="001C5AF5">
        <w:trPr>
          <w:trHeight w:val="255"/>
          <w:jc w:val="center"/>
        </w:trPr>
        <w:tc>
          <w:tcPr>
            <w:tcW w:w="1758" w:type="dxa"/>
            <w:vAlign w:val="bottom"/>
          </w:tcPr>
          <w:p w14:paraId="7495A77C"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Minimum</w:t>
            </w:r>
          </w:p>
        </w:tc>
        <w:tc>
          <w:tcPr>
            <w:tcW w:w="1547" w:type="dxa"/>
            <w:vAlign w:val="bottom"/>
          </w:tcPr>
          <w:p w14:paraId="2C473C0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-70.69736</w:t>
            </w:r>
          </w:p>
        </w:tc>
        <w:tc>
          <w:tcPr>
            <w:tcW w:w="1546" w:type="dxa"/>
            <w:vAlign w:val="bottom"/>
          </w:tcPr>
          <w:p w14:paraId="43D7B03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-1587.045</w:t>
            </w:r>
          </w:p>
        </w:tc>
        <w:tc>
          <w:tcPr>
            <w:tcW w:w="1547" w:type="dxa"/>
            <w:vAlign w:val="bottom"/>
          </w:tcPr>
          <w:p w14:paraId="4490F51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-365.2880</w:t>
            </w:r>
          </w:p>
        </w:tc>
        <w:tc>
          <w:tcPr>
            <w:tcW w:w="1546" w:type="dxa"/>
            <w:vAlign w:val="bottom"/>
          </w:tcPr>
          <w:p w14:paraId="08185B6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-4.937537</w:t>
            </w:r>
          </w:p>
        </w:tc>
      </w:tr>
      <w:tr w:rsidR="00C13E5A" w14:paraId="1E79B94C" w14:textId="77777777" w:rsidTr="001C5AF5">
        <w:trPr>
          <w:trHeight w:val="255"/>
          <w:jc w:val="center"/>
        </w:trPr>
        <w:tc>
          <w:tcPr>
            <w:tcW w:w="1758" w:type="dxa"/>
            <w:vAlign w:val="bottom"/>
          </w:tcPr>
          <w:p w14:paraId="4A43A4DD"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Std. Dev.</w:t>
            </w:r>
          </w:p>
        </w:tc>
        <w:tc>
          <w:tcPr>
            <w:tcW w:w="1547" w:type="dxa"/>
            <w:vAlign w:val="bottom"/>
          </w:tcPr>
          <w:p w14:paraId="201888C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23.65260</w:t>
            </w:r>
          </w:p>
        </w:tc>
        <w:tc>
          <w:tcPr>
            <w:tcW w:w="1546" w:type="dxa"/>
            <w:vAlign w:val="bottom"/>
          </w:tcPr>
          <w:p w14:paraId="68431F1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283.7081</w:t>
            </w:r>
          </w:p>
        </w:tc>
        <w:tc>
          <w:tcPr>
            <w:tcW w:w="1547" w:type="dxa"/>
            <w:vAlign w:val="bottom"/>
          </w:tcPr>
          <w:p w14:paraId="720D94E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143.3583</w:t>
            </w:r>
          </w:p>
        </w:tc>
        <w:tc>
          <w:tcPr>
            <w:tcW w:w="1546" w:type="dxa"/>
            <w:vAlign w:val="bottom"/>
          </w:tcPr>
          <w:p w14:paraId="0E16DF1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7.293665</w:t>
            </w:r>
          </w:p>
        </w:tc>
      </w:tr>
      <w:tr w:rsidR="00C13E5A" w14:paraId="7DC53ED6" w14:textId="77777777" w:rsidTr="001C5AF5">
        <w:trPr>
          <w:trHeight w:val="255"/>
          <w:jc w:val="center"/>
        </w:trPr>
        <w:tc>
          <w:tcPr>
            <w:tcW w:w="1758" w:type="dxa"/>
            <w:vAlign w:val="bottom"/>
          </w:tcPr>
          <w:p w14:paraId="3EC64BB6"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Skewness</w:t>
            </w:r>
            <w:proofErr w:type="spellEnd"/>
          </w:p>
        </w:tc>
        <w:tc>
          <w:tcPr>
            <w:tcW w:w="1547" w:type="dxa"/>
            <w:vAlign w:val="bottom"/>
          </w:tcPr>
          <w:p w14:paraId="58535A4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0.647255</w:t>
            </w:r>
          </w:p>
        </w:tc>
        <w:tc>
          <w:tcPr>
            <w:tcW w:w="1546" w:type="dxa"/>
            <w:vAlign w:val="bottom"/>
          </w:tcPr>
          <w:p w14:paraId="10BC76B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0.012450</w:t>
            </w:r>
          </w:p>
        </w:tc>
        <w:tc>
          <w:tcPr>
            <w:tcW w:w="1547" w:type="dxa"/>
            <w:vAlign w:val="bottom"/>
          </w:tcPr>
          <w:p w14:paraId="2922570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1.932423</w:t>
            </w:r>
          </w:p>
        </w:tc>
        <w:tc>
          <w:tcPr>
            <w:tcW w:w="1546" w:type="dxa"/>
            <w:vAlign w:val="bottom"/>
          </w:tcPr>
          <w:p w14:paraId="257111D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1.446797</w:t>
            </w:r>
          </w:p>
        </w:tc>
      </w:tr>
      <w:tr w:rsidR="00C13E5A" w14:paraId="40003DF2" w14:textId="77777777" w:rsidTr="001C5AF5">
        <w:trPr>
          <w:trHeight w:val="255"/>
          <w:jc w:val="center"/>
        </w:trPr>
        <w:tc>
          <w:tcPr>
            <w:tcW w:w="1758" w:type="dxa"/>
            <w:vAlign w:val="bottom"/>
          </w:tcPr>
          <w:p w14:paraId="130895A0"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Kurtosis</w:t>
            </w:r>
          </w:p>
        </w:tc>
        <w:tc>
          <w:tcPr>
            <w:tcW w:w="1547" w:type="dxa"/>
            <w:vAlign w:val="bottom"/>
          </w:tcPr>
          <w:p w14:paraId="4B60D49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7.135314</w:t>
            </w:r>
          </w:p>
        </w:tc>
        <w:tc>
          <w:tcPr>
            <w:tcW w:w="1546" w:type="dxa"/>
            <w:vAlign w:val="bottom"/>
          </w:tcPr>
          <w:p w14:paraId="5CC8B14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32.68668</w:t>
            </w:r>
          </w:p>
        </w:tc>
        <w:tc>
          <w:tcPr>
            <w:tcW w:w="1547" w:type="dxa"/>
            <w:vAlign w:val="bottom"/>
          </w:tcPr>
          <w:p w14:paraId="1A458D0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12.81422</w:t>
            </w:r>
          </w:p>
        </w:tc>
        <w:tc>
          <w:tcPr>
            <w:tcW w:w="1546" w:type="dxa"/>
            <w:vAlign w:val="bottom"/>
          </w:tcPr>
          <w:p w14:paraId="7940A4D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5.581355</w:t>
            </w:r>
          </w:p>
        </w:tc>
      </w:tr>
      <w:tr w:rsidR="00C13E5A" w14:paraId="75564965" w14:textId="77777777" w:rsidTr="001C5AF5">
        <w:trPr>
          <w:trHeight w:val="255"/>
          <w:jc w:val="center"/>
        </w:trPr>
        <w:tc>
          <w:tcPr>
            <w:tcW w:w="1758" w:type="dxa"/>
            <w:vAlign w:val="bottom"/>
          </w:tcPr>
          <w:p w14:paraId="64553A2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34A5418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6" w:type="dxa"/>
            <w:vAlign w:val="bottom"/>
          </w:tcPr>
          <w:p w14:paraId="42CF19C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1E1CC34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6" w:type="dxa"/>
            <w:vAlign w:val="bottom"/>
          </w:tcPr>
          <w:p w14:paraId="507D634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D10AA2F" w14:textId="77777777" w:rsidTr="001C5AF5">
        <w:trPr>
          <w:trHeight w:val="255"/>
          <w:jc w:val="center"/>
        </w:trPr>
        <w:tc>
          <w:tcPr>
            <w:tcW w:w="1758" w:type="dxa"/>
            <w:vAlign w:val="bottom"/>
          </w:tcPr>
          <w:p w14:paraId="0A4AA726"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Jarque-Bera</w:t>
            </w:r>
            <w:proofErr w:type="spellEnd"/>
          </w:p>
        </w:tc>
        <w:tc>
          <w:tcPr>
            <w:tcW w:w="1547" w:type="dxa"/>
            <w:vAlign w:val="bottom"/>
          </w:tcPr>
          <w:p w14:paraId="6CFB0F3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51.63560</w:t>
            </w:r>
          </w:p>
        </w:tc>
        <w:tc>
          <w:tcPr>
            <w:tcW w:w="1546" w:type="dxa"/>
            <w:vAlign w:val="bottom"/>
          </w:tcPr>
          <w:p w14:paraId="76842DA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2423.574</w:t>
            </w:r>
          </w:p>
        </w:tc>
        <w:tc>
          <w:tcPr>
            <w:tcW w:w="1547" w:type="dxa"/>
            <w:vAlign w:val="bottom"/>
          </w:tcPr>
          <w:p w14:paraId="47D7B2F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305.9537</w:t>
            </w:r>
          </w:p>
        </w:tc>
        <w:tc>
          <w:tcPr>
            <w:tcW w:w="1546" w:type="dxa"/>
            <w:vAlign w:val="bottom"/>
          </w:tcPr>
          <w:p w14:paraId="38F86A3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41.34976</w:t>
            </w:r>
          </w:p>
        </w:tc>
      </w:tr>
      <w:tr w:rsidR="00C13E5A" w14:paraId="17588919" w14:textId="77777777" w:rsidTr="001C5AF5">
        <w:trPr>
          <w:trHeight w:val="255"/>
          <w:jc w:val="center"/>
        </w:trPr>
        <w:tc>
          <w:tcPr>
            <w:tcW w:w="1758" w:type="dxa"/>
            <w:vAlign w:val="bottom"/>
          </w:tcPr>
          <w:p w14:paraId="735DA8DC"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Probability</w:t>
            </w:r>
          </w:p>
        </w:tc>
        <w:tc>
          <w:tcPr>
            <w:tcW w:w="1547" w:type="dxa"/>
            <w:vAlign w:val="bottom"/>
          </w:tcPr>
          <w:p w14:paraId="6B23ED5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0.000000</w:t>
            </w:r>
          </w:p>
        </w:tc>
        <w:tc>
          <w:tcPr>
            <w:tcW w:w="1546" w:type="dxa"/>
            <w:vAlign w:val="bottom"/>
          </w:tcPr>
          <w:p w14:paraId="5C541DC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0.000000</w:t>
            </w:r>
          </w:p>
        </w:tc>
        <w:tc>
          <w:tcPr>
            <w:tcW w:w="1547" w:type="dxa"/>
            <w:vAlign w:val="bottom"/>
          </w:tcPr>
          <w:p w14:paraId="2206738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0.000000</w:t>
            </w:r>
          </w:p>
        </w:tc>
        <w:tc>
          <w:tcPr>
            <w:tcW w:w="1546" w:type="dxa"/>
            <w:vAlign w:val="bottom"/>
          </w:tcPr>
          <w:p w14:paraId="6C8A793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0.000000</w:t>
            </w:r>
          </w:p>
        </w:tc>
      </w:tr>
      <w:tr w:rsidR="00C13E5A" w14:paraId="5EF09C1F" w14:textId="77777777" w:rsidTr="001C5AF5">
        <w:trPr>
          <w:trHeight w:val="255"/>
          <w:jc w:val="center"/>
        </w:trPr>
        <w:tc>
          <w:tcPr>
            <w:tcW w:w="1758" w:type="dxa"/>
            <w:vAlign w:val="bottom"/>
          </w:tcPr>
          <w:p w14:paraId="3A90496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4C5C5BD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6" w:type="dxa"/>
            <w:vAlign w:val="bottom"/>
          </w:tcPr>
          <w:p w14:paraId="0E3C312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363599A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6" w:type="dxa"/>
            <w:vAlign w:val="bottom"/>
          </w:tcPr>
          <w:p w14:paraId="41546D4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1864A188" w14:textId="77777777" w:rsidTr="001C5AF5">
        <w:trPr>
          <w:trHeight w:val="255"/>
          <w:jc w:val="center"/>
        </w:trPr>
        <w:tc>
          <w:tcPr>
            <w:tcW w:w="1758" w:type="dxa"/>
            <w:vAlign w:val="bottom"/>
          </w:tcPr>
          <w:p w14:paraId="4FA249F8"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Sum</w:t>
            </w:r>
          </w:p>
        </w:tc>
        <w:tc>
          <w:tcPr>
            <w:tcW w:w="1547" w:type="dxa"/>
            <w:vAlign w:val="bottom"/>
          </w:tcPr>
          <w:p w14:paraId="1FFCA0D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-237.8087</w:t>
            </w:r>
          </w:p>
        </w:tc>
        <w:tc>
          <w:tcPr>
            <w:tcW w:w="1546" w:type="dxa"/>
            <w:vAlign w:val="bottom"/>
          </w:tcPr>
          <w:p w14:paraId="39B3013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1673.460</w:t>
            </w:r>
          </w:p>
        </w:tc>
        <w:tc>
          <w:tcPr>
            <w:tcW w:w="1547" w:type="dxa"/>
            <w:vAlign w:val="bottom"/>
          </w:tcPr>
          <w:p w14:paraId="234376A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1290.205</w:t>
            </w:r>
          </w:p>
        </w:tc>
        <w:tc>
          <w:tcPr>
            <w:tcW w:w="1546" w:type="dxa"/>
            <w:vAlign w:val="bottom"/>
          </w:tcPr>
          <w:p w14:paraId="6E2B90F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450.2988</w:t>
            </w:r>
          </w:p>
        </w:tc>
      </w:tr>
      <w:tr w:rsidR="00C13E5A" w14:paraId="30292A87" w14:textId="77777777" w:rsidTr="001C5AF5">
        <w:trPr>
          <w:trHeight w:val="255"/>
          <w:jc w:val="center"/>
        </w:trPr>
        <w:tc>
          <w:tcPr>
            <w:tcW w:w="1758" w:type="dxa"/>
            <w:vAlign w:val="bottom"/>
          </w:tcPr>
          <w:p w14:paraId="67959D92"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Sum Sq. Dev.</w:t>
            </w:r>
          </w:p>
        </w:tc>
        <w:tc>
          <w:tcPr>
            <w:tcW w:w="1547" w:type="dxa"/>
            <w:vAlign w:val="bottom"/>
          </w:tcPr>
          <w:p w14:paraId="71CAC89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36363.95</w:t>
            </w:r>
          </w:p>
        </w:tc>
        <w:tc>
          <w:tcPr>
            <w:tcW w:w="1546" w:type="dxa"/>
            <w:vAlign w:val="bottom"/>
          </w:tcPr>
          <w:p w14:paraId="0B7E784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5231869.</w:t>
            </w:r>
          </w:p>
        </w:tc>
        <w:tc>
          <w:tcPr>
            <w:tcW w:w="1547" w:type="dxa"/>
            <w:vAlign w:val="bottom"/>
          </w:tcPr>
          <w:p w14:paraId="0DD884B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1335854.</w:t>
            </w:r>
          </w:p>
        </w:tc>
        <w:tc>
          <w:tcPr>
            <w:tcW w:w="1546" w:type="dxa"/>
            <w:vAlign w:val="bottom"/>
          </w:tcPr>
          <w:p w14:paraId="466873A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3457.841</w:t>
            </w:r>
          </w:p>
        </w:tc>
      </w:tr>
      <w:tr w:rsidR="00C13E5A" w14:paraId="6356E22D" w14:textId="77777777" w:rsidTr="001C5AF5">
        <w:trPr>
          <w:trHeight w:val="255"/>
          <w:jc w:val="center"/>
        </w:trPr>
        <w:tc>
          <w:tcPr>
            <w:tcW w:w="1758" w:type="dxa"/>
            <w:vAlign w:val="bottom"/>
          </w:tcPr>
          <w:p w14:paraId="36514F9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68681A5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6" w:type="dxa"/>
            <w:vAlign w:val="bottom"/>
          </w:tcPr>
          <w:p w14:paraId="7CC67EE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7" w:type="dxa"/>
            <w:vAlign w:val="bottom"/>
          </w:tcPr>
          <w:p w14:paraId="66001A5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546" w:type="dxa"/>
            <w:vAlign w:val="bottom"/>
          </w:tcPr>
          <w:p w14:paraId="2CFF907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5D80A529" w14:textId="77777777" w:rsidTr="001C5AF5">
        <w:trPr>
          <w:trHeight w:val="255"/>
          <w:jc w:val="center"/>
        </w:trPr>
        <w:tc>
          <w:tcPr>
            <w:tcW w:w="1758" w:type="dxa"/>
            <w:vAlign w:val="bottom"/>
          </w:tcPr>
          <w:p w14:paraId="172FBF3A"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Observations</w:t>
            </w:r>
          </w:p>
        </w:tc>
        <w:tc>
          <w:tcPr>
            <w:tcW w:w="1547" w:type="dxa"/>
            <w:vAlign w:val="bottom"/>
          </w:tcPr>
          <w:p w14:paraId="1DC7D69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66</w:t>
            </w:r>
          </w:p>
        </w:tc>
        <w:tc>
          <w:tcPr>
            <w:tcW w:w="1546" w:type="dxa"/>
            <w:vAlign w:val="bottom"/>
          </w:tcPr>
          <w:p w14:paraId="1680DD8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66</w:t>
            </w:r>
          </w:p>
        </w:tc>
        <w:tc>
          <w:tcPr>
            <w:tcW w:w="1547" w:type="dxa"/>
            <w:vAlign w:val="bottom"/>
          </w:tcPr>
          <w:p w14:paraId="68BFB9D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66</w:t>
            </w:r>
          </w:p>
        </w:tc>
        <w:tc>
          <w:tcPr>
            <w:tcW w:w="1546" w:type="dxa"/>
            <w:vAlign w:val="bottom"/>
          </w:tcPr>
          <w:p w14:paraId="1E487A1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66</w:t>
            </w:r>
          </w:p>
        </w:tc>
      </w:tr>
    </w:tbl>
    <w:p w14:paraId="2B4D09CF" w14:textId="77777777" w:rsidR="00A702AA" w:rsidRDefault="00A702AA" w:rsidP="00C13E5A">
      <w:pPr>
        <w:ind w:firstLine="720"/>
        <w:jc w:val="both"/>
        <w:rPr>
          <w:b/>
        </w:rPr>
      </w:pPr>
    </w:p>
    <w:p w14:paraId="457E23F7" w14:textId="77777777" w:rsidR="00C13E5A" w:rsidRDefault="00C13E5A" w:rsidP="00C13E5A">
      <w:pPr>
        <w:ind w:firstLine="720"/>
        <w:jc w:val="both"/>
        <w:rPr>
          <w:b/>
        </w:rPr>
      </w:pPr>
      <w:r>
        <w:rPr>
          <w:b/>
        </w:rPr>
        <w:lastRenderedPageBreak/>
        <w:t xml:space="preserve">Table 4: Johansen </w:t>
      </w:r>
      <w:proofErr w:type="spellStart"/>
      <w:r>
        <w:rPr>
          <w:b/>
        </w:rPr>
        <w:t>Cointegration</w:t>
      </w:r>
      <w:proofErr w:type="spellEnd"/>
      <w:r>
        <w:rPr>
          <w:b/>
        </w:rPr>
        <w:t xml:space="preserve"> Test</w:t>
      </w:r>
    </w:p>
    <w:tbl>
      <w:tblPr>
        <w:tblW w:w="0" w:type="auto"/>
        <w:tblInd w:w="30" w:type="dxa"/>
        <w:tblLayout w:type="fixed"/>
        <w:tblCellMar>
          <w:left w:w="0" w:type="dxa"/>
          <w:right w:w="0" w:type="dxa"/>
        </w:tblCellMar>
        <w:tblLook w:val="0000" w:firstRow="0" w:lastRow="0" w:firstColumn="0" w:lastColumn="0" w:noHBand="0" w:noVBand="0"/>
      </w:tblPr>
      <w:tblGrid>
        <w:gridCol w:w="1670"/>
        <w:gridCol w:w="1708"/>
        <w:gridCol w:w="1706"/>
        <w:gridCol w:w="1708"/>
        <w:gridCol w:w="1706"/>
      </w:tblGrid>
      <w:tr w:rsidR="00C13E5A" w14:paraId="0C6EE97F" w14:textId="77777777" w:rsidTr="001C5AF5">
        <w:trPr>
          <w:trHeight w:val="306"/>
        </w:trPr>
        <w:tc>
          <w:tcPr>
            <w:tcW w:w="5084" w:type="dxa"/>
            <w:gridSpan w:val="3"/>
            <w:tcBorders>
              <w:top w:val="nil"/>
              <w:left w:val="nil"/>
              <w:bottom w:val="nil"/>
              <w:right w:val="nil"/>
            </w:tcBorders>
            <w:vAlign w:val="bottom"/>
          </w:tcPr>
          <w:p w14:paraId="13368570"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Sample (adjusted): 1996Q4 2012Q3</w:t>
            </w:r>
          </w:p>
        </w:tc>
        <w:tc>
          <w:tcPr>
            <w:tcW w:w="1708" w:type="dxa"/>
            <w:tcBorders>
              <w:top w:val="nil"/>
              <w:left w:val="nil"/>
              <w:bottom w:val="nil"/>
              <w:right w:val="nil"/>
            </w:tcBorders>
            <w:vAlign w:val="bottom"/>
          </w:tcPr>
          <w:p w14:paraId="2DA9D0D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706" w:type="dxa"/>
            <w:tcBorders>
              <w:top w:val="nil"/>
              <w:left w:val="nil"/>
              <w:bottom w:val="nil"/>
              <w:right w:val="nil"/>
            </w:tcBorders>
            <w:vAlign w:val="bottom"/>
          </w:tcPr>
          <w:p w14:paraId="66BD6F9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4E588B4D" w14:textId="77777777" w:rsidTr="001C5AF5">
        <w:trPr>
          <w:trHeight w:val="306"/>
        </w:trPr>
        <w:tc>
          <w:tcPr>
            <w:tcW w:w="6792" w:type="dxa"/>
            <w:gridSpan w:val="4"/>
            <w:tcBorders>
              <w:top w:val="nil"/>
              <w:left w:val="nil"/>
              <w:bottom w:val="nil"/>
              <w:right w:val="nil"/>
            </w:tcBorders>
            <w:vAlign w:val="bottom"/>
          </w:tcPr>
          <w:p w14:paraId="1600675C"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Included observations: 64 after adjustments</w:t>
            </w:r>
          </w:p>
        </w:tc>
        <w:tc>
          <w:tcPr>
            <w:tcW w:w="1706" w:type="dxa"/>
            <w:tcBorders>
              <w:top w:val="nil"/>
              <w:left w:val="nil"/>
              <w:bottom w:val="nil"/>
              <w:right w:val="nil"/>
            </w:tcBorders>
            <w:vAlign w:val="bottom"/>
          </w:tcPr>
          <w:p w14:paraId="2889ED1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E5237EE" w14:textId="77777777" w:rsidTr="001C5AF5">
        <w:trPr>
          <w:trHeight w:val="306"/>
        </w:trPr>
        <w:tc>
          <w:tcPr>
            <w:tcW w:w="6792" w:type="dxa"/>
            <w:gridSpan w:val="4"/>
            <w:tcBorders>
              <w:top w:val="nil"/>
              <w:left w:val="nil"/>
              <w:bottom w:val="nil"/>
              <w:right w:val="nil"/>
            </w:tcBorders>
            <w:vAlign w:val="bottom"/>
          </w:tcPr>
          <w:p w14:paraId="35E4F8EB"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Trend assumption: Linear deterministic trend</w:t>
            </w:r>
          </w:p>
        </w:tc>
        <w:tc>
          <w:tcPr>
            <w:tcW w:w="1706" w:type="dxa"/>
            <w:tcBorders>
              <w:top w:val="nil"/>
              <w:left w:val="nil"/>
              <w:bottom w:val="nil"/>
              <w:right w:val="nil"/>
            </w:tcBorders>
            <w:vAlign w:val="bottom"/>
          </w:tcPr>
          <w:p w14:paraId="2C2E111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40B60604" w14:textId="77777777" w:rsidTr="001C5AF5">
        <w:trPr>
          <w:trHeight w:val="306"/>
        </w:trPr>
        <w:tc>
          <w:tcPr>
            <w:tcW w:w="5084" w:type="dxa"/>
            <w:gridSpan w:val="3"/>
            <w:tcBorders>
              <w:top w:val="nil"/>
              <w:left w:val="nil"/>
              <w:bottom w:val="nil"/>
              <w:right w:val="nil"/>
            </w:tcBorders>
            <w:vAlign w:val="bottom"/>
          </w:tcPr>
          <w:p w14:paraId="3338957B"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Series: M2 REM REER CPI </w:t>
            </w:r>
          </w:p>
        </w:tc>
        <w:tc>
          <w:tcPr>
            <w:tcW w:w="1708" w:type="dxa"/>
            <w:tcBorders>
              <w:top w:val="nil"/>
              <w:left w:val="nil"/>
              <w:bottom w:val="nil"/>
              <w:right w:val="nil"/>
            </w:tcBorders>
            <w:vAlign w:val="bottom"/>
          </w:tcPr>
          <w:p w14:paraId="1CCB587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706" w:type="dxa"/>
            <w:tcBorders>
              <w:top w:val="nil"/>
              <w:left w:val="nil"/>
              <w:bottom w:val="nil"/>
              <w:right w:val="nil"/>
            </w:tcBorders>
            <w:vAlign w:val="bottom"/>
          </w:tcPr>
          <w:p w14:paraId="400CA8D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B2B7764" w14:textId="77777777" w:rsidTr="001C5AF5">
        <w:trPr>
          <w:trHeight w:val="306"/>
        </w:trPr>
        <w:tc>
          <w:tcPr>
            <w:tcW w:w="6792" w:type="dxa"/>
            <w:gridSpan w:val="4"/>
            <w:tcBorders>
              <w:top w:val="nil"/>
              <w:left w:val="nil"/>
              <w:bottom w:val="nil"/>
              <w:right w:val="nil"/>
            </w:tcBorders>
            <w:vAlign w:val="bottom"/>
          </w:tcPr>
          <w:p w14:paraId="22118CFD"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Lags interval (in first differences): 1 to 2</w:t>
            </w:r>
          </w:p>
        </w:tc>
        <w:tc>
          <w:tcPr>
            <w:tcW w:w="1706" w:type="dxa"/>
            <w:tcBorders>
              <w:top w:val="nil"/>
              <w:left w:val="nil"/>
              <w:bottom w:val="nil"/>
              <w:right w:val="nil"/>
            </w:tcBorders>
            <w:vAlign w:val="bottom"/>
          </w:tcPr>
          <w:p w14:paraId="165A8EF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61DA87CB" w14:textId="77777777" w:rsidTr="001C5AF5">
        <w:trPr>
          <w:trHeight w:val="306"/>
        </w:trPr>
        <w:tc>
          <w:tcPr>
            <w:tcW w:w="6792" w:type="dxa"/>
            <w:gridSpan w:val="4"/>
            <w:tcBorders>
              <w:top w:val="nil"/>
              <w:left w:val="nil"/>
              <w:bottom w:val="nil"/>
              <w:right w:val="nil"/>
            </w:tcBorders>
            <w:vAlign w:val="bottom"/>
          </w:tcPr>
          <w:p w14:paraId="3D90131E"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xml:space="preserve">Unrestricted </w:t>
            </w:r>
            <w:proofErr w:type="spellStart"/>
            <w:r>
              <w:rPr>
                <w:rFonts w:ascii="Arial" w:hAnsi="Arial" w:cs="Arial"/>
                <w:color w:val="000000"/>
                <w:sz w:val="18"/>
                <w:szCs w:val="18"/>
              </w:rPr>
              <w:t>Cointegration</w:t>
            </w:r>
            <w:proofErr w:type="spellEnd"/>
            <w:r>
              <w:rPr>
                <w:rFonts w:ascii="Arial" w:hAnsi="Arial" w:cs="Arial"/>
                <w:color w:val="000000"/>
                <w:sz w:val="18"/>
                <w:szCs w:val="18"/>
              </w:rPr>
              <w:t xml:space="preserve"> Rank Test (Trace)</w:t>
            </w:r>
          </w:p>
        </w:tc>
        <w:tc>
          <w:tcPr>
            <w:tcW w:w="1706" w:type="dxa"/>
            <w:tcBorders>
              <w:top w:val="nil"/>
              <w:left w:val="nil"/>
              <w:bottom w:val="nil"/>
              <w:right w:val="nil"/>
            </w:tcBorders>
            <w:vAlign w:val="bottom"/>
          </w:tcPr>
          <w:p w14:paraId="5B3A2CE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5A842F5C" w14:textId="77777777" w:rsidTr="001C5AF5">
        <w:trPr>
          <w:trHeight w:hRule="exact" w:val="123"/>
        </w:trPr>
        <w:tc>
          <w:tcPr>
            <w:tcW w:w="1670" w:type="dxa"/>
            <w:tcBorders>
              <w:top w:val="nil"/>
              <w:left w:val="nil"/>
              <w:bottom w:val="double" w:sz="6" w:space="2" w:color="auto"/>
              <w:right w:val="nil"/>
            </w:tcBorders>
            <w:vAlign w:val="bottom"/>
          </w:tcPr>
          <w:p w14:paraId="17984EB7"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double" w:sz="6" w:space="2" w:color="auto"/>
              <w:right w:val="nil"/>
            </w:tcBorders>
            <w:vAlign w:val="bottom"/>
          </w:tcPr>
          <w:p w14:paraId="49107F66"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double" w:sz="6" w:space="2" w:color="auto"/>
              <w:right w:val="nil"/>
            </w:tcBorders>
            <w:vAlign w:val="bottom"/>
          </w:tcPr>
          <w:p w14:paraId="18F43962"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double" w:sz="6" w:space="2" w:color="auto"/>
              <w:right w:val="nil"/>
            </w:tcBorders>
            <w:vAlign w:val="bottom"/>
          </w:tcPr>
          <w:p w14:paraId="6C4A2975"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double" w:sz="6" w:space="2" w:color="auto"/>
              <w:right w:val="nil"/>
            </w:tcBorders>
            <w:vAlign w:val="bottom"/>
          </w:tcPr>
          <w:p w14:paraId="74256AEE" w14:textId="77777777" w:rsidR="00C13E5A" w:rsidRDefault="00C13E5A" w:rsidP="001C5AF5">
            <w:pPr>
              <w:autoSpaceDE w:val="0"/>
              <w:autoSpaceDN w:val="0"/>
              <w:adjustRightInd w:val="0"/>
              <w:spacing w:line="240" w:lineRule="auto"/>
              <w:rPr>
                <w:rFonts w:ascii="Arial" w:hAnsi="Arial" w:cs="Arial"/>
                <w:color w:val="000000"/>
                <w:sz w:val="18"/>
                <w:szCs w:val="18"/>
              </w:rPr>
            </w:pPr>
          </w:p>
        </w:tc>
      </w:tr>
      <w:tr w:rsidR="00C13E5A" w14:paraId="2AA8CD51" w14:textId="77777777" w:rsidTr="001C5AF5">
        <w:trPr>
          <w:trHeight w:hRule="exact" w:val="184"/>
        </w:trPr>
        <w:tc>
          <w:tcPr>
            <w:tcW w:w="1670" w:type="dxa"/>
            <w:tcBorders>
              <w:top w:val="nil"/>
              <w:left w:val="nil"/>
              <w:bottom w:val="nil"/>
              <w:right w:val="nil"/>
            </w:tcBorders>
            <w:vAlign w:val="bottom"/>
          </w:tcPr>
          <w:p w14:paraId="1C19C2DA"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nil"/>
              <w:right w:val="nil"/>
            </w:tcBorders>
            <w:vAlign w:val="bottom"/>
          </w:tcPr>
          <w:p w14:paraId="2354E449"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nil"/>
              <w:right w:val="nil"/>
            </w:tcBorders>
            <w:vAlign w:val="bottom"/>
          </w:tcPr>
          <w:p w14:paraId="0AC69C1D"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nil"/>
              <w:right w:val="nil"/>
            </w:tcBorders>
            <w:vAlign w:val="bottom"/>
          </w:tcPr>
          <w:p w14:paraId="005FC4FA"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nil"/>
              <w:right w:val="nil"/>
            </w:tcBorders>
            <w:vAlign w:val="bottom"/>
          </w:tcPr>
          <w:p w14:paraId="75146663" w14:textId="77777777" w:rsidR="00C13E5A" w:rsidRDefault="00C13E5A" w:rsidP="001C5AF5">
            <w:pPr>
              <w:autoSpaceDE w:val="0"/>
              <w:autoSpaceDN w:val="0"/>
              <w:adjustRightInd w:val="0"/>
              <w:spacing w:line="240" w:lineRule="auto"/>
              <w:rPr>
                <w:rFonts w:ascii="Arial" w:hAnsi="Arial" w:cs="Arial"/>
                <w:color w:val="000000"/>
                <w:sz w:val="18"/>
                <w:szCs w:val="18"/>
              </w:rPr>
            </w:pPr>
          </w:p>
        </w:tc>
      </w:tr>
      <w:tr w:rsidR="00C13E5A" w14:paraId="070A3F1E" w14:textId="77777777" w:rsidTr="001C5AF5">
        <w:trPr>
          <w:trHeight w:val="306"/>
        </w:trPr>
        <w:tc>
          <w:tcPr>
            <w:tcW w:w="1670" w:type="dxa"/>
            <w:tcBorders>
              <w:top w:val="nil"/>
              <w:left w:val="nil"/>
              <w:bottom w:val="nil"/>
              <w:right w:val="nil"/>
            </w:tcBorders>
            <w:vAlign w:val="bottom"/>
          </w:tcPr>
          <w:p w14:paraId="28D96D2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Hypothesized</w:t>
            </w:r>
          </w:p>
        </w:tc>
        <w:tc>
          <w:tcPr>
            <w:tcW w:w="1708" w:type="dxa"/>
            <w:tcBorders>
              <w:top w:val="nil"/>
              <w:left w:val="nil"/>
              <w:bottom w:val="nil"/>
              <w:right w:val="nil"/>
            </w:tcBorders>
            <w:vAlign w:val="bottom"/>
          </w:tcPr>
          <w:p w14:paraId="383C302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706" w:type="dxa"/>
            <w:tcBorders>
              <w:top w:val="nil"/>
              <w:left w:val="nil"/>
              <w:bottom w:val="nil"/>
              <w:right w:val="nil"/>
            </w:tcBorders>
            <w:vAlign w:val="bottom"/>
          </w:tcPr>
          <w:p w14:paraId="7810259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Trace</w:t>
            </w:r>
          </w:p>
        </w:tc>
        <w:tc>
          <w:tcPr>
            <w:tcW w:w="1708" w:type="dxa"/>
            <w:tcBorders>
              <w:top w:val="nil"/>
              <w:left w:val="nil"/>
              <w:bottom w:val="nil"/>
              <w:right w:val="nil"/>
            </w:tcBorders>
            <w:vAlign w:val="bottom"/>
          </w:tcPr>
          <w:p w14:paraId="1E7F723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0.05</w:t>
            </w:r>
          </w:p>
        </w:tc>
        <w:tc>
          <w:tcPr>
            <w:tcW w:w="1706" w:type="dxa"/>
            <w:tcBorders>
              <w:top w:val="nil"/>
              <w:left w:val="nil"/>
              <w:bottom w:val="nil"/>
              <w:right w:val="nil"/>
            </w:tcBorders>
            <w:vAlign w:val="bottom"/>
          </w:tcPr>
          <w:p w14:paraId="1A4C955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1B1BD052" w14:textId="77777777" w:rsidTr="001C5AF5">
        <w:trPr>
          <w:trHeight w:val="306"/>
        </w:trPr>
        <w:tc>
          <w:tcPr>
            <w:tcW w:w="1670" w:type="dxa"/>
            <w:tcBorders>
              <w:top w:val="nil"/>
              <w:left w:val="nil"/>
              <w:bottom w:val="nil"/>
              <w:right w:val="nil"/>
            </w:tcBorders>
            <w:vAlign w:val="bottom"/>
          </w:tcPr>
          <w:p w14:paraId="2F2415D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No. of CE(s)</w:t>
            </w:r>
          </w:p>
        </w:tc>
        <w:tc>
          <w:tcPr>
            <w:tcW w:w="1708" w:type="dxa"/>
            <w:tcBorders>
              <w:top w:val="nil"/>
              <w:left w:val="nil"/>
              <w:bottom w:val="nil"/>
              <w:right w:val="nil"/>
            </w:tcBorders>
            <w:vAlign w:val="bottom"/>
          </w:tcPr>
          <w:p w14:paraId="166614C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Eigenvalue</w:t>
            </w:r>
          </w:p>
        </w:tc>
        <w:tc>
          <w:tcPr>
            <w:tcW w:w="1706" w:type="dxa"/>
            <w:tcBorders>
              <w:top w:val="nil"/>
              <w:left w:val="nil"/>
              <w:bottom w:val="nil"/>
              <w:right w:val="nil"/>
            </w:tcBorders>
            <w:vAlign w:val="bottom"/>
          </w:tcPr>
          <w:p w14:paraId="6537B09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Statistic</w:t>
            </w:r>
          </w:p>
        </w:tc>
        <w:tc>
          <w:tcPr>
            <w:tcW w:w="1708" w:type="dxa"/>
            <w:tcBorders>
              <w:top w:val="nil"/>
              <w:left w:val="nil"/>
              <w:bottom w:val="nil"/>
              <w:right w:val="nil"/>
            </w:tcBorders>
            <w:vAlign w:val="bottom"/>
          </w:tcPr>
          <w:p w14:paraId="247E87B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Critical Value</w:t>
            </w:r>
          </w:p>
        </w:tc>
        <w:tc>
          <w:tcPr>
            <w:tcW w:w="1706" w:type="dxa"/>
            <w:tcBorders>
              <w:top w:val="nil"/>
              <w:left w:val="nil"/>
              <w:bottom w:val="nil"/>
              <w:right w:val="nil"/>
            </w:tcBorders>
            <w:vAlign w:val="bottom"/>
          </w:tcPr>
          <w:p w14:paraId="25286E4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Prob.**</w:t>
            </w:r>
          </w:p>
        </w:tc>
      </w:tr>
      <w:tr w:rsidR="00C13E5A" w14:paraId="05E37222" w14:textId="77777777" w:rsidTr="001C5AF5">
        <w:trPr>
          <w:trHeight w:hRule="exact" w:val="123"/>
        </w:trPr>
        <w:tc>
          <w:tcPr>
            <w:tcW w:w="1670" w:type="dxa"/>
            <w:tcBorders>
              <w:top w:val="nil"/>
              <w:left w:val="nil"/>
              <w:bottom w:val="double" w:sz="6" w:space="2" w:color="auto"/>
              <w:right w:val="nil"/>
            </w:tcBorders>
            <w:vAlign w:val="bottom"/>
          </w:tcPr>
          <w:p w14:paraId="15139F8D"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double" w:sz="6" w:space="2" w:color="auto"/>
              <w:right w:val="nil"/>
            </w:tcBorders>
            <w:vAlign w:val="bottom"/>
          </w:tcPr>
          <w:p w14:paraId="2CDC9BD2"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double" w:sz="6" w:space="2" w:color="auto"/>
              <w:right w:val="nil"/>
            </w:tcBorders>
            <w:vAlign w:val="bottom"/>
          </w:tcPr>
          <w:p w14:paraId="26529897"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double" w:sz="6" w:space="2" w:color="auto"/>
              <w:right w:val="nil"/>
            </w:tcBorders>
            <w:vAlign w:val="bottom"/>
          </w:tcPr>
          <w:p w14:paraId="49B48F67"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double" w:sz="6" w:space="2" w:color="auto"/>
              <w:right w:val="nil"/>
            </w:tcBorders>
            <w:vAlign w:val="bottom"/>
          </w:tcPr>
          <w:p w14:paraId="2EEE4540" w14:textId="77777777" w:rsidR="00C13E5A" w:rsidRDefault="00C13E5A" w:rsidP="001C5AF5">
            <w:pPr>
              <w:autoSpaceDE w:val="0"/>
              <w:autoSpaceDN w:val="0"/>
              <w:adjustRightInd w:val="0"/>
              <w:spacing w:line="240" w:lineRule="auto"/>
              <w:rPr>
                <w:rFonts w:ascii="Arial" w:hAnsi="Arial" w:cs="Arial"/>
                <w:color w:val="000000"/>
                <w:sz w:val="18"/>
                <w:szCs w:val="18"/>
              </w:rPr>
            </w:pPr>
          </w:p>
        </w:tc>
      </w:tr>
      <w:tr w:rsidR="00C13E5A" w14:paraId="39A399E0" w14:textId="77777777" w:rsidTr="001C5AF5">
        <w:trPr>
          <w:trHeight w:hRule="exact" w:val="184"/>
        </w:trPr>
        <w:tc>
          <w:tcPr>
            <w:tcW w:w="1670" w:type="dxa"/>
            <w:tcBorders>
              <w:top w:val="nil"/>
              <w:left w:val="nil"/>
              <w:bottom w:val="nil"/>
              <w:right w:val="nil"/>
            </w:tcBorders>
            <w:vAlign w:val="bottom"/>
          </w:tcPr>
          <w:p w14:paraId="019E3994"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nil"/>
              <w:right w:val="nil"/>
            </w:tcBorders>
            <w:vAlign w:val="bottom"/>
          </w:tcPr>
          <w:p w14:paraId="2E139139"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nil"/>
              <w:right w:val="nil"/>
            </w:tcBorders>
            <w:vAlign w:val="bottom"/>
          </w:tcPr>
          <w:p w14:paraId="3FB702DD"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nil"/>
              <w:right w:val="nil"/>
            </w:tcBorders>
            <w:vAlign w:val="bottom"/>
          </w:tcPr>
          <w:p w14:paraId="6AF59E61"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nil"/>
              <w:right w:val="nil"/>
            </w:tcBorders>
            <w:vAlign w:val="bottom"/>
          </w:tcPr>
          <w:p w14:paraId="6BC9D956" w14:textId="77777777" w:rsidR="00C13E5A" w:rsidRDefault="00C13E5A" w:rsidP="001C5AF5">
            <w:pPr>
              <w:autoSpaceDE w:val="0"/>
              <w:autoSpaceDN w:val="0"/>
              <w:adjustRightInd w:val="0"/>
              <w:spacing w:line="240" w:lineRule="auto"/>
              <w:rPr>
                <w:rFonts w:ascii="Arial" w:hAnsi="Arial" w:cs="Arial"/>
                <w:color w:val="000000"/>
                <w:sz w:val="18"/>
                <w:szCs w:val="18"/>
              </w:rPr>
            </w:pPr>
          </w:p>
        </w:tc>
      </w:tr>
      <w:tr w:rsidR="00C13E5A" w14:paraId="1D3AAF58" w14:textId="77777777" w:rsidTr="001C5AF5">
        <w:trPr>
          <w:trHeight w:val="306"/>
        </w:trPr>
        <w:tc>
          <w:tcPr>
            <w:tcW w:w="1670" w:type="dxa"/>
            <w:tcBorders>
              <w:top w:val="nil"/>
              <w:left w:val="nil"/>
              <w:bottom w:val="nil"/>
              <w:right w:val="nil"/>
            </w:tcBorders>
            <w:vAlign w:val="bottom"/>
          </w:tcPr>
          <w:p w14:paraId="5452F3E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None</w:t>
            </w:r>
          </w:p>
        </w:tc>
        <w:tc>
          <w:tcPr>
            <w:tcW w:w="1708" w:type="dxa"/>
            <w:tcBorders>
              <w:top w:val="nil"/>
              <w:left w:val="nil"/>
              <w:bottom w:val="nil"/>
              <w:right w:val="nil"/>
            </w:tcBorders>
            <w:vAlign w:val="bottom"/>
          </w:tcPr>
          <w:p w14:paraId="0D64A4D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0.317296</w:t>
            </w:r>
          </w:p>
        </w:tc>
        <w:tc>
          <w:tcPr>
            <w:tcW w:w="1706" w:type="dxa"/>
            <w:tcBorders>
              <w:top w:val="nil"/>
              <w:left w:val="nil"/>
              <w:bottom w:val="nil"/>
              <w:right w:val="nil"/>
            </w:tcBorders>
            <w:vAlign w:val="bottom"/>
          </w:tcPr>
          <w:p w14:paraId="69157CF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42.77958</w:t>
            </w:r>
          </w:p>
        </w:tc>
        <w:tc>
          <w:tcPr>
            <w:tcW w:w="1708" w:type="dxa"/>
            <w:tcBorders>
              <w:top w:val="nil"/>
              <w:left w:val="nil"/>
              <w:bottom w:val="nil"/>
              <w:right w:val="nil"/>
            </w:tcBorders>
            <w:vAlign w:val="bottom"/>
          </w:tcPr>
          <w:p w14:paraId="7868D36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47.85613</w:t>
            </w:r>
          </w:p>
        </w:tc>
        <w:tc>
          <w:tcPr>
            <w:tcW w:w="1706" w:type="dxa"/>
            <w:tcBorders>
              <w:top w:val="nil"/>
              <w:left w:val="nil"/>
              <w:bottom w:val="nil"/>
              <w:right w:val="nil"/>
            </w:tcBorders>
            <w:vAlign w:val="bottom"/>
          </w:tcPr>
          <w:p w14:paraId="6883A41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0.1380</w:t>
            </w:r>
          </w:p>
        </w:tc>
      </w:tr>
      <w:tr w:rsidR="00C13E5A" w14:paraId="392878A0" w14:textId="77777777" w:rsidTr="001C5AF5">
        <w:trPr>
          <w:trHeight w:val="306"/>
        </w:trPr>
        <w:tc>
          <w:tcPr>
            <w:tcW w:w="1670" w:type="dxa"/>
            <w:tcBorders>
              <w:top w:val="nil"/>
              <w:left w:val="nil"/>
              <w:bottom w:val="nil"/>
              <w:right w:val="nil"/>
            </w:tcBorders>
            <w:vAlign w:val="bottom"/>
          </w:tcPr>
          <w:p w14:paraId="6F65842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At most 1</w:t>
            </w:r>
          </w:p>
        </w:tc>
        <w:tc>
          <w:tcPr>
            <w:tcW w:w="1708" w:type="dxa"/>
            <w:tcBorders>
              <w:top w:val="nil"/>
              <w:left w:val="nil"/>
              <w:bottom w:val="nil"/>
              <w:right w:val="nil"/>
            </w:tcBorders>
            <w:vAlign w:val="bottom"/>
          </w:tcPr>
          <w:p w14:paraId="248BCD6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0.150702</w:t>
            </w:r>
          </w:p>
        </w:tc>
        <w:tc>
          <w:tcPr>
            <w:tcW w:w="1706" w:type="dxa"/>
            <w:tcBorders>
              <w:top w:val="nil"/>
              <w:left w:val="nil"/>
              <w:bottom w:val="nil"/>
              <w:right w:val="nil"/>
            </w:tcBorders>
            <w:vAlign w:val="bottom"/>
          </w:tcPr>
          <w:p w14:paraId="2254687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18.35120</w:t>
            </w:r>
          </w:p>
        </w:tc>
        <w:tc>
          <w:tcPr>
            <w:tcW w:w="1708" w:type="dxa"/>
            <w:tcBorders>
              <w:top w:val="nil"/>
              <w:left w:val="nil"/>
              <w:bottom w:val="nil"/>
              <w:right w:val="nil"/>
            </w:tcBorders>
            <w:vAlign w:val="bottom"/>
          </w:tcPr>
          <w:p w14:paraId="1B37D0C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29.79707</w:t>
            </w:r>
          </w:p>
        </w:tc>
        <w:tc>
          <w:tcPr>
            <w:tcW w:w="1706" w:type="dxa"/>
            <w:tcBorders>
              <w:top w:val="nil"/>
              <w:left w:val="nil"/>
              <w:bottom w:val="nil"/>
              <w:right w:val="nil"/>
            </w:tcBorders>
            <w:vAlign w:val="bottom"/>
          </w:tcPr>
          <w:p w14:paraId="47523E2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0.5402</w:t>
            </w:r>
          </w:p>
        </w:tc>
      </w:tr>
      <w:tr w:rsidR="00C13E5A" w14:paraId="1710B51B" w14:textId="77777777" w:rsidTr="001C5AF5">
        <w:trPr>
          <w:trHeight w:val="306"/>
        </w:trPr>
        <w:tc>
          <w:tcPr>
            <w:tcW w:w="1670" w:type="dxa"/>
            <w:tcBorders>
              <w:top w:val="nil"/>
              <w:left w:val="nil"/>
              <w:bottom w:val="nil"/>
              <w:right w:val="nil"/>
            </w:tcBorders>
            <w:vAlign w:val="bottom"/>
          </w:tcPr>
          <w:p w14:paraId="60A86D0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At most 2</w:t>
            </w:r>
          </w:p>
        </w:tc>
        <w:tc>
          <w:tcPr>
            <w:tcW w:w="1708" w:type="dxa"/>
            <w:tcBorders>
              <w:top w:val="nil"/>
              <w:left w:val="nil"/>
              <w:bottom w:val="nil"/>
              <w:right w:val="nil"/>
            </w:tcBorders>
            <w:vAlign w:val="bottom"/>
          </w:tcPr>
          <w:p w14:paraId="386AF29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0.103833</w:t>
            </w:r>
          </w:p>
        </w:tc>
        <w:tc>
          <w:tcPr>
            <w:tcW w:w="1706" w:type="dxa"/>
            <w:tcBorders>
              <w:top w:val="nil"/>
              <w:left w:val="nil"/>
              <w:bottom w:val="nil"/>
              <w:right w:val="nil"/>
            </w:tcBorders>
            <w:vAlign w:val="bottom"/>
          </w:tcPr>
          <w:p w14:paraId="79E9774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7.897106</w:t>
            </w:r>
          </w:p>
        </w:tc>
        <w:tc>
          <w:tcPr>
            <w:tcW w:w="1708" w:type="dxa"/>
            <w:tcBorders>
              <w:top w:val="nil"/>
              <w:left w:val="nil"/>
              <w:bottom w:val="nil"/>
              <w:right w:val="nil"/>
            </w:tcBorders>
            <w:vAlign w:val="bottom"/>
          </w:tcPr>
          <w:p w14:paraId="0C91B24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15.49471</w:t>
            </w:r>
          </w:p>
        </w:tc>
        <w:tc>
          <w:tcPr>
            <w:tcW w:w="1706" w:type="dxa"/>
            <w:tcBorders>
              <w:top w:val="nil"/>
              <w:left w:val="nil"/>
              <w:bottom w:val="nil"/>
              <w:right w:val="nil"/>
            </w:tcBorders>
            <w:vAlign w:val="bottom"/>
          </w:tcPr>
          <w:p w14:paraId="4C709BA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0.4765</w:t>
            </w:r>
          </w:p>
        </w:tc>
      </w:tr>
      <w:tr w:rsidR="00C13E5A" w14:paraId="0558093C" w14:textId="77777777" w:rsidTr="001C5AF5">
        <w:trPr>
          <w:trHeight w:val="306"/>
        </w:trPr>
        <w:tc>
          <w:tcPr>
            <w:tcW w:w="1670" w:type="dxa"/>
            <w:tcBorders>
              <w:top w:val="nil"/>
              <w:left w:val="nil"/>
              <w:bottom w:val="nil"/>
              <w:right w:val="nil"/>
            </w:tcBorders>
            <w:vAlign w:val="bottom"/>
          </w:tcPr>
          <w:p w14:paraId="7700994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At most 3</w:t>
            </w:r>
          </w:p>
        </w:tc>
        <w:tc>
          <w:tcPr>
            <w:tcW w:w="1708" w:type="dxa"/>
            <w:tcBorders>
              <w:top w:val="nil"/>
              <w:left w:val="nil"/>
              <w:bottom w:val="nil"/>
              <w:right w:val="nil"/>
            </w:tcBorders>
            <w:vAlign w:val="bottom"/>
          </w:tcPr>
          <w:p w14:paraId="6D0656F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0.013670</w:t>
            </w:r>
          </w:p>
        </w:tc>
        <w:tc>
          <w:tcPr>
            <w:tcW w:w="1706" w:type="dxa"/>
            <w:tcBorders>
              <w:top w:val="nil"/>
              <w:left w:val="nil"/>
              <w:bottom w:val="nil"/>
              <w:right w:val="nil"/>
            </w:tcBorders>
            <w:vAlign w:val="bottom"/>
          </w:tcPr>
          <w:p w14:paraId="274452A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0.880901</w:t>
            </w:r>
          </w:p>
        </w:tc>
        <w:tc>
          <w:tcPr>
            <w:tcW w:w="1708" w:type="dxa"/>
            <w:tcBorders>
              <w:top w:val="nil"/>
              <w:left w:val="nil"/>
              <w:bottom w:val="nil"/>
              <w:right w:val="nil"/>
            </w:tcBorders>
            <w:vAlign w:val="bottom"/>
          </w:tcPr>
          <w:p w14:paraId="032468D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3.841466</w:t>
            </w:r>
          </w:p>
        </w:tc>
        <w:tc>
          <w:tcPr>
            <w:tcW w:w="1706" w:type="dxa"/>
            <w:tcBorders>
              <w:top w:val="nil"/>
              <w:left w:val="nil"/>
              <w:bottom w:val="nil"/>
              <w:right w:val="nil"/>
            </w:tcBorders>
            <w:vAlign w:val="bottom"/>
          </w:tcPr>
          <w:p w14:paraId="26D6466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0.3480</w:t>
            </w:r>
          </w:p>
        </w:tc>
      </w:tr>
      <w:tr w:rsidR="00C13E5A" w14:paraId="10E2F2F3" w14:textId="77777777" w:rsidTr="001C5AF5">
        <w:trPr>
          <w:trHeight w:hRule="exact" w:val="123"/>
        </w:trPr>
        <w:tc>
          <w:tcPr>
            <w:tcW w:w="1670" w:type="dxa"/>
            <w:tcBorders>
              <w:top w:val="nil"/>
              <w:left w:val="nil"/>
              <w:bottom w:val="double" w:sz="6" w:space="2" w:color="auto"/>
              <w:right w:val="nil"/>
            </w:tcBorders>
            <w:vAlign w:val="bottom"/>
          </w:tcPr>
          <w:p w14:paraId="1D66FA2C"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double" w:sz="6" w:space="2" w:color="auto"/>
              <w:right w:val="nil"/>
            </w:tcBorders>
            <w:vAlign w:val="bottom"/>
          </w:tcPr>
          <w:p w14:paraId="12982661"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double" w:sz="6" w:space="2" w:color="auto"/>
              <w:right w:val="nil"/>
            </w:tcBorders>
            <w:vAlign w:val="bottom"/>
          </w:tcPr>
          <w:p w14:paraId="72051A26"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double" w:sz="6" w:space="2" w:color="auto"/>
              <w:right w:val="nil"/>
            </w:tcBorders>
            <w:vAlign w:val="bottom"/>
          </w:tcPr>
          <w:p w14:paraId="48C90583"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double" w:sz="6" w:space="2" w:color="auto"/>
              <w:right w:val="nil"/>
            </w:tcBorders>
            <w:vAlign w:val="bottom"/>
          </w:tcPr>
          <w:p w14:paraId="62E54708" w14:textId="77777777" w:rsidR="00C13E5A" w:rsidRDefault="00C13E5A" w:rsidP="001C5AF5">
            <w:pPr>
              <w:autoSpaceDE w:val="0"/>
              <w:autoSpaceDN w:val="0"/>
              <w:adjustRightInd w:val="0"/>
              <w:spacing w:line="240" w:lineRule="auto"/>
              <w:rPr>
                <w:rFonts w:ascii="Arial" w:hAnsi="Arial" w:cs="Arial"/>
                <w:color w:val="000000"/>
                <w:sz w:val="18"/>
                <w:szCs w:val="18"/>
              </w:rPr>
            </w:pPr>
          </w:p>
        </w:tc>
      </w:tr>
      <w:tr w:rsidR="00C13E5A" w14:paraId="71ECC1F7" w14:textId="77777777" w:rsidTr="001C5AF5">
        <w:trPr>
          <w:trHeight w:hRule="exact" w:val="184"/>
        </w:trPr>
        <w:tc>
          <w:tcPr>
            <w:tcW w:w="1670" w:type="dxa"/>
            <w:tcBorders>
              <w:top w:val="nil"/>
              <w:left w:val="nil"/>
              <w:bottom w:val="nil"/>
              <w:right w:val="nil"/>
            </w:tcBorders>
            <w:vAlign w:val="bottom"/>
          </w:tcPr>
          <w:p w14:paraId="6D8EFD1C"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nil"/>
              <w:right w:val="nil"/>
            </w:tcBorders>
            <w:vAlign w:val="bottom"/>
          </w:tcPr>
          <w:p w14:paraId="21911B27"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nil"/>
              <w:right w:val="nil"/>
            </w:tcBorders>
            <w:vAlign w:val="bottom"/>
          </w:tcPr>
          <w:p w14:paraId="56CB63EF"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8" w:type="dxa"/>
            <w:tcBorders>
              <w:top w:val="nil"/>
              <w:left w:val="nil"/>
              <w:bottom w:val="nil"/>
              <w:right w:val="nil"/>
            </w:tcBorders>
            <w:vAlign w:val="bottom"/>
          </w:tcPr>
          <w:p w14:paraId="53C5AD93"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706" w:type="dxa"/>
            <w:tcBorders>
              <w:top w:val="nil"/>
              <w:left w:val="nil"/>
              <w:bottom w:val="nil"/>
              <w:right w:val="nil"/>
            </w:tcBorders>
            <w:vAlign w:val="bottom"/>
          </w:tcPr>
          <w:p w14:paraId="61A0D3DD" w14:textId="77777777" w:rsidR="00C13E5A" w:rsidRDefault="00C13E5A" w:rsidP="001C5AF5">
            <w:pPr>
              <w:autoSpaceDE w:val="0"/>
              <w:autoSpaceDN w:val="0"/>
              <w:adjustRightInd w:val="0"/>
              <w:spacing w:line="240" w:lineRule="auto"/>
              <w:rPr>
                <w:rFonts w:ascii="Arial" w:hAnsi="Arial" w:cs="Arial"/>
                <w:color w:val="000000"/>
                <w:sz w:val="18"/>
                <w:szCs w:val="18"/>
              </w:rPr>
            </w:pPr>
          </w:p>
        </w:tc>
      </w:tr>
      <w:tr w:rsidR="00C13E5A" w14:paraId="20DE743C" w14:textId="77777777" w:rsidTr="001C5AF5">
        <w:trPr>
          <w:trHeight w:val="306"/>
        </w:trPr>
        <w:tc>
          <w:tcPr>
            <w:tcW w:w="8498" w:type="dxa"/>
            <w:gridSpan w:val="5"/>
            <w:tcBorders>
              <w:top w:val="nil"/>
              <w:left w:val="nil"/>
              <w:bottom w:val="nil"/>
              <w:right w:val="nil"/>
            </w:tcBorders>
            <w:vAlign w:val="bottom"/>
          </w:tcPr>
          <w:p w14:paraId="22DA042A"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xml:space="preserve"> Trace test indicates no </w:t>
            </w:r>
            <w:proofErr w:type="spellStart"/>
            <w:r>
              <w:rPr>
                <w:rFonts w:ascii="Arial" w:hAnsi="Arial" w:cs="Arial"/>
                <w:color w:val="000000"/>
                <w:sz w:val="18"/>
                <w:szCs w:val="18"/>
              </w:rPr>
              <w:t>cointegration</w:t>
            </w:r>
            <w:proofErr w:type="spellEnd"/>
            <w:r>
              <w:rPr>
                <w:rFonts w:ascii="Arial" w:hAnsi="Arial" w:cs="Arial"/>
                <w:color w:val="000000"/>
                <w:sz w:val="18"/>
                <w:szCs w:val="18"/>
              </w:rPr>
              <w:t xml:space="preserve"> at the 0.05 level</w:t>
            </w:r>
          </w:p>
        </w:tc>
      </w:tr>
      <w:tr w:rsidR="00C13E5A" w14:paraId="42F5B44C" w14:textId="77777777" w:rsidTr="001C5AF5">
        <w:trPr>
          <w:trHeight w:val="306"/>
        </w:trPr>
        <w:tc>
          <w:tcPr>
            <w:tcW w:w="8498" w:type="dxa"/>
            <w:gridSpan w:val="5"/>
            <w:tcBorders>
              <w:top w:val="nil"/>
              <w:left w:val="nil"/>
              <w:bottom w:val="nil"/>
              <w:right w:val="nil"/>
            </w:tcBorders>
            <w:vAlign w:val="bottom"/>
          </w:tcPr>
          <w:p w14:paraId="111DE563"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 denotes rejection of the hypothesis at the 0.05 level</w:t>
            </w:r>
          </w:p>
        </w:tc>
      </w:tr>
      <w:tr w:rsidR="00C13E5A" w14:paraId="0753772F" w14:textId="77777777" w:rsidTr="001C5AF5">
        <w:trPr>
          <w:trHeight w:val="306"/>
        </w:trPr>
        <w:tc>
          <w:tcPr>
            <w:tcW w:w="6792" w:type="dxa"/>
            <w:gridSpan w:val="4"/>
            <w:tcBorders>
              <w:top w:val="nil"/>
              <w:left w:val="nil"/>
              <w:bottom w:val="nil"/>
              <w:right w:val="nil"/>
            </w:tcBorders>
            <w:vAlign w:val="bottom"/>
          </w:tcPr>
          <w:p w14:paraId="67129D53"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**MacKinnon-</w:t>
            </w:r>
            <w:proofErr w:type="spellStart"/>
            <w:r>
              <w:rPr>
                <w:rFonts w:ascii="Arial" w:hAnsi="Arial" w:cs="Arial"/>
                <w:color w:val="000000"/>
                <w:sz w:val="18"/>
                <w:szCs w:val="18"/>
              </w:rPr>
              <w:t>Haug</w:t>
            </w:r>
            <w:proofErr w:type="spellEnd"/>
            <w:r>
              <w:rPr>
                <w:rFonts w:ascii="Arial" w:hAnsi="Arial" w:cs="Arial"/>
                <w:color w:val="000000"/>
                <w:sz w:val="18"/>
                <w:szCs w:val="18"/>
              </w:rPr>
              <w:t>-</w:t>
            </w:r>
            <w:proofErr w:type="spellStart"/>
            <w:r>
              <w:rPr>
                <w:rFonts w:ascii="Arial" w:hAnsi="Arial" w:cs="Arial"/>
                <w:color w:val="000000"/>
                <w:sz w:val="18"/>
                <w:szCs w:val="18"/>
              </w:rPr>
              <w:t>Michelis</w:t>
            </w:r>
            <w:proofErr w:type="spellEnd"/>
            <w:r>
              <w:rPr>
                <w:rFonts w:ascii="Arial" w:hAnsi="Arial" w:cs="Arial"/>
                <w:color w:val="000000"/>
                <w:sz w:val="18"/>
                <w:szCs w:val="18"/>
              </w:rPr>
              <w:t xml:space="preserve"> (1999) p-values </w:t>
            </w:r>
          </w:p>
        </w:tc>
        <w:tc>
          <w:tcPr>
            <w:tcW w:w="1706" w:type="dxa"/>
            <w:tcBorders>
              <w:top w:val="nil"/>
              <w:left w:val="nil"/>
              <w:bottom w:val="nil"/>
              <w:right w:val="nil"/>
            </w:tcBorders>
            <w:vAlign w:val="bottom"/>
          </w:tcPr>
          <w:p w14:paraId="502A719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bl>
    <w:p w14:paraId="280FFFB2" w14:textId="77777777" w:rsidR="00C13E5A" w:rsidRPr="00CA0A0F" w:rsidRDefault="00C13E5A" w:rsidP="00C13E5A">
      <w:pPr>
        <w:ind w:firstLine="720"/>
        <w:jc w:val="both"/>
        <w:rPr>
          <w:b/>
        </w:rPr>
      </w:pPr>
      <w:r w:rsidRPr="00861080">
        <w:rPr>
          <w:b/>
        </w:rPr>
        <w:t xml:space="preserve">Table </w:t>
      </w:r>
      <w:r>
        <w:rPr>
          <w:b/>
        </w:rPr>
        <w:t>5</w:t>
      </w:r>
      <w:r w:rsidRPr="00861080">
        <w:rPr>
          <w:b/>
        </w:rPr>
        <w:t xml:space="preserve">: Stability Condition Test </w:t>
      </w:r>
      <w:r w:rsidRPr="00861080">
        <w:rPr>
          <w:b/>
        </w:rPr>
        <w:tab/>
      </w:r>
      <w:r w:rsidRPr="00861080">
        <w:rPr>
          <w:b/>
        </w:rPr>
        <w:tab/>
      </w:r>
    </w:p>
    <w:tbl>
      <w:tblPr>
        <w:tblW w:w="0" w:type="auto"/>
        <w:tblInd w:w="30" w:type="dxa"/>
        <w:tblLayout w:type="fixed"/>
        <w:tblCellMar>
          <w:left w:w="0" w:type="dxa"/>
          <w:right w:w="0" w:type="dxa"/>
        </w:tblCellMar>
        <w:tblLook w:val="0000" w:firstRow="0" w:lastRow="0" w:firstColumn="0" w:lastColumn="0" w:noHBand="0" w:noVBand="0"/>
      </w:tblPr>
      <w:tblGrid>
        <w:gridCol w:w="4956"/>
        <w:gridCol w:w="3638"/>
      </w:tblGrid>
      <w:tr w:rsidR="00C13E5A" w14:paraId="595D809D" w14:textId="77777777" w:rsidTr="001C5AF5">
        <w:trPr>
          <w:trHeight w:val="307"/>
        </w:trPr>
        <w:tc>
          <w:tcPr>
            <w:tcW w:w="8594" w:type="dxa"/>
            <w:gridSpan w:val="2"/>
            <w:tcBorders>
              <w:top w:val="nil"/>
              <w:left w:val="nil"/>
              <w:bottom w:val="nil"/>
              <w:right w:val="nil"/>
            </w:tcBorders>
            <w:vAlign w:val="bottom"/>
          </w:tcPr>
          <w:p w14:paraId="08D11D4B"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Roots of Characteristic Polynomial</w:t>
            </w:r>
          </w:p>
        </w:tc>
      </w:tr>
      <w:tr w:rsidR="00C13E5A" w14:paraId="126BC212" w14:textId="77777777" w:rsidTr="001C5AF5">
        <w:trPr>
          <w:trHeight w:val="307"/>
        </w:trPr>
        <w:tc>
          <w:tcPr>
            <w:tcW w:w="8594" w:type="dxa"/>
            <w:gridSpan w:val="2"/>
            <w:tcBorders>
              <w:top w:val="nil"/>
              <w:left w:val="nil"/>
              <w:bottom w:val="nil"/>
              <w:right w:val="nil"/>
            </w:tcBorders>
            <w:vAlign w:val="bottom"/>
          </w:tcPr>
          <w:p w14:paraId="731BF3FA"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Endogenous variables: DCPI DM2 DREER DREM </w:t>
            </w:r>
          </w:p>
        </w:tc>
      </w:tr>
      <w:tr w:rsidR="00C13E5A" w14:paraId="7F0E638C" w14:textId="77777777" w:rsidTr="001C5AF5">
        <w:trPr>
          <w:trHeight w:val="307"/>
        </w:trPr>
        <w:tc>
          <w:tcPr>
            <w:tcW w:w="8594" w:type="dxa"/>
            <w:gridSpan w:val="2"/>
            <w:tcBorders>
              <w:top w:val="nil"/>
              <w:left w:val="nil"/>
              <w:bottom w:val="nil"/>
              <w:right w:val="nil"/>
            </w:tcBorders>
            <w:vAlign w:val="bottom"/>
          </w:tcPr>
          <w:p w14:paraId="4B00F6F1"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Exogenous variables: C </w:t>
            </w:r>
          </w:p>
        </w:tc>
      </w:tr>
      <w:tr w:rsidR="00C13E5A" w14:paraId="40B899CD" w14:textId="77777777" w:rsidTr="001C5AF5">
        <w:trPr>
          <w:trHeight w:val="307"/>
        </w:trPr>
        <w:tc>
          <w:tcPr>
            <w:tcW w:w="8594" w:type="dxa"/>
            <w:gridSpan w:val="2"/>
            <w:tcBorders>
              <w:top w:val="nil"/>
              <w:left w:val="nil"/>
              <w:bottom w:val="nil"/>
              <w:right w:val="nil"/>
            </w:tcBorders>
            <w:vAlign w:val="bottom"/>
          </w:tcPr>
          <w:p w14:paraId="660DF68E"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Lag specification: 1 2</w:t>
            </w:r>
          </w:p>
        </w:tc>
      </w:tr>
      <w:tr w:rsidR="00C13E5A" w14:paraId="691A281A" w14:textId="77777777" w:rsidTr="001C5AF5">
        <w:trPr>
          <w:trHeight w:hRule="exact" w:val="123"/>
        </w:trPr>
        <w:tc>
          <w:tcPr>
            <w:tcW w:w="4956" w:type="dxa"/>
            <w:tcBorders>
              <w:top w:val="nil"/>
              <w:left w:val="nil"/>
              <w:bottom w:val="double" w:sz="6" w:space="2" w:color="auto"/>
              <w:right w:val="nil"/>
            </w:tcBorders>
            <w:vAlign w:val="bottom"/>
          </w:tcPr>
          <w:p w14:paraId="04F11CC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3638" w:type="dxa"/>
            <w:tcBorders>
              <w:top w:val="nil"/>
              <w:left w:val="nil"/>
              <w:bottom w:val="double" w:sz="6" w:space="2" w:color="auto"/>
              <w:right w:val="nil"/>
            </w:tcBorders>
            <w:vAlign w:val="bottom"/>
          </w:tcPr>
          <w:p w14:paraId="30E8ABF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1894043" w14:textId="77777777" w:rsidTr="001C5AF5">
        <w:trPr>
          <w:trHeight w:hRule="exact" w:val="184"/>
        </w:trPr>
        <w:tc>
          <w:tcPr>
            <w:tcW w:w="4956" w:type="dxa"/>
            <w:tcBorders>
              <w:top w:val="nil"/>
              <w:left w:val="nil"/>
              <w:bottom w:val="nil"/>
              <w:right w:val="nil"/>
            </w:tcBorders>
            <w:vAlign w:val="bottom"/>
          </w:tcPr>
          <w:p w14:paraId="2B81539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3638" w:type="dxa"/>
            <w:tcBorders>
              <w:top w:val="nil"/>
              <w:left w:val="nil"/>
              <w:bottom w:val="nil"/>
              <w:right w:val="nil"/>
            </w:tcBorders>
            <w:vAlign w:val="bottom"/>
          </w:tcPr>
          <w:p w14:paraId="1B6FF7F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2856C51" w14:textId="77777777" w:rsidTr="001C5AF5">
        <w:trPr>
          <w:trHeight w:val="307"/>
        </w:trPr>
        <w:tc>
          <w:tcPr>
            <w:tcW w:w="4956" w:type="dxa"/>
            <w:tcBorders>
              <w:top w:val="nil"/>
              <w:left w:val="nil"/>
              <w:bottom w:val="nil"/>
              <w:right w:val="nil"/>
            </w:tcBorders>
            <w:vAlign w:val="bottom"/>
          </w:tcPr>
          <w:p w14:paraId="79730947"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Root</w:t>
            </w:r>
          </w:p>
        </w:tc>
        <w:tc>
          <w:tcPr>
            <w:tcW w:w="3638" w:type="dxa"/>
            <w:tcBorders>
              <w:top w:val="nil"/>
              <w:left w:val="nil"/>
              <w:bottom w:val="nil"/>
              <w:right w:val="nil"/>
            </w:tcBorders>
            <w:vAlign w:val="bottom"/>
          </w:tcPr>
          <w:p w14:paraId="4D37D8C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Modulus</w:t>
            </w:r>
          </w:p>
        </w:tc>
      </w:tr>
      <w:tr w:rsidR="00C13E5A" w14:paraId="1CB47820" w14:textId="77777777" w:rsidTr="001C5AF5">
        <w:trPr>
          <w:trHeight w:hRule="exact" w:val="123"/>
        </w:trPr>
        <w:tc>
          <w:tcPr>
            <w:tcW w:w="4956" w:type="dxa"/>
            <w:tcBorders>
              <w:top w:val="nil"/>
              <w:left w:val="nil"/>
              <w:bottom w:val="double" w:sz="6" w:space="2" w:color="auto"/>
              <w:right w:val="nil"/>
            </w:tcBorders>
            <w:vAlign w:val="bottom"/>
          </w:tcPr>
          <w:p w14:paraId="0399479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3638" w:type="dxa"/>
            <w:tcBorders>
              <w:top w:val="nil"/>
              <w:left w:val="nil"/>
              <w:bottom w:val="double" w:sz="6" w:space="2" w:color="auto"/>
              <w:right w:val="nil"/>
            </w:tcBorders>
            <w:vAlign w:val="bottom"/>
          </w:tcPr>
          <w:p w14:paraId="2A5BBED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A0982D3" w14:textId="77777777" w:rsidTr="001C5AF5">
        <w:trPr>
          <w:trHeight w:hRule="exact" w:val="184"/>
        </w:trPr>
        <w:tc>
          <w:tcPr>
            <w:tcW w:w="4956" w:type="dxa"/>
            <w:tcBorders>
              <w:top w:val="nil"/>
              <w:left w:val="nil"/>
              <w:bottom w:val="nil"/>
              <w:right w:val="nil"/>
            </w:tcBorders>
            <w:vAlign w:val="bottom"/>
          </w:tcPr>
          <w:p w14:paraId="5271247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3638" w:type="dxa"/>
            <w:tcBorders>
              <w:top w:val="nil"/>
              <w:left w:val="nil"/>
              <w:bottom w:val="nil"/>
              <w:right w:val="nil"/>
            </w:tcBorders>
            <w:vAlign w:val="bottom"/>
          </w:tcPr>
          <w:p w14:paraId="598FBB1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61D1B529" w14:textId="77777777" w:rsidTr="001C5AF5">
        <w:trPr>
          <w:trHeight w:val="307"/>
        </w:trPr>
        <w:tc>
          <w:tcPr>
            <w:tcW w:w="4956" w:type="dxa"/>
            <w:tcBorders>
              <w:top w:val="nil"/>
              <w:left w:val="nil"/>
              <w:bottom w:val="nil"/>
              <w:right w:val="nil"/>
            </w:tcBorders>
            <w:vAlign w:val="bottom"/>
          </w:tcPr>
          <w:p w14:paraId="59ECC333"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0.556190</w:t>
            </w:r>
          </w:p>
        </w:tc>
        <w:tc>
          <w:tcPr>
            <w:tcW w:w="3638" w:type="dxa"/>
            <w:tcBorders>
              <w:top w:val="nil"/>
              <w:left w:val="nil"/>
              <w:bottom w:val="nil"/>
              <w:right w:val="nil"/>
            </w:tcBorders>
            <w:vAlign w:val="bottom"/>
          </w:tcPr>
          <w:p w14:paraId="6B0960C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0.556190</w:t>
            </w:r>
          </w:p>
        </w:tc>
      </w:tr>
      <w:tr w:rsidR="00C13E5A" w14:paraId="3B18864F" w14:textId="77777777" w:rsidTr="001C5AF5">
        <w:trPr>
          <w:trHeight w:val="307"/>
        </w:trPr>
        <w:tc>
          <w:tcPr>
            <w:tcW w:w="4956" w:type="dxa"/>
            <w:tcBorders>
              <w:top w:val="nil"/>
              <w:left w:val="nil"/>
              <w:bottom w:val="nil"/>
              <w:right w:val="nil"/>
            </w:tcBorders>
            <w:vAlign w:val="bottom"/>
          </w:tcPr>
          <w:p w14:paraId="451FD936"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0.439750 - 0.326563i</w:t>
            </w:r>
          </w:p>
        </w:tc>
        <w:tc>
          <w:tcPr>
            <w:tcW w:w="3638" w:type="dxa"/>
            <w:tcBorders>
              <w:top w:val="nil"/>
              <w:left w:val="nil"/>
              <w:bottom w:val="nil"/>
              <w:right w:val="nil"/>
            </w:tcBorders>
            <w:vAlign w:val="bottom"/>
          </w:tcPr>
          <w:p w14:paraId="71DCB4F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0.547744</w:t>
            </w:r>
          </w:p>
        </w:tc>
      </w:tr>
      <w:tr w:rsidR="00C13E5A" w14:paraId="506DCC22" w14:textId="77777777" w:rsidTr="001C5AF5">
        <w:trPr>
          <w:trHeight w:val="307"/>
        </w:trPr>
        <w:tc>
          <w:tcPr>
            <w:tcW w:w="4956" w:type="dxa"/>
            <w:tcBorders>
              <w:top w:val="nil"/>
              <w:left w:val="nil"/>
              <w:bottom w:val="nil"/>
              <w:right w:val="nil"/>
            </w:tcBorders>
            <w:vAlign w:val="bottom"/>
          </w:tcPr>
          <w:p w14:paraId="36E55F4A"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0.439750 + 0.326563i</w:t>
            </w:r>
          </w:p>
        </w:tc>
        <w:tc>
          <w:tcPr>
            <w:tcW w:w="3638" w:type="dxa"/>
            <w:tcBorders>
              <w:top w:val="nil"/>
              <w:left w:val="nil"/>
              <w:bottom w:val="nil"/>
              <w:right w:val="nil"/>
            </w:tcBorders>
            <w:vAlign w:val="bottom"/>
          </w:tcPr>
          <w:p w14:paraId="1885648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0.547744</w:t>
            </w:r>
          </w:p>
        </w:tc>
      </w:tr>
      <w:tr w:rsidR="00C13E5A" w14:paraId="40EC6FD4" w14:textId="77777777" w:rsidTr="001C5AF5">
        <w:trPr>
          <w:trHeight w:val="307"/>
        </w:trPr>
        <w:tc>
          <w:tcPr>
            <w:tcW w:w="4956" w:type="dxa"/>
            <w:tcBorders>
              <w:top w:val="nil"/>
              <w:left w:val="nil"/>
              <w:bottom w:val="nil"/>
              <w:right w:val="nil"/>
            </w:tcBorders>
            <w:vAlign w:val="bottom"/>
          </w:tcPr>
          <w:p w14:paraId="1F3D0653"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-0.225662 - 0.320733i</w:t>
            </w:r>
          </w:p>
        </w:tc>
        <w:tc>
          <w:tcPr>
            <w:tcW w:w="3638" w:type="dxa"/>
            <w:tcBorders>
              <w:top w:val="nil"/>
              <w:left w:val="nil"/>
              <w:bottom w:val="nil"/>
              <w:right w:val="nil"/>
            </w:tcBorders>
            <w:vAlign w:val="bottom"/>
          </w:tcPr>
          <w:p w14:paraId="03286D0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0.392165</w:t>
            </w:r>
          </w:p>
        </w:tc>
      </w:tr>
      <w:tr w:rsidR="00C13E5A" w14:paraId="071D1B7E" w14:textId="77777777" w:rsidTr="001C5AF5">
        <w:trPr>
          <w:trHeight w:val="307"/>
        </w:trPr>
        <w:tc>
          <w:tcPr>
            <w:tcW w:w="4956" w:type="dxa"/>
            <w:tcBorders>
              <w:top w:val="nil"/>
              <w:left w:val="nil"/>
              <w:bottom w:val="nil"/>
              <w:right w:val="nil"/>
            </w:tcBorders>
            <w:vAlign w:val="bottom"/>
          </w:tcPr>
          <w:p w14:paraId="498AE545"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-0.225662 + 0.320733i</w:t>
            </w:r>
          </w:p>
        </w:tc>
        <w:tc>
          <w:tcPr>
            <w:tcW w:w="3638" w:type="dxa"/>
            <w:tcBorders>
              <w:top w:val="nil"/>
              <w:left w:val="nil"/>
              <w:bottom w:val="nil"/>
              <w:right w:val="nil"/>
            </w:tcBorders>
            <w:vAlign w:val="bottom"/>
          </w:tcPr>
          <w:p w14:paraId="708A5CF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0.392165</w:t>
            </w:r>
          </w:p>
        </w:tc>
      </w:tr>
      <w:tr w:rsidR="00C13E5A" w14:paraId="6A3B0EC0" w14:textId="77777777" w:rsidTr="001C5AF5">
        <w:trPr>
          <w:trHeight w:val="307"/>
        </w:trPr>
        <w:tc>
          <w:tcPr>
            <w:tcW w:w="4956" w:type="dxa"/>
            <w:tcBorders>
              <w:top w:val="nil"/>
              <w:left w:val="nil"/>
              <w:bottom w:val="nil"/>
              <w:right w:val="nil"/>
            </w:tcBorders>
            <w:vAlign w:val="bottom"/>
          </w:tcPr>
          <w:p w14:paraId="02B46740"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-0.362606</w:t>
            </w:r>
          </w:p>
        </w:tc>
        <w:tc>
          <w:tcPr>
            <w:tcW w:w="3638" w:type="dxa"/>
            <w:tcBorders>
              <w:top w:val="nil"/>
              <w:left w:val="nil"/>
              <w:bottom w:val="nil"/>
              <w:right w:val="nil"/>
            </w:tcBorders>
            <w:vAlign w:val="bottom"/>
          </w:tcPr>
          <w:p w14:paraId="5DE9B7B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0.362606</w:t>
            </w:r>
          </w:p>
        </w:tc>
      </w:tr>
      <w:tr w:rsidR="00C13E5A" w14:paraId="49E73518" w14:textId="77777777" w:rsidTr="001C5AF5">
        <w:trPr>
          <w:trHeight w:val="307"/>
        </w:trPr>
        <w:tc>
          <w:tcPr>
            <w:tcW w:w="4956" w:type="dxa"/>
            <w:tcBorders>
              <w:top w:val="nil"/>
              <w:left w:val="nil"/>
              <w:bottom w:val="nil"/>
              <w:right w:val="nil"/>
            </w:tcBorders>
            <w:vAlign w:val="bottom"/>
          </w:tcPr>
          <w:p w14:paraId="76B1CFF6"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0.065382 - 0.331338i</w:t>
            </w:r>
          </w:p>
        </w:tc>
        <w:tc>
          <w:tcPr>
            <w:tcW w:w="3638" w:type="dxa"/>
            <w:tcBorders>
              <w:top w:val="nil"/>
              <w:left w:val="nil"/>
              <w:bottom w:val="nil"/>
              <w:right w:val="nil"/>
            </w:tcBorders>
            <w:vAlign w:val="bottom"/>
          </w:tcPr>
          <w:p w14:paraId="1E84060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0.337727</w:t>
            </w:r>
          </w:p>
        </w:tc>
      </w:tr>
      <w:tr w:rsidR="00C13E5A" w14:paraId="18129546" w14:textId="77777777" w:rsidTr="001C5AF5">
        <w:trPr>
          <w:trHeight w:val="307"/>
        </w:trPr>
        <w:tc>
          <w:tcPr>
            <w:tcW w:w="4956" w:type="dxa"/>
            <w:tcBorders>
              <w:top w:val="nil"/>
              <w:left w:val="nil"/>
              <w:bottom w:val="nil"/>
              <w:right w:val="nil"/>
            </w:tcBorders>
            <w:vAlign w:val="bottom"/>
          </w:tcPr>
          <w:p w14:paraId="45ECC6AA"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0.065382 + 0.331338i</w:t>
            </w:r>
          </w:p>
        </w:tc>
        <w:tc>
          <w:tcPr>
            <w:tcW w:w="3638" w:type="dxa"/>
            <w:tcBorders>
              <w:top w:val="nil"/>
              <w:left w:val="nil"/>
              <w:bottom w:val="nil"/>
              <w:right w:val="nil"/>
            </w:tcBorders>
            <w:vAlign w:val="bottom"/>
          </w:tcPr>
          <w:p w14:paraId="278E45A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0.337727</w:t>
            </w:r>
          </w:p>
        </w:tc>
      </w:tr>
      <w:tr w:rsidR="00C13E5A" w14:paraId="6569D988" w14:textId="77777777" w:rsidTr="001C5AF5">
        <w:trPr>
          <w:trHeight w:hRule="exact" w:val="123"/>
        </w:trPr>
        <w:tc>
          <w:tcPr>
            <w:tcW w:w="4956" w:type="dxa"/>
            <w:tcBorders>
              <w:top w:val="nil"/>
              <w:left w:val="nil"/>
              <w:bottom w:val="double" w:sz="6" w:space="2" w:color="auto"/>
              <w:right w:val="nil"/>
            </w:tcBorders>
            <w:vAlign w:val="bottom"/>
          </w:tcPr>
          <w:p w14:paraId="1BF5591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3638" w:type="dxa"/>
            <w:tcBorders>
              <w:top w:val="nil"/>
              <w:left w:val="nil"/>
              <w:bottom w:val="double" w:sz="6" w:space="2" w:color="auto"/>
              <w:right w:val="nil"/>
            </w:tcBorders>
            <w:vAlign w:val="bottom"/>
          </w:tcPr>
          <w:p w14:paraId="2E67F68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14E14888" w14:textId="77777777" w:rsidTr="001C5AF5">
        <w:trPr>
          <w:trHeight w:val="307"/>
        </w:trPr>
        <w:tc>
          <w:tcPr>
            <w:tcW w:w="8594" w:type="dxa"/>
            <w:gridSpan w:val="2"/>
            <w:tcBorders>
              <w:top w:val="nil"/>
              <w:left w:val="nil"/>
              <w:bottom w:val="nil"/>
              <w:right w:val="nil"/>
            </w:tcBorders>
            <w:vAlign w:val="bottom"/>
          </w:tcPr>
          <w:p w14:paraId="28CB2899"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No root lies outside the unit circle.</w:t>
            </w:r>
          </w:p>
        </w:tc>
      </w:tr>
      <w:tr w:rsidR="00C13E5A" w14:paraId="4EA496BB" w14:textId="77777777" w:rsidTr="001C5AF5">
        <w:trPr>
          <w:trHeight w:val="307"/>
        </w:trPr>
        <w:tc>
          <w:tcPr>
            <w:tcW w:w="8594" w:type="dxa"/>
            <w:gridSpan w:val="2"/>
            <w:tcBorders>
              <w:top w:val="nil"/>
              <w:left w:val="nil"/>
              <w:bottom w:val="nil"/>
              <w:right w:val="nil"/>
            </w:tcBorders>
            <w:vAlign w:val="bottom"/>
          </w:tcPr>
          <w:p w14:paraId="21A83FCE"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VAR satisfies the stability condition.</w:t>
            </w:r>
          </w:p>
        </w:tc>
      </w:tr>
    </w:tbl>
    <w:p w14:paraId="1B37560F" w14:textId="77777777" w:rsidR="00E65149" w:rsidRDefault="00E65149" w:rsidP="00C13E5A">
      <w:pPr>
        <w:rPr>
          <w:b/>
        </w:rPr>
      </w:pPr>
    </w:p>
    <w:p w14:paraId="34ED33EC" w14:textId="77777777" w:rsidR="00C13E5A" w:rsidRDefault="00C13E5A" w:rsidP="00C13E5A">
      <w:pPr>
        <w:rPr>
          <w:rFonts w:ascii="Arial" w:hAnsi="Arial" w:cs="Arial"/>
          <w:sz w:val="18"/>
          <w:szCs w:val="18"/>
        </w:rPr>
      </w:pPr>
      <w:r w:rsidRPr="00861080">
        <w:rPr>
          <w:b/>
        </w:rPr>
        <w:lastRenderedPageBreak/>
        <w:t xml:space="preserve">Table </w:t>
      </w:r>
      <w:r>
        <w:rPr>
          <w:b/>
        </w:rPr>
        <w:t>6: Lag length criteria</w:t>
      </w:r>
    </w:p>
    <w:tbl>
      <w:tblPr>
        <w:tblW w:w="0" w:type="auto"/>
        <w:tblInd w:w="30" w:type="dxa"/>
        <w:tblLayout w:type="fixed"/>
        <w:tblCellMar>
          <w:left w:w="0" w:type="dxa"/>
          <w:right w:w="0" w:type="dxa"/>
        </w:tblCellMar>
        <w:tblLook w:val="0000" w:firstRow="0" w:lastRow="0" w:firstColumn="0" w:lastColumn="0" w:noHBand="0" w:noVBand="0"/>
      </w:tblPr>
      <w:tblGrid>
        <w:gridCol w:w="862"/>
        <w:gridCol w:w="1313"/>
        <w:gridCol w:w="1312"/>
        <w:gridCol w:w="1313"/>
        <w:gridCol w:w="1312"/>
        <w:gridCol w:w="1313"/>
        <w:gridCol w:w="1312"/>
      </w:tblGrid>
      <w:tr w:rsidR="00C13E5A" w14:paraId="5C676963" w14:textId="77777777" w:rsidTr="001C5AF5">
        <w:trPr>
          <w:trHeight w:hRule="exact" w:val="90"/>
        </w:trPr>
        <w:tc>
          <w:tcPr>
            <w:tcW w:w="862" w:type="dxa"/>
            <w:tcBorders>
              <w:top w:val="nil"/>
              <w:left w:val="nil"/>
              <w:bottom w:val="double" w:sz="6" w:space="2" w:color="auto"/>
              <w:right w:val="nil"/>
            </w:tcBorders>
            <w:vAlign w:val="bottom"/>
          </w:tcPr>
          <w:p w14:paraId="0AEDC09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5E027B9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204BE05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19EA41F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4AF0C0A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111C659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097158C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0F0ACC2F" w14:textId="77777777" w:rsidTr="001C5AF5">
        <w:trPr>
          <w:trHeight w:hRule="exact" w:val="135"/>
        </w:trPr>
        <w:tc>
          <w:tcPr>
            <w:tcW w:w="862" w:type="dxa"/>
            <w:tcBorders>
              <w:top w:val="nil"/>
              <w:left w:val="nil"/>
              <w:bottom w:val="nil"/>
              <w:right w:val="nil"/>
            </w:tcBorders>
            <w:vAlign w:val="bottom"/>
          </w:tcPr>
          <w:p w14:paraId="0642E36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4F1B3B4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62BE614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3CA76B2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7DC6F9D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556B367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0D158E8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42F5BDF9" w14:textId="77777777" w:rsidTr="001C5AF5">
        <w:trPr>
          <w:trHeight w:val="225"/>
        </w:trPr>
        <w:tc>
          <w:tcPr>
            <w:tcW w:w="862" w:type="dxa"/>
            <w:tcBorders>
              <w:top w:val="nil"/>
              <w:left w:val="nil"/>
              <w:bottom w:val="nil"/>
              <w:right w:val="nil"/>
            </w:tcBorders>
            <w:vAlign w:val="bottom"/>
          </w:tcPr>
          <w:p w14:paraId="2C47DE7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Lag</w:t>
            </w:r>
          </w:p>
        </w:tc>
        <w:tc>
          <w:tcPr>
            <w:tcW w:w="1313" w:type="dxa"/>
            <w:tcBorders>
              <w:top w:val="nil"/>
              <w:left w:val="nil"/>
              <w:bottom w:val="nil"/>
              <w:right w:val="nil"/>
            </w:tcBorders>
            <w:vAlign w:val="bottom"/>
          </w:tcPr>
          <w:p w14:paraId="5C2D9E2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roofErr w:type="spellStart"/>
            <w:r>
              <w:rPr>
                <w:rFonts w:ascii="Arial" w:hAnsi="Arial" w:cs="Arial"/>
                <w:color w:val="000000"/>
                <w:sz w:val="18"/>
                <w:szCs w:val="18"/>
              </w:rPr>
              <w:t>LogL</w:t>
            </w:r>
            <w:proofErr w:type="spellEnd"/>
          </w:p>
        </w:tc>
        <w:tc>
          <w:tcPr>
            <w:tcW w:w="1312" w:type="dxa"/>
            <w:tcBorders>
              <w:top w:val="nil"/>
              <w:left w:val="nil"/>
              <w:bottom w:val="nil"/>
              <w:right w:val="nil"/>
            </w:tcBorders>
            <w:vAlign w:val="bottom"/>
          </w:tcPr>
          <w:p w14:paraId="5D19C0E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LR</w:t>
            </w:r>
          </w:p>
        </w:tc>
        <w:tc>
          <w:tcPr>
            <w:tcW w:w="1313" w:type="dxa"/>
            <w:tcBorders>
              <w:top w:val="nil"/>
              <w:left w:val="nil"/>
              <w:bottom w:val="nil"/>
              <w:right w:val="nil"/>
            </w:tcBorders>
            <w:vAlign w:val="bottom"/>
          </w:tcPr>
          <w:p w14:paraId="4009F2E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FPE</w:t>
            </w:r>
          </w:p>
        </w:tc>
        <w:tc>
          <w:tcPr>
            <w:tcW w:w="1312" w:type="dxa"/>
            <w:tcBorders>
              <w:top w:val="nil"/>
              <w:left w:val="nil"/>
              <w:bottom w:val="nil"/>
              <w:right w:val="nil"/>
            </w:tcBorders>
            <w:vAlign w:val="bottom"/>
          </w:tcPr>
          <w:p w14:paraId="58B835F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AIC</w:t>
            </w:r>
          </w:p>
        </w:tc>
        <w:tc>
          <w:tcPr>
            <w:tcW w:w="1313" w:type="dxa"/>
            <w:tcBorders>
              <w:top w:val="nil"/>
              <w:left w:val="nil"/>
              <w:bottom w:val="nil"/>
              <w:right w:val="nil"/>
            </w:tcBorders>
            <w:vAlign w:val="bottom"/>
          </w:tcPr>
          <w:p w14:paraId="2DFC6CA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SC</w:t>
            </w:r>
          </w:p>
        </w:tc>
        <w:tc>
          <w:tcPr>
            <w:tcW w:w="1312" w:type="dxa"/>
            <w:tcBorders>
              <w:top w:val="nil"/>
              <w:left w:val="nil"/>
              <w:bottom w:val="nil"/>
              <w:right w:val="nil"/>
            </w:tcBorders>
            <w:vAlign w:val="bottom"/>
          </w:tcPr>
          <w:p w14:paraId="47E1F80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HQ</w:t>
            </w:r>
          </w:p>
        </w:tc>
      </w:tr>
      <w:tr w:rsidR="00C13E5A" w14:paraId="6D579079" w14:textId="77777777" w:rsidTr="001C5AF5">
        <w:trPr>
          <w:trHeight w:hRule="exact" w:val="90"/>
        </w:trPr>
        <w:tc>
          <w:tcPr>
            <w:tcW w:w="862" w:type="dxa"/>
            <w:tcBorders>
              <w:top w:val="nil"/>
              <w:left w:val="nil"/>
              <w:bottom w:val="double" w:sz="6" w:space="2" w:color="auto"/>
              <w:right w:val="nil"/>
            </w:tcBorders>
            <w:vAlign w:val="bottom"/>
          </w:tcPr>
          <w:p w14:paraId="6885DC9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726C4C3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3FB5D9F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3E78954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3304955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51E334A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1467CE0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A656B0D" w14:textId="77777777" w:rsidTr="001C5AF5">
        <w:trPr>
          <w:trHeight w:hRule="exact" w:val="135"/>
        </w:trPr>
        <w:tc>
          <w:tcPr>
            <w:tcW w:w="862" w:type="dxa"/>
            <w:tcBorders>
              <w:top w:val="nil"/>
              <w:left w:val="nil"/>
              <w:bottom w:val="nil"/>
              <w:right w:val="nil"/>
            </w:tcBorders>
            <w:vAlign w:val="bottom"/>
          </w:tcPr>
          <w:p w14:paraId="534E590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7FBB6BE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5426E2B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72D38A9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3879EC4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386B073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7D016AA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548B6A0F" w14:textId="77777777" w:rsidTr="001C5AF5">
        <w:trPr>
          <w:trHeight w:val="225"/>
        </w:trPr>
        <w:tc>
          <w:tcPr>
            <w:tcW w:w="862" w:type="dxa"/>
            <w:tcBorders>
              <w:top w:val="nil"/>
              <w:left w:val="nil"/>
              <w:bottom w:val="nil"/>
              <w:right w:val="nil"/>
            </w:tcBorders>
            <w:vAlign w:val="bottom"/>
          </w:tcPr>
          <w:p w14:paraId="5FC8983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0</w:t>
            </w:r>
          </w:p>
        </w:tc>
        <w:tc>
          <w:tcPr>
            <w:tcW w:w="1313" w:type="dxa"/>
            <w:tcBorders>
              <w:top w:val="nil"/>
              <w:left w:val="nil"/>
              <w:bottom w:val="nil"/>
              <w:right w:val="nil"/>
            </w:tcBorders>
            <w:vAlign w:val="bottom"/>
          </w:tcPr>
          <w:p w14:paraId="2D84E65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-1277.170</w:t>
            </w:r>
          </w:p>
        </w:tc>
        <w:tc>
          <w:tcPr>
            <w:tcW w:w="1312" w:type="dxa"/>
            <w:tcBorders>
              <w:top w:val="nil"/>
              <w:left w:val="nil"/>
              <w:bottom w:val="nil"/>
              <w:right w:val="nil"/>
            </w:tcBorders>
            <w:vAlign w:val="bottom"/>
          </w:tcPr>
          <w:p w14:paraId="5E85D92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NA </w:t>
            </w:r>
          </w:p>
        </w:tc>
        <w:tc>
          <w:tcPr>
            <w:tcW w:w="1313" w:type="dxa"/>
            <w:tcBorders>
              <w:top w:val="nil"/>
              <w:left w:val="nil"/>
              <w:bottom w:val="nil"/>
              <w:right w:val="nil"/>
            </w:tcBorders>
            <w:vAlign w:val="bottom"/>
          </w:tcPr>
          <w:p w14:paraId="4FE8411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2.06e+13</w:t>
            </w:r>
          </w:p>
        </w:tc>
        <w:tc>
          <w:tcPr>
            <w:tcW w:w="1312" w:type="dxa"/>
            <w:tcBorders>
              <w:top w:val="nil"/>
              <w:left w:val="nil"/>
              <w:bottom w:val="nil"/>
              <w:right w:val="nil"/>
            </w:tcBorders>
            <w:vAlign w:val="bottom"/>
          </w:tcPr>
          <w:p w14:paraId="1C16421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42.00556</w:t>
            </w:r>
          </w:p>
        </w:tc>
        <w:tc>
          <w:tcPr>
            <w:tcW w:w="1313" w:type="dxa"/>
            <w:tcBorders>
              <w:top w:val="nil"/>
              <w:left w:val="nil"/>
              <w:bottom w:val="nil"/>
              <w:right w:val="nil"/>
            </w:tcBorders>
            <w:vAlign w:val="bottom"/>
          </w:tcPr>
          <w:p w14:paraId="1CF11B75" w14:textId="77777777" w:rsidR="00C13E5A" w:rsidRPr="006B4822" w:rsidRDefault="00C13E5A" w:rsidP="001C5AF5">
            <w:pPr>
              <w:autoSpaceDE w:val="0"/>
              <w:autoSpaceDN w:val="0"/>
              <w:adjustRightInd w:val="0"/>
              <w:spacing w:line="240" w:lineRule="auto"/>
              <w:jc w:val="center"/>
              <w:rPr>
                <w:rFonts w:ascii="Arial" w:hAnsi="Arial" w:cs="Arial"/>
                <w:b/>
                <w:color w:val="000000"/>
                <w:sz w:val="18"/>
                <w:szCs w:val="18"/>
              </w:rPr>
            </w:pPr>
            <w:r w:rsidRPr="006B4822">
              <w:rPr>
                <w:rFonts w:ascii="Arial" w:hAnsi="Arial" w:cs="Arial"/>
                <w:b/>
                <w:color w:val="000000"/>
                <w:sz w:val="18"/>
                <w:szCs w:val="18"/>
              </w:rPr>
              <w:t>  42.14398*</w:t>
            </w:r>
          </w:p>
        </w:tc>
        <w:tc>
          <w:tcPr>
            <w:tcW w:w="1312" w:type="dxa"/>
            <w:tcBorders>
              <w:top w:val="nil"/>
              <w:left w:val="nil"/>
              <w:bottom w:val="nil"/>
              <w:right w:val="nil"/>
            </w:tcBorders>
            <w:vAlign w:val="bottom"/>
          </w:tcPr>
          <w:p w14:paraId="68B7217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42.05981</w:t>
            </w:r>
          </w:p>
        </w:tc>
      </w:tr>
      <w:tr w:rsidR="00C13E5A" w14:paraId="2238F844" w14:textId="77777777" w:rsidTr="001C5AF5">
        <w:trPr>
          <w:trHeight w:val="225"/>
        </w:trPr>
        <w:tc>
          <w:tcPr>
            <w:tcW w:w="862" w:type="dxa"/>
            <w:tcBorders>
              <w:top w:val="nil"/>
              <w:left w:val="nil"/>
              <w:bottom w:val="nil"/>
              <w:right w:val="nil"/>
            </w:tcBorders>
            <w:vAlign w:val="bottom"/>
          </w:tcPr>
          <w:p w14:paraId="0370922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w:t>
            </w:r>
          </w:p>
        </w:tc>
        <w:tc>
          <w:tcPr>
            <w:tcW w:w="1313" w:type="dxa"/>
            <w:tcBorders>
              <w:top w:val="nil"/>
              <w:left w:val="nil"/>
              <w:bottom w:val="nil"/>
              <w:right w:val="nil"/>
            </w:tcBorders>
            <w:vAlign w:val="bottom"/>
          </w:tcPr>
          <w:p w14:paraId="10A3875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-1245.050</w:t>
            </w:r>
          </w:p>
        </w:tc>
        <w:tc>
          <w:tcPr>
            <w:tcW w:w="1312" w:type="dxa"/>
            <w:tcBorders>
              <w:top w:val="nil"/>
              <w:left w:val="nil"/>
              <w:bottom w:val="nil"/>
              <w:right w:val="nil"/>
            </w:tcBorders>
            <w:vAlign w:val="bottom"/>
          </w:tcPr>
          <w:p w14:paraId="6C8BA550" w14:textId="77777777" w:rsidR="00C13E5A" w:rsidRPr="006B4822" w:rsidRDefault="00C13E5A" w:rsidP="001C5AF5">
            <w:pPr>
              <w:autoSpaceDE w:val="0"/>
              <w:autoSpaceDN w:val="0"/>
              <w:adjustRightInd w:val="0"/>
              <w:spacing w:line="240" w:lineRule="auto"/>
              <w:jc w:val="center"/>
              <w:rPr>
                <w:rFonts w:ascii="Arial" w:hAnsi="Arial" w:cs="Arial"/>
                <w:b/>
                <w:color w:val="000000"/>
                <w:sz w:val="18"/>
                <w:szCs w:val="18"/>
              </w:rPr>
            </w:pPr>
            <w:r w:rsidRPr="006B4822">
              <w:rPr>
                <w:rFonts w:ascii="Arial" w:hAnsi="Arial" w:cs="Arial"/>
                <w:b/>
                <w:color w:val="000000"/>
                <w:sz w:val="18"/>
                <w:szCs w:val="18"/>
              </w:rPr>
              <w:t>  58.97331*</w:t>
            </w:r>
          </w:p>
        </w:tc>
        <w:tc>
          <w:tcPr>
            <w:tcW w:w="1313" w:type="dxa"/>
            <w:tcBorders>
              <w:top w:val="nil"/>
              <w:left w:val="nil"/>
              <w:bottom w:val="nil"/>
              <w:right w:val="nil"/>
            </w:tcBorders>
            <w:vAlign w:val="bottom"/>
          </w:tcPr>
          <w:p w14:paraId="4451DB4F" w14:textId="77777777" w:rsidR="00C13E5A" w:rsidRPr="006B4822" w:rsidRDefault="00C13E5A" w:rsidP="001C5AF5">
            <w:pPr>
              <w:autoSpaceDE w:val="0"/>
              <w:autoSpaceDN w:val="0"/>
              <w:adjustRightInd w:val="0"/>
              <w:spacing w:line="240" w:lineRule="auto"/>
              <w:jc w:val="center"/>
              <w:rPr>
                <w:rFonts w:ascii="Arial" w:hAnsi="Arial" w:cs="Arial"/>
                <w:b/>
                <w:color w:val="000000"/>
                <w:sz w:val="18"/>
                <w:szCs w:val="18"/>
              </w:rPr>
            </w:pPr>
            <w:r w:rsidRPr="006B4822">
              <w:rPr>
                <w:rFonts w:ascii="Arial" w:hAnsi="Arial" w:cs="Arial"/>
                <w:b/>
                <w:color w:val="000000"/>
                <w:sz w:val="18"/>
                <w:szCs w:val="18"/>
              </w:rPr>
              <w:t>  1.21e+13*</w:t>
            </w:r>
          </w:p>
        </w:tc>
        <w:tc>
          <w:tcPr>
            <w:tcW w:w="1312" w:type="dxa"/>
            <w:tcBorders>
              <w:top w:val="nil"/>
              <w:left w:val="nil"/>
              <w:bottom w:val="nil"/>
              <w:right w:val="nil"/>
            </w:tcBorders>
            <w:vAlign w:val="bottom"/>
          </w:tcPr>
          <w:p w14:paraId="1357393F" w14:textId="77777777" w:rsidR="00C13E5A" w:rsidRPr="006B4822" w:rsidRDefault="00C13E5A" w:rsidP="001C5AF5">
            <w:pPr>
              <w:autoSpaceDE w:val="0"/>
              <w:autoSpaceDN w:val="0"/>
              <w:adjustRightInd w:val="0"/>
              <w:spacing w:line="240" w:lineRule="auto"/>
              <w:jc w:val="center"/>
              <w:rPr>
                <w:rFonts w:ascii="Arial" w:hAnsi="Arial" w:cs="Arial"/>
                <w:b/>
                <w:color w:val="000000"/>
                <w:sz w:val="18"/>
                <w:szCs w:val="18"/>
              </w:rPr>
            </w:pPr>
            <w:r w:rsidRPr="006B4822">
              <w:rPr>
                <w:rFonts w:ascii="Arial" w:hAnsi="Arial" w:cs="Arial"/>
                <w:b/>
                <w:color w:val="000000"/>
                <w:sz w:val="18"/>
                <w:szCs w:val="18"/>
              </w:rPr>
              <w:t>  41.47706*</w:t>
            </w:r>
          </w:p>
        </w:tc>
        <w:tc>
          <w:tcPr>
            <w:tcW w:w="1313" w:type="dxa"/>
            <w:tcBorders>
              <w:top w:val="nil"/>
              <w:left w:val="nil"/>
              <w:bottom w:val="nil"/>
              <w:right w:val="nil"/>
            </w:tcBorders>
            <w:vAlign w:val="bottom"/>
          </w:tcPr>
          <w:p w14:paraId="143BEDA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42.16915</w:t>
            </w:r>
          </w:p>
        </w:tc>
        <w:tc>
          <w:tcPr>
            <w:tcW w:w="1312" w:type="dxa"/>
            <w:tcBorders>
              <w:top w:val="nil"/>
              <w:left w:val="nil"/>
              <w:bottom w:val="nil"/>
              <w:right w:val="nil"/>
            </w:tcBorders>
            <w:vAlign w:val="bottom"/>
          </w:tcPr>
          <w:p w14:paraId="5A199369" w14:textId="77777777" w:rsidR="00C13E5A" w:rsidRPr="006B4822" w:rsidRDefault="00C13E5A" w:rsidP="001C5AF5">
            <w:pPr>
              <w:autoSpaceDE w:val="0"/>
              <w:autoSpaceDN w:val="0"/>
              <w:adjustRightInd w:val="0"/>
              <w:spacing w:line="240" w:lineRule="auto"/>
              <w:jc w:val="center"/>
              <w:rPr>
                <w:rFonts w:ascii="Arial" w:hAnsi="Arial" w:cs="Arial"/>
                <w:b/>
                <w:color w:val="000000"/>
                <w:sz w:val="18"/>
                <w:szCs w:val="18"/>
              </w:rPr>
            </w:pPr>
            <w:r>
              <w:rPr>
                <w:rFonts w:ascii="Arial" w:hAnsi="Arial" w:cs="Arial"/>
                <w:color w:val="000000"/>
                <w:sz w:val="18"/>
                <w:szCs w:val="18"/>
              </w:rPr>
              <w:t>  </w:t>
            </w:r>
            <w:r w:rsidRPr="006B4822">
              <w:rPr>
                <w:rFonts w:ascii="Arial" w:hAnsi="Arial" w:cs="Arial"/>
                <w:b/>
                <w:color w:val="000000"/>
                <w:sz w:val="18"/>
                <w:szCs w:val="18"/>
              </w:rPr>
              <w:t>41.74829*</w:t>
            </w:r>
          </w:p>
        </w:tc>
      </w:tr>
      <w:tr w:rsidR="00C13E5A" w14:paraId="12E27776" w14:textId="77777777" w:rsidTr="001C5AF5">
        <w:trPr>
          <w:trHeight w:val="225"/>
        </w:trPr>
        <w:tc>
          <w:tcPr>
            <w:tcW w:w="862" w:type="dxa"/>
            <w:tcBorders>
              <w:top w:val="nil"/>
              <w:left w:val="nil"/>
              <w:bottom w:val="nil"/>
              <w:right w:val="nil"/>
            </w:tcBorders>
            <w:vAlign w:val="bottom"/>
          </w:tcPr>
          <w:p w14:paraId="7E99095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2</w:t>
            </w:r>
          </w:p>
        </w:tc>
        <w:tc>
          <w:tcPr>
            <w:tcW w:w="1313" w:type="dxa"/>
            <w:tcBorders>
              <w:top w:val="nil"/>
              <w:left w:val="nil"/>
              <w:bottom w:val="nil"/>
              <w:right w:val="nil"/>
            </w:tcBorders>
            <w:vAlign w:val="bottom"/>
          </w:tcPr>
          <w:p w14:paraId="50092B9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-1231.718</w:t>
            </w:r>
          </w:p>
        </w:tc>
        <w:tc>
          <w:tcPr>
            <w:tcW w:w="1312" w:type="dxa"/>
            <w:tcBorders>
              <w:top w:val="nil"/>
              <w:left w:val="nil"/>
              <w:bottom w:val="nil"/>
              <w:right w:val="nil"/>
            </w:tcBorders>
            <w:vAlign w:val="bottom"/>
          </w:tcPr>
          <w:p w14:paraId="0ADB4FE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22.73018</w:t>
            </w:r>
          </w:p>
        </w:tc>
        <w:tc>
          <w:tcPr>
            <w:tcW w:w="1313" w:type="dxa"/>
            <w:tcBorders>
              <w:top w:val="nil"/>
              <w:left w:val="nil"/>
              <w:bottom w:val="nil"/>
              <w:right w:val="nil"/>
            </w:tcBorders>
            <w:vAlign w:val="bottom"/>
          </w:tcPr>
          <w:p w14:paraId="1A94FBE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1.33e+13</w:t>
            </w:r>
          </w:p>
        </w:tc>
        <w:tc>
          <w:tcPr>
            <w:tcW w:w="1312" w:type="dxa"/>
            <w:tcBorders>
              <w:top w:val="nil"/>
              <w:left w:val="nil"/>
              <w:bottom w:val="nil"/>
              <w:right w:val="nil"/>
            </w:tcBorders>
            <w:vAlign w:val="bottom"/>
          </w:tcPr>
          <w:p w14:paraId="609196F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41.56453</w:t>
            </w:r>
          </w:p>
        </w:tc>
        <w:tc>
          <w:tcPr>
            <w:tcW w:w="1313" w:type="dxa"/>
            <w:tcBorders>
              <w:top w:val="nil"/>
              <w:left w:val="nil"/>
              <w:bottom w:val="nil"/>
              <w:right w:val="nil"/>
            </w:tcBorders>
            <w:vAlign w:val="bottom"/>
          </w:tcPr>
          <w:p w14:paraId="4C59D38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42.81029</w:t>
            </w:r>
          </w:p>
        </w:tc>
        <w:tc>
          <w:tcPr>
            <w:tcW w:w="1312" w:type="dxa"/>
            <w:tcBorders>
              <w:top w:val="nil"/>
              <w:left w:val="nil"/>
              <w:bottom w:val="nil"/>
              <w:right w:val="nil"/>
            </w:tcBorders>
            <w:vAlign w:val="bottom"/>
          </w:tcPr>
          <w:p w14:paraId="2D14D2A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42.05275</w:t>
            </w:r>
          </w:p>
        </w:tc>
      </w:tr>
      <w:tr w:rsidR="00C13E5A" w14:paraId="6405128D" w14:textId="77777777" w:rsidTr="001C5AF5">
        <w:trPr>
          <w:trHeight w:val="225"/>
        </w:trPr>
        <w:tc>
          <w:tcPr>
            <w:tcW w:w="862" w:type="dxa"/>
            <w:tcBorders>
              <w:top w:val="nil"/>
              <w:left w:val="nil"/>
              <w:bottom w:val="nil"/>
              <w:right w:val="nil"/>
            </w:tcBorders>
            <w:vAlign w:val="bottom"/>
          </w:tcPr>
          <w:p w14:paraId="150DAA1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3</w:t>
            </w:r>
          </w:p>
        </w:tc>
        <w:tc>
          <w:tcPr>
            <w:tcW w:w="1313" w:type="dxa"/>
            <w:tcBorders>
              <w:top w:val="nil"/>
              <w:left w:val="nil"/>
              <w:bottom w:val="nil"/>
              <w:right w:val="nil"/>
            </w:tcBorders>
            <w:vAlign w:val="bottom"/>
          </w:tcPr>
          <w:p w14:paraId="4842B4A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-1219.083</w:t>
            </w:r>
          </w:p>
        </w:tc>
        <w:tc>
          <w:tcPr>
            <w:tcW w:w="1312" w:type="dxa"/>
            <w:tcBorders>
              <w:top w:val="nil"/>
              <w:left w:val="nil"/>
              <w:bottom w:val="nil"/>
              <w:right w:val="nil"/>
            </w:tcBorders>
            <w:vAlign w:val="bottom"/>
          </w:tcPr>
          <w:p w14:paraId="4219606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19.88451</w:t>
            </w:r>
          </w:p>
        </w:tc>
        <w:tc>
          <w:tcPr>
            <w:tcW w:w="1313" w:type="dxa"/>
            <w:tcBorders>
              <w:top w:val="nil"/>
              <w:left w:val="nil"/>
              <w:bottom w:val="nil"/>
              <w:right w:val="nil"/>
            </w:tcBorders>
            <w:vAlign w:val="bottom"/>
          </w:tcPr>
          <w:p w14:paraId="629350C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1.52e+13</w:t>
            </w:r>
          </w:p>
        </w:tc>
        <w:tc>
          <w:tcPr>
            <w:tcW w:w="1312" w:type="dxa"/>
            <w:tcBorders>
              <w:top w:val="nil"/>
              <w:left w:val="nil"/>
              <w:bottom w:val="nil"/>
              <w:right w:val="nil"/>
            </w:tcBorders>
            <w:vAlign w:val="bottom"/>
          </w:tcPr>
          <w:p w14:paraId="488F304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41.67486</w:t>
            </w:r>
          </w:p>
        </w:tc>
        <w:tc>
          <w:tcPr>
            <w:tcW w:w="1313" w:type="dxa"/>
            <w:tcBorders>
              <w:top w:val="nil"/>
              <w:left w:val="nil"/>
              <w:bottom w:val="nil"/>
              <w:right w:val="nil"/>
            </w:tcBorders>
            <w:vAlign w:val="bottom"/>
          </w:tcPr>
          <w:p w14:paraId="383BAD9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43.47429</w:t>
            </w:r>
          </w:p>
        </w:tc>
        <w:tc>
          <w:tcPr>
            <w:tcW w:w="1312" w:type="dxa"/>
            <w:tcBorders>
              <w:top w:val="nil"/>
              <w:left w:val="nil"/>
              <w:bottom w:val="nil"/>
              <w:right w:val="nil"/>
            </w:tcBorders>
            <w:vAlign w:val="bottom"/>
          </w:tcPr>
          <w:p w14:paraId="647E801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42.38007</w:t>
            </w:r>
          </w:p>
        </w:tc>
      </w:tr>
      <w:tr w:rsidR="00C13E5A" w14:paraId="497A4408" w14:textId="77777777" w:rsidTr="001C5AF5">
        <w:trPr>
          <w:trHeight w:val="225"/>
        </w:trPr>
        <w:tc>
          <w:tcPr>
            <w:tcW w:w="862" w:type="dxa"/>
            <w:tcBorders>
              <w:top w:val="nil"/>
              <w:left w:val="nil"/>
              <w:bottom w:val="nil"/>
              <w:right w:val="nil"/>
            </w:tcBorders>
            <w:vAlign w:val="bottom"/>
          </w:tcPr>
          <w:p w14:paraId="31A5926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4</w:t>
            </w:r>
          </w:p>
        </w:tc>
        <w:tc>
          <w:tcPr>
            <w:tcW w:w="1313" w:type="dxa"/>
            <w:tcBorders>
              <w:top w:val="nil"/>
              <w:left w:val="nil"/>
              <w:bottom w:val="nil"/>
              <w:right w:val="nil"/>
            </w:tcBorders>
            <w:vAlign w:val="bottom"/>
          </w:tcPr>
          <w:p w14:paraId="37EE317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-1207.403</w:t>
            </w:r>
          </w:p>
        </w:tc>
        <w:tc>
          <w:tcPr>
            <w:tcW w:w="1312" w:type="dxa"/>
            <w:tcBorders>
              <w:top w:val="nil"/>
              <w:left w:val="nil"/>
              <w:bottom w:val="nil"/>
              <w:right w:val="nil"/>
            </w:tcBorders>
            <w:vAlign w:val="bottom"/>
          </w:tcPr>
          <w:p w14:paraId="47EC76F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16.84974</w:t>
            </w:r>
          </w:p>
        </w:tc>
        <w:tc>
          <w:tcPr>
            <w:tcW w:w="1313" w:type="dxa"/>
            <w:tcBorders>
              <w:top w:val="nil"/>
              <w:left w:val="nil"/>
              <w:bottom w:val="nil"/>
              <w:right w:val="nil"/>
            </w:tcBorders>
            <w:vAlign w:val="bottom"/>
          </w:tcPr>
          <w:p w14:paraId="559D190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1.81e+13</w:t>
            </w:r>
          </w:p>
        </w:tc>
        <w:tc>
          <w:tcPr>
            <w:tcW w:w="1312" w:type="dxa"/>
            <w:tcBorders>
              <w:top w:val="nil"/>
              <w:left w:val="nil"/>
              <w:bottom w:val="nil"/>
              <w:right w:val="nil"/>
            </w:tcBorders>
            <w:vAlign w:val="bottom"/>
          </w:tcPr>
          <w:p w14:paraId="06D5207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41.81650</w:t>
            </w:r>
          </w:p>
        </w:tc>
        <w:tc>
          <w:tcPr>
            <w:tcW w:w="1313" w:type="dxa"/>
            <w:tcBorders>
              <w:top w:val="nil"/>
              <w:left w:val="nil"/>
              <w:bottom w:val="nil"/>
              <w:right w:val="nil"/>
            </w:tcBorders>
            <w:vAlign w:val="bottom"/>
          </w:tcPr>
          <w:p w14:paraId="394A6A2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44.16961</w:t>
            </w:r>
          </w:p>
        </w:tc>
        <w:tc>
          <w:tcPr>
            <w:tcW w:w="1312" w:type="dxa"/>
            <w:tcBorders>
              <w:top w:val="nil"/>
              <w:left w:val="nil"/>
              <w:bottom w:val="nil"/>
              <w:right w:val="nil"/>
            </w:tcBorders>
            <w:vAlign w:val="bottom"/>
          </w:tcPr>
          <w:p w14:paraId="76D7A24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42.73870</w:t>
            </w:r>
          </w:p>
        </w:tc>
      </w:tr>
      <w:tr w:rsidR="00C13E5A" w14:paraId="026D851F" w14:textId="77777777" w:rsidTr="001C5AF5">
        <w:trPr>
          <w:trHeight w:val="225"/>
        </w:trPr>
        <w:tc>
          <w:tcPr>
            <w:tcW w:w="862" w:type="dxa"/>
            <w:tcBorders>
              <w:top w:val="nil"/>
              <w:left w:val="nil"/>
              <w:bottom w:val="nil"/>
              <w:right w:val="nil"/>
            </w:tcBorders>
            <w:vAlign w:val="bottom"/>
          </w:tcPr>
          <w:p w14:paraId="7290BBA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5</w:t>
            </w:r>
          </w:p>
        </w:tc>
        <w:tc>
          <w:tcPr>
            <w:tcW w:w="1313" w:type="dxa"/>
            <w:tcBorders>
              <w:top w:val="nil"/>
              <w:left w:val="nil"/>
              <w:bottom w:val="nil"/>
              <w:right w:val="nil"/>
            </w:tcBorders>
            <w:vAlign w:val="bottom"/>
          </w:tcPr>
          <w:p w14:paraId="357BB9D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-1188.080</w:t>
            </w:r>
          </w:p>
        </w:tc>
        <w:tc>
          <w:tcPr>
            <w:tcW w:w="1312" w:type="dxa"/>
            <w:tcBorders>
              <w:top w:val="nil"/>
              <w:left w:val="nil"/>
              <w:bottom w:val="nil"/>
              <w:right w:val="nil"/>
            </w:tcBorders>
            <w:vAlign w:val="bottom"/>
          </w:tcPr>
          <w:p w14:paraId="6695C56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25.34247</w:t>
            </w:r>
          </w:p>
        </w:tc>
        <w:tc>
          <w:tcPr>
            <w:tcW w:w="1313" w:type="dxa"/>
            <w:tcBorders>
              <w:top w:val="nil"/>
              <w:left w:val="nil"/>
              <w:bottom w:val="nil"/>
              <w:right w:val="nil"/>
            </w:tcBorders>
            <w:vAlign w:val="bottom"/>
          </w:tcPr>
          <w:p w14:paraId="1AC3A94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1.72e+13</w:t>
            </w:r>
          </w:p>
        </w:tc>
        <w:tc>
          <w:tcPr>
            <w:tcW w:w="1312" w:type="dxa"/>
            <w:tcBorders>
              <w:top w:val="nil"/>
              <w:left w:val="nil"/>
              <w:bottom w:val="nil"/>
              <w:right w:val="nil"/>
            </w:tcBorders>
            <w:vAlign w:val="bottom"/>
          </w:tcPr>
          <w:p w14:paraId="5F42225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41.70753</w:t>
            </w:r>
          </w:p>
        </w:tc>
        <w:tc>
          <w:tcPr>
            <w:tcW w:w="1313" w:type="dxa"/>
            <w:tcBorders>
              <w:top w:val="nil"/>
              <w:left w:val="nil"/>
              <w:bottom w:val="nil"/>
              <w:right w:val="nil"/>
            </w:tcBorders>
            <w:vAlign w:val="bottom"/>
          </w:tcPr>
          <w:p w14:paraId="072B849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44.61431</w:t>
            </w:r>
          </w:p>
        </w:tc>
        <w:tc>
          <w:tcPr>
            <w:tcW w:w="1312" w:type="dxa"/>
            <w:tcBorders>
              <w:top w:val="nil"/>
              <w:left w:val="nil"/>
              <w:bottom w:val="nil"/>
              <w:right w:val="nil"/>
            </w:tcBorders>
            <w:vAlign w:val="bottom"/>
          </w:tcPr>
          <w:p w14:paraId="2B8AAF2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42.84672</w:t>
            </w:r>
          </w:p>
        </w:tc>
      </w:tr>
      <w:tr w:rsidR="00C13E5A" w14:paraId="0E972BBB" w14:textId="77777777" w:rsidTr="001C5AF5">
        <w:trPr>
          <w:trHeight w:hRule="exact" w:val="90"/>
        </w:trPr>
        <w:tc>
          <w:tcPr>
            <w:tcW w:w="862" w:type="dxa"/>
            <w:tcBorders>
              <w:top w:val="nil"/>
              <w:left w:val="nil"/>
              <w:bottom w:val="double" w:sz="6" w:space="2" w:color="auto"/>
              <w:right w:val="nil"/>
            </w:tcBorders>
            <w:vAlign w:val="bottom"/>
          </w:tcPr>
          <w:p w14:paraId="3E989A9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7F6FE37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0275E45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7FC663C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78EEB8A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792E32F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7C66CB6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B41964C" w14:textId="77777777" w:rsidTr="001C5AF5">
        <w:trPr>
          <w:trHeight w:hRule="exact" w:val="135"/>
        </w:trPr>
        <w:tc>
          <w:tcPr>
            <w:tcW w:w="862" w:type="dxa"/>
            <w:tcBorders>
              <w:top w:val="nil"/>
              <w:left w:val="nil"/>
              <w:bottom w:val="nil"/>
              <w:right w:val="nil"/>
            </w:tcBorders>
            <w:vAlign w:val="bottom"/>
          </w:tcPr>
          <w:p w14:paraId="587566A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2AEFAD3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47D6138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7AB8842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13B3938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6B2F928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1B1477B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bl>
    <w:p w14:paraId="1E2FD441" w14:textId="77777777" w:rsidR="00C13E5A" w:rsidRPr="00CA0A0F" w:rsidRDefault="00C13E5A" w:rsidP="00C13E5A">
      <w:pPr>
        <w:jc w:val="both"/>
        <w:rPr>
          <w:b/>
        </w:rPr>
      </w:pPr>
      <w:r w:rsidRPr="00861080">
        <w:rPr>
          <w:b/>
        </w:rPr>
        <w:t xml:space="preserve">Table </w:t>
      </w:r>
      <w:r>
        <w:rPr>
          <w:b/>
        </w:rPr>
        <w:t>7: Autocorrelation LM test for the residuals</w:t>
      </w:r>
    </w:p>
    <w:tbl>
      <w:tblPr>
        <w:tblW w:w="0" w:type="auto"/>
        <w:tblInd w:w="30" w:type="dxa"/>
        <w:tblLayout w:type="fixed"/>
        <w:tblCellMar>
          <w:left w:w="0" w:type="dxa"/>
          <w:right w:w="0" w:type="dxa"/>
        </w:tblCellMar>
        <w:tblLook w:val="0000" w:firstRow="0" w:lastRow="0" w:firstColumn="0" w:lastColumn="0" w:noHBand="0" w:noVBand="0"/>
      </w:tblPr>
      <w:tblGrid>
        <w:gridCol w:w="1395"/>
        <w:gridCol w:w="2124"/>
        <w:gridCol w:w="2123"/>
      </w:tblGrid>
      <w:tr w:rsidR="00C13E5A" w14:paraId="0226B435" w14:textId="77777777" w:rsidTr="001C5AF5">
        <w:trPr>
          <w:trHeight w:val="330"/>
        </w:trPr>
        <w:tc>
          <w:tcPr>
            <w:tcW w:w="1395" w:type="dxa"/>
            <w:tcBorders>
              <w:top w:val="nil"/>
              <w:left w:val="nil"/>
              <w:bottom w:val="nil"/>
              <w:right w:val="nil"/>
            </w:tcBorders>
            <w:vAlign w:val="bottom"/>
          </w:tcPr>
          <w:p w14:paraId="2BEE71C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Lags</w:t>
            </w:r>
          </w:p>
        </w:tc>
        <w:tc>
          <w:tcPr>
            <w:tcW w:w="2124" w:type="dxa"/>
            <w:tcBorders>
              <w:top w:val="nil"/>
              <w:left w:val="nil"/>
              <w:bottom w:val="nil"/>
              <w:right w:val="nil"/>
            </w:tcBorders>
            <w:vAlign w:val="bottom"/>
          </w:tcPr>
          <w:p w14:paraId="75904AB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LM-Stat</w:t>
            </w:r>
          </w:p>
        </w:tc>
        <w:tc>
          <w:tcPr>
            <w:tcW w:w="2123" w:type="dxa"/>
            <w:tcBorders>
              <w:top w:val="nil"/>
              <w:left w:val="nil"/>
              <w:bottom w:val="nil"/>
              <w:right w:val="nil"/>
            </w:tcBorders>
            <w:vAlign w:val="bottom"/>
          </w:tcPr>
          <w:p w14:paraId="3B8F43B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roofErr w:type="spellStart"/>
            <w:r>
              <w:rPr>
                <w:rFonts w:ascii="Arial" w:hAnsi="Arial" w:cs="Arial"/>
                <w:color w:val="000000"/>
                <w:sz w:val="18"/>
                <w:szCs w:val="18"/>
              </w:rPr>
              <w:t>Prob</w:t>
            </w:r>
            <w:proofErr w:type="spellEnd"/>
          </w:p>
        </w:tc>
      </w:tr>
      <w:tr w:rsidR="00C13E5A" w14:paraId="68837857" w14:textId="77777777" w:rsidTr="001C5AF5">
        <w:trPr>
          <w:trHeight w:hRule="exact" w:val="132"/>
        </w:trPr>
        <w:tc>
          <w:tcPr>
            <w:tcW w:w="1395" w:type="dxa"/>
            <w:tcBorders>
              <w:top w:val="nil"/>
              <w:left w:val="nil"/>
              <w:bottom w:val="double" w:sz="6" w:space="2" w:color="auto"/>
              <w:right w:val="nil"/>
            </w:tcBorders>
            <w:vAlign w:val="bottom"/>
          </w:tcPr>
          <w:p w14:paraId="21DC031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2124" w:type="dxa"/>
            <w:tcBorders>
              <w:top w:val="nil"/>
              <w:left w:val="nil"/>
              <w:bottom w:val="double" w:sz="6" w:space="2" w:color="auto"/>
              <w:right w:val="nil"/>
            </w:tcBorders>
            <w:vAlign w:val="bottom"/>
          </w:tcPr>
          <w:p w14:paraId="1070294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2123" w:type="dxa"/>
            <w:tcBorders>
              <w:top w:val="nil"/>
              <w:left w:val="nil"/>
              <w:bottom w:val="double" w:sz="6" w:space="2" w:color="auto"/>
              <w:right w:val="nil"/>
            </w:tcBorders>
            <w:vAlign w:val="bottom"/>
          </w:tcPr>
          <w:p w14:paraId="39ED87E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D392CDE" w14:textId="77777777" w:rsidTr="001C5AF5">
        <w:trPr>
          <w:trHeight w:hRule="exact" w:val="198"/>
        </w:trPr>
        <w:tc>
          <w:tcPr>
            <w:tcW w:w="1395" w:type="dxa"/>
            <w:tcBorders>
              <w:top w:val="nil"/>
              <w:left w:val="nil"/>
              <w:bottom w:val="nil"/>
              <w:right w:val="nil"/>
            </w:tcBorders>
            <w:vAlign w:val="bottom"/>
          </w:tcPr>
          <w:p w14:paraId="16AC902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2124" w:type="dxa"/>
            <w:tcBorders>
              <w:top w:val="nil"/>
              <w:left w:val="nil"/>
              <w:bottom w:val="nil"/>
              <w:right w:val="nil"/>
            </w:tcBorders>
            <w:vAlign w:val="bottom"/>
          </w:tcPr>
          <w:p w14:paraId="7521F26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2123" w:type="dxa"/>
            <w:tcBorders>
              <w:top w:val="nil"/>
              <w:left w:val="nil"/>
              <w:bottom w:val="nil"/>
              <w:right w:val="nil"/>
            </w:tcBorders>
            <w:vAlign w:val="bottom"/>
          </w:tcPr>
          <w:p w14:paraId="325CCD3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5EB5C1E7" w14:textId="77777777" w:rsidTr="001C5AF5">
        <w:trPr>
          <w:trHeight w:val="330"/>
        </w:trPr>
        <w:tc>
          <w:tcPr>
            <w:tcW w:w="1395" w:type="dxa"/>
            <w:tcBorders>
              <w:top w:val="nil"/>
              <w:left w:val="nil"/>
              <w:bottom w:val="nil"/>
              <w:right w:val="nil"/>
            </w:tcBorders>
            <w:vAlign w:val="bottom"/>
          </w:tcPr>
          <w:p w14:paraId="057B067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w:t>
            </w:r>
          </w:p>
        </w:tc>
        <w:tc>
          <w:tcPr>
            <w:tcW w:w="2124" w:type="dxa"/>
            <w:tcBorders>
              <w:top w:val="nil"/>
              <w:left w:val="nil"/>
              <w:bottom w:val="nil"/>
              <w:right w:val="nil"/>
            </w:tcBorders>
            <w:vAlign w:val="bottom"/>
          </w:tcPr>
          <w:p w14:paraId="5BB4819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21.94030</w:t>
            </w:r>
          </w:p>
        </w:tc>
        <w:tc>
          <w:tcPr>
            <w:tcW w:w="2123" w:type="dxa"/>
            <w:tcBorders>
              <w:top w:val="nil"/>
              <w:left w:val="nil"/>
              <w:bottom w:val="nil"/>
              <w:right w:val="nil"/>
            </w:tcBorders>
            <w:vAlign w:val="bottom"/>
          </w:tcPr>
          <w:p w14:paraId="36DD313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0.1451</w:t>
            </w:r>
          </w:p>
        </w:tc>
      </w:tr>
      <w:tr w:rsidR="00C13E5A" w14:paraId="445F7210" w14:textId="77777777" w:rsidTr="001C5AF5">
        <w:trPr>
          <w:trHeight w:val="330"/>
        </w:trPr>
        <w:tc>
          <w:tcPr>
            <w:tcW w:w="1395" w:type="dxa"/>
            <w:tcBorders>
              <w:top w:val="nil"/>
              <w:left w:val="nil"/>
              <w:bottom w:val="nil"/>
              <w:right w:val="nil"/>
            </w:tcBorders>
            <w:vAlign w:val="bottom"/>
          </w:tcPr>
          <w:p w14:paraId="7DDC9A3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2</w:t>
            </w:r>
          </w:p>
        </w:tc>
        <w:tc>
          <w:tcPr>
            <w:tcW w:w="2124" w:type="dxa"/>
            <w:tcBorders>
              <w:top w:val="nil"/>
              <w:left w:val="nil"/>
              <w:bottom w:val="nil"/>
              <w:right w:val="nil"/>
            </w:tcBorders>
            <w:vAlign w:val="bottom"/>
          </w:tcPr>
          <w:p w14:paraId="13157EB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21.33813</w:t>
            </w:r>
          </w:p>
        </w:tc>
        <w:tc>
          <w:tcPr>
            <w:tcW w:w="2123" w:type="dxa"/>
            <w:tcBorders>
              <w:top w:val="nil"/>
              <w:left w:val="nil"/>
              <w:bottom w:val="nil"/>
              <w:right w:val="nil"/>
            </w:tcBorders>
            <w:vAlign w:val="bottom"/>
          </w:tcPr>
          <w:p w14:paraId="3AAAC54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0.1659</w:t>
            </w:r>
          </w:p>
        </w:tc>
      </w:tr>
      <w:tr w:rsidR="00C13E5A" w14:paraId="61CED19C" w14:textId="77777777" w:rsidTr="001C5AF5">
        <w:trPr>
          <w:trHeight w:val="330"/>
        </w:trPr>
        <w:tc>
          <w:tcPr>
            <w:tcW w:w="1395" w:type="dxa"/>
            <w:tcBorders>
              <w:top w:val="nil"/>
              <w:left w:val="nil"/>
              <w:bottom w:val="nil"/>
              <w:right w:val="nil"/>
            </w:tcBorders>
            <w:vAlign w:val="bottom"/>
          </w:tcPr>
          <w:p w14:paraId="1CA7A2E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3</w:t>
            </w:r>
          </w:p>
        </w:tc>
        <w:tc>
          <w:tcPr>
            <w:tcW w:w="2124" w:type="dxa"/>
            <w:tcBorders>
              <w:top w:val="nil"/>
              <w:left w:val="nil"/>
              <w:bottom w:val="nil"/>
              <w:right w:val="nil"/>
            </w:tcBorders>
            <w:vAlign w:val="bottom"/>
          </w:tcPr>
          <w:p w14:paraId="662188F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17.95584</w:t>
            </w:r>
          </w:p>
        </w:tc>
        <w:tc>
          <w:tcPr>
            <w:tcW w:w="2123" w:type="dxa"/>
            <w:tcBorders>
              <w:top w:val="nil"/>
              <w:left w:val="nil"/>
              <w:bottom w:val="nil"/>
              <w:right w:val="nil"/>
            </w:tcBorders>
            <w:vAlign w:val="bottom"/>
          </w:tcPr>
          <w:p w14:paraId="2F90D1D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0.3265</w:t>
            </w:r>
          </w:p>
        </w:tc>
      </w:tr>
      <w:tr w:rsidR="00C13E5A" w14:paraId="2008D607" w14:textId="77777777" w:rsidTr="001C5AF5">
        <w:trPr>
          <w:trHeight w:val="330"/>
        </w:trPr>
        <w:tc>
          <w:tcPr>
            <w:tcW w:w="1395" w:type="dxa"/>
            <w:tcBorders>
              <w:top w:val="nil"/>
              <w:left w:val="nil"/>
              <w:bottom w:val="nil"/>
              <w:right w:val="nil"/>
            </w:tcBorders>
            <w:vAlign w:val="bottom"/>
          </w:tcPr>
          <w:p w14:paraId="564C49D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4</w:t>
            </w:r>
          </w:p>
        </w:tc>
        <w:tc>
          <w:tcPr>
            <w:tcW w:w="2124" w:type="dxa"/>
            <w:tcBorders>
              <w:top w:val="nil"/>
              <w:left w:val="nil"/>
              <w:bottom w:val="nil"/>
              <w:right w:val="nil"/>
            </w:tcBorders>
            <w:vAlign w:val="bottom"/>
          </w:tcPr>
          <w:p w14:paraId="47B9230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21.55757</w:t>
            </w:r>
          </w:p>
        </w:tc>
        <w:tc>
          <w:tcPr>
            <w:tcW w:w="2123" w:type="dxa"/>
            <w:tcBorders>
              <w:top w:val="nil"/>
              <w:left w:val="nil"/>
              <w:bottom w:val="nil"/>
              <w:right w:val="nil"/>
            </w:tcBorders>
            <w:vAlign w:val="bottom"/>
          </w:tcPr>
          <w:p w14:paraId="2481BBA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0.1581</w:t>
            </w:r>
          </w:p>
        </w:tc>
      </w:tr>
      <w:tr w:rsidR="00C13E5A" w14:paraId="74EC36EE" w14:textId="77777777" w:rsidTr="001C5AF5">
        <w:trPr>
          <w:trHeight w:val="74"/>
        </w:trPr>
        <w:tc>
          <w:tcPr>
            <w:tcW w:w="1395" w:type="dxa"/>
            <w:tcBorders>
              <w:top w:val="nil"/>
              <w:left w:val="nil"/>
              <w:bottom w:val="nil"/>
              <w:right w:val="nil"/>
            </w:tcBorders>
            <w:vAlign w:val="bottom"/>
          </w:tcPr>
          <w:p w14:paraId="0E0794A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5</w:t>
            </w:r>
          </w:p>
        </w:tc>
        <w:tc>
          <w:tcPr>
            <w:tcW w:w="2124" w:type="dxa"/>
            <w:tcBorders>
              <w:top w:val="nil"/>
              <w:left w:val="nil"/>
              <w:bottom w:val="nil"/>
              <w:right w:val="nil"/>
            </w:tcBorders>
            <w:vAlign w:val="bottom"/>
          </w:tcPr>
          <w:p w14:paraId="53DE706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8.346023</w:t>
            </w:r>
          </w:p>
        </w:tc>
        <w:tc>
          <w:tcPr>
            <w:tcW w:w="2123" w:type="dxa"/>
            <w:tcBorders>
              <w:top w:val="nil"/>
              <w:left w:val="nil"/>
              <w:bottom w:val="nil"/>
              <w:right w:val="nil"/>
            </w:tcBorders>
            <w:vAlign w:val="bottom"/>
          </w:tcPr>
          <w:p w14:paraId="178C1AC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0.9379</w:t>
            </w:r>
          </w:p>
        </w:tc>
      </w:tr>
      <w:tr w:rsidR="00C13E5A" w14:paraId="1AB5777D" w14:textId="77777777" w:rsidTr="001C5AF5">
        <w:trPr>
          <w:trHeight w:hRule="exact" w:val="67"/>
        </w:trPr>
        <w:tc>
          <w:tcPr>
            <w:tcW w:w="1395" w:type="dxa"/>
            <w:tcBorders>
              <w:top w:val="nil"/>
              <w:left w:val="nil"/>
              <w:bottom w:val="double" w:sz="6" w:space="0" w:color="auto"/>
              <w:right w:val="nil"/>
            </w:tcBorders>
            <w:vAlign w:val="bottom"/>
          </w:tcPr>
          <w:p w14:paraId="2504453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2124" w:type="dxa"/>
            <w:tcBorders>
              <w:top w:val="nil"/>
              <w:left w:val="nil"/>
              <w:bottom w:val="double" w:sz="6" w:space="0" w:color="auto"/>
              <w:right w:val="nil"/>
            </w:tcBorders>
            <w:vAlign w:val="bottom"/>
          </w:tcPr>
          <w:p w14:paraId="2FE0397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2123" w:type="dxa"/>
            <w:tcBorders>
              <w:top w:val="nil"/>
              <w:left w:val="nil"/>
              <w:bottom w:val="double" w:sz="6" w:space="0" w:color="auto"/>
              <w:right w:val="nil"/>
            </w:tcBorders>
            <w:vAlign w:val="bottom"/>
          </w:tcPr>
          <w:p w14:paraId="4808F54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bl>
    <w:p w14:paraId="3EB5A4B7" w14:textId="77777777" w:rsidR="00C13E5A" w:rsidRDefault="00C13E5A" w:rsidP="00C13E5A">
      <w:pPr>
        <w:jc w:val="both"/>
        <w:rPr>
          <w:rFonts w:ascii="Arial" w:hAnsi="Arial" w:cs="Arial"/>
          <w:sz w:val="18"/>
          <w:szCs w:val="18"/>
        </w:rPr>
      </w:pPr>
      <w:r w:rsidRPr="00861080">
        <w:rPr>
          <w:b/>
        </w:rPr>
        <w:t xml:space="preserve">Table </w:t>
      </w:r>
      <w:r>
        <w:rPr>
          <w:b/>
        </w:rPr>
        <w:t xml:space="preserve">8: Residual </w:t>
      </w:r>
      <w:proofErr w:type="spellStart"/>
      <w:r>
        <w:rPr>
          <w:b/>
        </w:rPr>
        <w:t>Heteroskedasticiy</w:t>
      </w:r>
      <w:proofErr w:type="spellEnd"/>
      <w:r>
        <w:rPr>
          <w:b/>
        </w:rPr>
        <w:t xml:space="preserve"> Tests</w:t>
      </w:r>
    </w:p>
    <w:tbl>
      <w:tblPr>
        <w:tblW w:w="0" w:type="auto"/>
        <w:tblInd w:w="30" w:type="dxa"/>
        <w:tblLayout w:type="fixed"/>
        <w:tblCellMar>
          <w:left w:w="0" w:type="dxa"/>
          <w:right w:w="0" w:type="dxa"/>
        </w:tblCellMar>
        <w:tblLook w:val="0000" w:firstRow="0" w:lastRow="0" w:firstColumn="0" w:lastColumn="0" w:noHBand="0" w:noVBand="0"/>
      </w:tblPr>
      <w:tblGrid>
        <w:gridCol w:w="1282"/>
        <w:gridCol w:w="1313"/>
        <w:gridCol w:w="1312"/>
        <w:gridCol w:w="1313"/>
        <w:gridCol w:w="1312"/>
        <w:gridCol w:w="1313"/>
      </w:tblGrid>
      <w:tr w:rsidR="00C13E5A" w14:paraId="1F8A8E56" w14:textId="77777777" w:rsidTr="001C5AF5">
        <w:trPr>
          <w:trHeight w:hRule="exact" w:val="90"/>
        </w:trPr>
        <w:tc>
          <w:tcPr>
            <w:tcW w:w="1282" w:type="dxa"/>
            <w:tcBorders>
              <w:top w:val="nil"/>
              <w:left w:val="nil"/>
              <w:bottom w:val="double" w:sz="6" w:space="2" w:color="auto"/>
              <w:right w:val="nil"/>
            </w:tcBorders>
            <w:vAlign w:val="bottom"/>
          </w:tcPr>
          <w:p w14:paraId="597CE40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2745FCA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42FA470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1684499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6C06E79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5FF044C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A963581" w14:textId="77777777" w:rsidTr="001C5AF5">
        <w:trPr>
          <w:trHeight w:hRule="exact" w:val="135"/>
        </w:trPr>
        <w:tc>
          <w:tcPr>
            <w:tcW w:w="1282" w:type="dxa"/>
            <w:tcBorders>
              <w:top w:val="nil"/>
              <w:left w:val="nil"/>
              <w:bottom w:val="nil"/>
              <w:right w:val="nil"/>
            </w:tcBorders>
            <w:vAlign w:val="bottom"/>
          </w:tcPr>
          <w:p w14:paraId="2183342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4173F3B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1859748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3AD7DF4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069D227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553F5B1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A0293E7" w14:textId="77777777" w:rsidTr="001C5AF5">
        <w:trPr>
          <w:trHeight w:val="225"/>
        </w:trPr>
        <w:tc>
          <w:tcPr>
            <w:tcW w:w="2595" w:type="dxa"/>
            <w:gridSpan w:val="2"/>
            <w:tcBorders>
              <w:top w:val="nil"/>
              <w:left w:val="nil"/>
              <w:bottom w:val="nil"/>
              <w:right w:val="nil"/>
            </w:tcBorders>
            <w:vAlign w:val="bottom"/>
          </w:tcPr>
          <w:p w14:paraId="6F8F7FE2"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Joint test:</w:t>
            </w:r>
          </w:p>
        </w:tc>
        <w:tc>
          <w:tcPr>
            <w:tcW w:w="1312" w:type="dxa"/>
            <w:tcBorders>
              <w:top w:val="nil"/>
              <w:left w:val="nil"/>
              <w:bottom w:val="nil"/>
              <w:right w:val="nil"/>
            </w:tcBorders>
            <w:vAlign w:val="bottom"/>
          </w:tcPr>
          <w:p w14:paraId="6F2A023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39A35D8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4B47FFC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242B3E5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03EE2EA" w14:textId="77777777" w:rsidTr="001C5AF5">
        <w:trPr>
          <w:trHeight w:hRule="exact" w:val="90"/>
        </w:trPr>
        <w:tc>
          <w:tcPr>
            <w:tcW w:w="1282" w:type="dxa"/>
            <w:tcBorders>
              <w:top w:val="nil"/>
              <w:left w:val="nil"/>
              <w:bottom w:val="double" w:sz="6" w:space="2" w:color="auto"/>
              <w:right w:val="nil"/>
            </w:tcBorders>
            <w:vAlign w:val="bottom"/>
          </w:tcPr>
          <w:p w14:paraId="3FF0BCAA"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1182A4FF"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5C0078F1"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192C992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5EFB703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6F0BBC2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45556522" w14:textId="77777777" w:rsidTr="001C5AF5">
        <w:trPr>
          <w:trHeight w:hRule="exact" w:val="135"/>
        </w:trPr>
        <w:tc>
          <w:tcPr>
            <w:tcW w:w="1282" w:type="dxa"/>
            <w:tcBorders>
              <w:top w:val="nil"/>
              <w:left w:val="nil"/>
              <w:bottom w:val="nil"/>
              <w:right w:val="nil"/>
            </w:tcBorders>
            <w:vAlign w:val="bottom"/>
          </w:tcPr>
          <w:p w14:paraId="7793F974"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02D5DE2A"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2" w:type="dxa"/>
            <w:tcBorders>
              <w:top w:val="nil"/>
              <w:left w:val="nil"/>
              <w:bottom w:val="nil"/>
              <w:right w:val="nil"/>
            </w:tcBorders>
            <w:vAlign w:val="bottom"/>
          </w:tcPr>
          <w:p w14:paraId="61B8B105"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056BFCC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1ACC9D8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36C52CD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DAA3474" w14:textId="77777777" w:rsidTr="001C5AF5">
        <w:trPr>
          <w:trHeight w:val="225"/>
        </w:trPr>
        <w:tc>
          <w:tcPr>
            <w:tcW w:w="1282" w:type="dxa"/>
            <w:tcBorders>
              <w:top w:val="nil"/>
              <w:left w:val="nil"/>
              <w:bottom w:val="nil"/>
              <w:right w:val="nil"/>
            </w:tcBorders>
            <w:vAlign w:val="bottom"/>
          </w:tcPr>
          <w:p w14:paraId="781591F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Chi-</w:t>
            </w:r>
            <w:proofErr w:type="spellStart"/>
            <w:r>
              <w:rPr>
                <w:rFonts w:ascii="Arial" w:hAnsi="Arial" w:cs="Arial"/>
                <w:color w:val="000000"/>
                <w:sz w:val="18"/>
                <w:szCs w:val="18"/>
              </w:rPr>
              <w:t>sq</w:t>
            </w:r>
            <w:proofErr w:type="spellEnd"/>
          </w:p>
        </w:tc>
        <w:tc>
          <w:tcPr>
            <w:tcW w:w="1313" w:type="dxa"/>
            <w:tcBorders>
              <w:top w:val="nil"/>
              <w:left w:val="nil"/>
              <w:bottom w:val="nil"/>
              <w:right w:val="nil"/>
            </w:tcBorders>
            <w:vAlign w:val="bottom"/>
          </w:tcPr>
          <w:p w14:paraId="6E8D3E3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roofErr w:type="spellStart"/>
            <w:r>
              <w:rPr>
                <w:rFonts w:ascii="Arial" w:hAnsi="Arial" w:cs="Arial"/>
                <w:color w:val="000000"/>
                <w:sz w:val="18"/>
                <w:szCs w:val="18"/>
              </w:rPr>
              <w:t>df</w:t>
            </w:r>
            <w:proofErr w:type="spellEnd"/>
          </w:p>
        </w:tc>
        <w:tc>
          <w:tcPr>
            <w:tcW w:w="1312" w:type="dxa"/>
            <w:tcBorders>
              <w:top w:val="nil"/>
              <w:left w:val="nil"/>
              <w:bottom w:val="nil"/>
              <w:right w:val="nil"/>
            </w:tcBorders>
            <w:vAlign w:val="bottom"/>
          </w:tcPr>
          <w:p w14:paraId="3B98B87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Prob.</w:t>
            </w:r>
          </w:p>
        </w:tc>
        <w:tc>
          <w:tcPr>
            <w:tcW w:w="1313" w:type="dxa"/>
            <w:tcBorders>
              <w:top w:val="nil"/>
              <w:left w:val="nil"/>
              <w:bottom w:val="nil"/>
              <w:right w:val="nil"/>
            </w:tcBorders>
            <w:vAlign w:val="bottom"/>
          </w:tcPr>
          <w:p w14:paraId="6CEAA4F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00C8A1B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2BF052E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B96AB6A" w14:textId="77777777" w:rsidTr="001C5AF5">
        <w:trPr>
          <w:trHeight w:hRule="exact" w:val="90"/>
        </w:trPr>
        <w:tc>
          <w:tcPr>
            <w:tcW w:w="1282" w:type="dxa"/>
            <w:tcBorders>
              <w:top w:val="nil"/>
              <w:left w:val="nil"/>
              <w:bottom w:val="double" w:sz="6" w:space="2" w:color="auto"/>
              <w:right w:val="nil"/>
            </w:tcBorders>
            <w:vAlign w:val="bottom"/>
          </w:tcPr>
          <w:p w14:paraId="45AB09C3"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4DA2683D"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6A85C34D"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28A2445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74241EC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28BED24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12FA01EF" w14:textId="77777777" w:rsidTr="001C5AF5">
        <w:trPr>
          <w:trHeight w:hRule="exact" w:val="135"/>
        </w:trPr>
        <w:tc>
          <w:tcPr>
            <w:tcW w:w="1282" w:type="dxa"/>
            <w:tcBorders>
              <w:top w:val="nil"/>
              <w:left w:val="nil"/>
              <w:bottom w:val="nil"/>
              <w:right w:val="nil"/>
            </w:tcBorders>
            <w:vAlign w:val="bottom"/>
          </w:tcPr>
          <w:p w14:paraId="1E3ADA60"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52D858AF"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2" w:type="dxa"/>
            <w:tcBorders>
              <w:top w:val="nil"/>
              <w:left w:val="nil"/>
              <w:bottom w:val="nil"/>
              <w:right w:val="nil"/>
            </w:tcBorders>
            <w:vAlign w:val="bottom"/>
          </w:tcPr>
          <w:p w14:paraId="50CF1A2C"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342BF9B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1617419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153AFC9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CC16B0B" w14:textId="77777777" w:rsidTr="001C5AF5">
        <w:trPr>
          <w:trHeight w:val="225"/>
        </w:trPr>
        <w:tc>
          <w:tcPr>
            <w:tcW w:w="1282" w:type="dxa"/>
            <w:tcBorders>
              <w:top w:val="nil"/>
              <w:left w:val="nil"/>
              <w:bottom w:val="nil"/>
              <w:right w:val="nil"/>
            </w:tcBorders>
            <w:vAlign w:val="bottom"/>
          </w:tcPr>
          <w:p w14:paraId="1C28DAB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152.7234</w:t>
            </w:r>
          </w:p>
        </w:tc>
        <w:tc>
          <w:tcPr>
            <w:tcW w:w="1313" w:type="dxa"/>
            <w:tcBorders>
              <w:top w:val="nil"/>
              <w:left w:val="nil"/>
              <w:bottom w:val="nil"/>
              <w:right w:val="nil"/>
            </w:tcBorders>
            <w:vAlign w:val="bottom"/>
          </w:tcPr>
          <w:p w14:paraId="665B240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160</w:t>
            </w:r>
          </w:p>
        </w:tc>
        <w:tc>
          <w:tcPr>
            <w:tcW w:w="1312" w:type="dxa"/>
            <w:tcBorders>
              <w:top w:val="nil"/>
              <w:left w:val="nil"/>
              <w:bottom w:val="nil"/>
              <w:right w:val="nil"/>
            </w:tcBorders>
            <w:vAlign w:val="bottom"/>
          </w:tcPr>
          <w:p w14:paraId="5181E4F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0.6464</w:t>
            </w:r>
          </w:p>
        </w:tc>
        <w:tc>
          <w:tcPr>
            <w:tcW w:w="1313" w:type="dxa"/>
            <w:tcBorders>
              <w:top w:val="nil"/>
              <w:left w:val="nil"/>
              <w:bottom w:val="nil"/>
              <w:right w:val="nil"/>
            </w:tcBorders>
            <w:vAlign w:val="bottom"/>
          </w:tcPr>
          <w:p w14:paraId="7F39384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5130311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40D8159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4D7806DA" w14:textId="77777777" w:rsidTr="001C5AF5">
        <w:trPr>
          <w:trHeight w:hRule="exact" w:val="90"/>
        </w:trPr>
        <w:tc>
          <w:tcPr>
            <w:tcW w:w="1282" w:type="dxa"/>
            <w:tcBorders>
              <w:top w:val="nil"/>
              <w:left w:val="nil"/>
              <w:bottom w:val="double" w:sz="6" w:space="2" w:color="auto"/>
              <w:right w:val="nil"/>
            </w:tcBorders>
            <w:vAlign w:val="bottom"/>
          </w:tcPr>
          <w:p w14:paraId="63346461"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double" w:sz="6" w:space="2" w:color="auto"/>
              <w:right w:val="nil"/>
            </w:tcBorders>
            <w:vAlign w:val="bottom"/>
          </w:tcPr>
          <w:p w14:paraId="6BFBBFD7"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2" w:type="dxa"/>
            <w:tcBorders>
              <w:top w:val="nil"/>
              <w:left w:val="nil"/>
              <w:bottom w:val="double" w:sz="6" w:space="2" w:color="auto"/>
              <w:right w:val="nil"/>
            </w:tcBorders>
            <w:vAlign w:val="bottom"/>
          </w:tcPr>
          <w:p w14:paraId="33FB9CCF"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56BB74D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707EF69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51C6AA1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0E70FCF0" w14:textId="77777777" w:rsidTr="001C5AF5">
        <w:trPr>
          <w:trHeight w:hRule="exact" w:val="135"/>
        </w:trPr>
        <w:tc>
          <w:tcPr>
            <w:tcW w:w="1282" w:type="dxa"/>
            <w:tcBorders>
              <w:top w:val="nil"/>
              <w:left w:val="nil"/>
              <w:bottom w:val="nil"/>
              <w:right w:val="nil"/>
            </w:tcBorders>
            <w:vAlign w:val="bottom"/>
          </w:tcPr>
          <w:p w14:paraId="10ABB283"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25EC12D9"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2" w:type="dxa"/>
            <w:tcBorders>
              <w:top w:val="nil"/>
              <w:left w:val="nil"/>
              <w:bottom w:val="nil"/>
              <w:right w:val="nil"/>
            </w:tcBorders>
            <w:vAlign w:val="bottom"/>
          </w:tcPr>
          <w:p w14:paraId="6C9BDEB4" w14:textId="77777777" w:rsidR="00C13E5A" w:rsidRDefault="00C13E5A" w:rsidP="001C5AF5">
            <w:pPr>
              <w:autoSpaceDE w:val="0"/>
              <w:autoSpaceDN w:val="0"/>
              <w:adjustRightInd w:val="0"/>
              <w:spacing w:line="240" w:lineRule="auto"/>
              <w:rPr>
                <w:rFonts w:ascii="Arial" w:hAnsi="Arial" w:cs="Arial"/>
                <w:color w:val="000000"/>
                <w:sz w:val="18"/>
                <w:szCs w:val="18"/>
              </w:rPr>
            </w:pPr>
          </w:p>
        </w:tc>
        <w:tc>
          <w:tcPr>
            <w:tcW w:w="1313" w:type="dxa"/>
            <w:tcBorders>
              <w:top w:val="nil"/>
              <w:left w:val="nil"/>
              <w:bottom w:val="nil"/>
              <w:right w:val="nil"/>
            </w:tcBorders>
            <w:vAlign w:val="bottom"/>
          </w:tcPr>
          <w:p w14:paraId="32BB915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60C4348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62205BD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3A14C57D" w14:textId="77777777" w:rsidTr="001C5AF5">
        <w:trPr>
          <w:trHeight w:hRule="exact" w:val="90"/>
        </w:trPr>
        <w:tc>
          <w:tcPr>
            <w:tcW w:w="1282" w:type="dxa"/>
            <w:tcBorders>
              <w:top w:val="nil"/>
              <w:left w:val="nil"/>
              <w:bottom w:val="double" w:sz="6" w:space="0" w:color="auto"/>
              <w:right w:val="nil"/>
            </w:tcBorders>
            <w:vAlign w:val="bottom"/>
          </w:tcPr>
          <w:p w14:paraId="1FA439E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0" w:color="auto"/>
              <w:right w:val="nil"/>
            </w:tcBorders>
            <w:vAlign w:val="bottom"/>
          </w:tcPr>
          <w:p w14:paraId="7A4D83D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0" w:color="auto"/>
              <w:right w:val="nil"/>
            </w:tcBorders>
            <w:vAlign w:val="bottom"/>
          </w:tcPr>
          <w:p w14:paraId="0AC8C3A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0" w:color="auto"/>
              <w:right w:val="nil"/>
            </w:tcBorders>
            <w:vAlign w:val="bottom"/>
          </w:tcPr>
          <w:p w14:paraId="530695A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double" w:sz="6" w:space="0" w:color="auto"/>
              <w:right w:val="nil"/>
            </w:tcBorders>
            <w:vAlign w:val="bottom"/>
          </w:tcPr>
          <w:p w14:paraId="3EA7825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double" w:sz="6" w:space="0" w:color="auto"/>
              <w:right w:val="nil"/>
            </w:tcBorders>
            <w:vAlign w:val="bottom"/>
          </w:tcPr>
          <w:p w14:paraId="3B40A55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586B316" w14:textId="77777777" w:rsidTr="001C5AF5">
        <w:trPr>
          <w:trHeight w:hRule="exact" w:val="135"/>
        </w:trPr>
        <w:tc>
          <w:tcPr>
            <w:tcW w:w="1282" w:type="dxa"/>
            <w:tcBorders>
              <w:top w:val="nil"/>
              <w:left w:val="nil"/>
              <w:bottom w:val="nil"/>
              <w:right w:val="nil"/>
            </w:tcBorders>
            <w:vAlign w:val="bottom"/>
          </w:tcPr>
          <w:p w14:paraId="49E92B0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11252EA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5A7B4E2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477107D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5646209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5B5C184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771BCE6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00C94BB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456B45B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3F5F205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3F6906F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3B3C3B1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10B4D98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0508B0B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396EF15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702E0A5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314FCD7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5D899BC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14:paraId="032AFE5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236AF9B0" w14:textId="77777777" w:rsidR="00C13E5A" w:rsidRDefault="00C13E5A" w:rsidP="001C5AF5">
            <w:pPr>
              <w:autoSpaceDE w:val="0"/>
              <w:autoSpaceDN w:val="0"/>
              <w:adjustRightInd w:val="0"/>
              <w:spacing w:line="240" w:lineRule="auto"/>
              <w:jc w:val="both"/>
              <w:rPr>
                <w:rFonts w:ascii="Arial" w:hAnsi="Arial" w:cs="Arial"/>
                <w:color w:val="000000"/>
                <w:sz w:val="18"/>
                <w:szCs w:val="18"/>
              </w:rPr>
            </w:pPr>
          </w:p>
        </w:tc>
        <w:tc>
          <w:tcPr>
            <w:tcW w:w="1313" w:type="dxa"/>
            <w:tcBorders>
              <w:top w:val="nil"/>
              <w:left w:val="nil"/>
              <w:bottom w:val="nil"/>
              <w:right w:val="nil"/>
            </w:tcBorders>
            <w:vAlign w:val="bottom"/>
          </w:tcPr>
          <w:p w14:paraId="59F9986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p w14:paraId="575777A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I</w:t>
            </w:r>
          </w:p>
        </w:tc>
        <w:tc>
          <w:tcPr>
            <w:tcW w:w="1312" w:type="dxa"/>
            <w:tcBorders>
              <w:top w:val="nil"/>
              <w:left w:val="nil"/>
              <w:bottom w:val="nil"/>
              <w:right w:val="nil"/>
            </w:tcBorders>
            <w:vAlign w:val="bottom"/>
          </w:tcPr>
          <w:p w14:paraId="51957D1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313" w:type="dxa"/>
            <w:tcBorders>
              <w:top w:val="nil"/>
              <w:left w:val="nil"/>
              <w:bottom w:val="nil"/>
              <w:right w:val="nil"/>
            </w:tcBorders>
            <w:vAlign w:val="bottom"/>
          </w:tcPr>
          <w:p w14:paraId="6EED6D4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bl>
    <w:p w14:paraId="3B910891" w14:textId="77777777" w:rsidR="00C13E5A" w:rsidRPr="004E2C7A" w:rsidRDefault="00C13E5A" w:rsidP="00C13E5A">
      <w:pPr>
        <w:tabs>
          <w:tab w:val="left" w:pos="1712"/>
        </w:tabs>
        <w:rPr>
          <w:rFonts w:ascii="Arial" w:hAnsi="Arial" w:cs="Arial"/>
          <w:b/>
          <w:sz w:val="18"/>
          <w:szCs w:val="18"/>
        </w:rPr>
      </w:pPr>
      <w:r>
        <w:rPr>
          <w:b/>
          <w:szCs w:val="28"/>
        </w:rPr>
        <w:t>Table 9</w:t>
      </w:r>
      <w:r w:rsidRPr="004E2C7A">
        <w:rPr>
          <w:b/>
          <w:szCs w:val="28"/>
        </w:rPr>
        <w:t>: Variance decomposition of the inflation</w:t>
      </w:r>
    </w:p>
    <w:tbl>
      <w:tblPr>
        <w:tblW w:w="9258" w:type="dxa"/>
        <w:tblInd w:w="30" w:type="dxa"/>
        <w:tblLayout w:type="fixed"/>
        <w:tblCellMar>
          <w:left w:w="0" w:type="dxa"/>
          <w:right w:w="0" w:type="dxa"/>
        </w:tblCellMar>
        <w:tblLook w:val="0000" w:firstRow="0" w:lastRow="0" w:firstColumn="0" w:lastColumn="0" w:noHBand="0" w:noVBand="0"/>
      </w:tblPr>
      <w:tblGrid>
        <w:gridCol w:w="902"/>
        <w:gridCol w:w="1672"/>
        <w:gridCol w:w="1670"/>
        <w:gridCol w:w="1672"/>
        <w:gridCol w:w="1670"/>
        <w:gridCol w:w="1672"/>
      </w:tblGrid>
      <w:tr w:rsidR="00C13E5A" w14:paraId="278BA719" w14:textId="77777777" w:rsidTr="00E65149">
        <w:trPr>
          <w:trHeight w:hRule="exact" w:val="86"/>
        </w:trPr>
        <w:tc>
          <w:tcPr>
            <w:tcW w:w="902" w:type="dxa"/>
            <w:tcBorders>
              <w:top w:val="nil"/>
              <w:left w:val="nil"/>
              <w:bottom w:val="double" w:sz="6" w:space="2" w:color="auto"/>
              <w:right w:val="nil"/>
            </w:tcBorders>
            <w:vAlign w:val="bottom"/>
          </w:tcPr>
          <w:p w14:paraId="460277A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67B4CE0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2" w:color="auto"/>
              <w:right w:val="nil"/>
            </w:tcBorders>
            <w:vAlign w:val="bottom"/>
          </w:tcPr>
          <w:p w14:paraId="1E50E1A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1FEC6D0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2" w:color="auto"/>
              <w:right w:val="nil"/>
            </w:tcBorders>
            <w:vAlign w:val="bottom"/>
          </w:tcPr>
          <w:p w14:paraId="4C1E637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44DB2E4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5A65233" w14:textId="77777777" w:rsidTr="00E65149">
        <w:trPr>
          <w:trHeight w:hRule="exact" w:val="129"/>
        </w:trPr>
        <w:tc>
          <w:tcPr>
            <w:tcW w:w="902" w:type="dxa"/>
            <w:tcBorders>
              <w:top w:val="nil"/>
              <w:left w:val="nil"/>
              <w:bottom w:val="nil"/>
              <w:right w:val="nil"/>
            </w:tcBorders>
            <w:vAlign w:val="bottom"/>
          </w:tcPr>
          <w:p w14:paraId="3396383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24F81A9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nil"/>
              <w:right w:val="nil"/>
            </w:tcBorders>
            <w:vAlign w:val="bottom"/>
          </w:tcPr>
          <w:p w14:paraId="5D20963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46300F9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nil"/>
              <w:right w:val="nil"/>
            </w:tcBorders>
            <w:vAlign w:val="bottom"/>
          </w:tcPr>
          <w:p w14:paraId="3CD278C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7171611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534CBD41" w14:textId="77777777" w:rsidTr="00E65149">
        <w:trPr>
          <w:trHeight w:val="214"/>
        </w:trPr>
        <w:tc>
          <w:tcPr>
            <w:tcW w:w="902" w:type="dxa"/>
            <w:tcBorders>
              <w:top w:val="nil"/>
              <w:left w:val="nil"/>
              <w:bottom w:val="nil"/>
              <w:right w:val="nil"/>
            </w:tcBorders>
            <w:vAlign w:val="bottom"/>
          </w:tcPr>
          <w:p w14:paraId="78AC33D5" w14:textId="77777777" w:rsidR="00C13E5A" w:rsidRDefault="00C13E5A" w:rsidP="001C5AF5">
            <w:pPr>
              <w:autoSpaceDE w:val="0"/>
              <w:autoSpaceDN w:val="0"/>
              <w:adjustRightInd w:val="0"/>
              <w:spacing w:line="240" w:lineRule="auto"/>
              <w:rPr>
                <w:rFonts w:ascii="Arial" w:hAnsi="Arial" w:cs="Arial"/>
                <w:color w:val="000000"/>
                <w:sz w:val="18"/>
                <w:szCs w:val="18"/>
              </w:rPr>
            </w:pPr>
            <w:r>
              <w:rPr>
                <w:rFonts w:ascii="Arial" w:hAnsi="Arial" w:cs="Arial"/>
                <w:color w:val="000000"/>
                <w:sz w:val="18"/>
                <w:szCs w:val="18"/>
              </w:rPr>
              <w:t> Period</w:t>
            </w:r>
          </w:p>
        </w:tc>
        <w:tc>
          <w:tcPr>
            <w:tcW w:w="1672" w:type="dxa"/>
            <w:tcBorders>
              <w:top w:val="nil"/>
              <w:left w:val="nil"/>
              <w:bottom w:val="nil"/>
              <w:right w:val="nil"/>
            </w:tcBorders>
            <w:vAlign w:val="bottom"/>
          </w:tcPr>
          <w:p w14:paraId="014D734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S.E.</w:t>
            </w:r>
          </w:p>
        </w:tc>
        <w:tc>
          <w:tcPr>
            <w:tcW w:w="1670" w:type="dxa"/>
            <w:tcBorders>
              <w:top w:val="nil"/>
              <w:left w:val="nil"/>
              <w:bottom w:val="nil"/>
              <w:right w:val="nil"/>
            </w:tcBorders>
            <w:vAlign w:val="bottom"/>
          </w:tcPr>
          <w:p w14:paraId="134B6EA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DCPI</w:t>
            </w:r>
          </w:p>
        </w:tc>
        <w:tc>
          <w:tcPr>
            <w:tcW w:w="1672" w:type="dxa"/>
            <w:tcBorders>
              <w:top w:val="nil"/>
              <w:left w:val="nil"/>
              <w:bottom w:val="nil"/>
              <w:right w:val="nil"/>
            </w:tcBorders>
            <w:vAlign w:val="bottom"/>
          </w:tcPr>
          <w:p w14:paraId="4FE03DE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DM2</w:t>
            </w:r>
          </w:p>
        </w:tc>
        <w:tc>
          <w:tcPr>
            <w:tcW w:w="1670" w:type="dxa"/>
            <w:tcBorders>
              <w:top w:val="nil"/>
              <w:left w:val="nil"/>
              <w:bottom w:val="nil"/>
              <w:right w:val="nil"/>
            </w:tcBorders>
            <w:vAlign w:val="bottom"/>
          </w:tcPr>
          <w:p w14:paraId="68B2BDD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DREER</w:t>
            </w:r>
          </w:p>
        </w:tc>
        <w:tc>
          <w:tcPr>
            <w:tcW w:w="1672" w:type="dxa"/>
            <w:tcBorders>
              <w:top w:val="nil"/>
              <w:left w:val="nil"/>
              <w:bottom w:val="nil"/>
              <w:right w:val="nil"/>
            </w:tcBorders>
            <w:vAlign w:val="bottom"/>
          </w:tcPr>
          <w:p w14:paraId="2C299BD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DREM</w:t>
            </w:r>
          </w:p>
        </w:tc>
      </w:tr>
      <w:tr w:rsidR="00C13E5A" w14:paraId="378F0086" w14:textId="77777777" w:rsidTr="00E65149">
        <w:trPr>
          <w:trHeight w:hRule="exact" w:val="86"/>
        </w:trPr>
        <w:tc>
          <w:tcPr>
            <w:tcW w:w="902" w:type="dxa"/>
            <w:tcBorders>
              <w:top w:val="nil"/>
              <w:left w:val="nil"/>
              <w:bottom w:val="double" w:sz="6" w:space="2" w:color="auto"/>
              <w:right w:val="nil"/>
            </w:tcBorders>
            <w:vAlign w:val="bottom"/>
          </w:tcPr>
          <w:p w14:paraId="4205564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61CAEE2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2" w:color="auto"/>
              <w:right w:val="nil"/>
            </w:tcBorders>
            <w:vAlign w:val="bottom"/>
          </w:tcPr>
          <w:p w14:paraId="41202A2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09FD48E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2" w:color="auto"/>
              <w:right w:val="nil"/>
            </w:tcBorders>
            <w:vAlign w:val="bottom"/>
          </w:tcPr>
          <w:p w14:paraId="54E169C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66A3DE2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157C2BA2" w14:textId="77777777" w:rsidTr="00E65149">
        <w:trPr>
          <w:trHeight w:hRule="exact" w:val="129"/>
        </w:trPr>
        <w:tc>
          <w:tcPr>
            <w:tcW w:w="902" w:type="dxa"/>
            <w:tcBorders>
              <w:top w:val="nil"/>
              <w:left w:val="nil"/>
              <w:bottom w:val="nil"/>
              <w:right w:val="nil"/>
            </w:tcBorders>
            <w:vAlign w:val="bottom"/>
          </w:tcPr>
          <w:p w14:paraId="0413D38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07A7648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nil"/>
              <w:right w:val="nil"/>
            </w:tcBorders>
            <w:vAlign w:val="bottom"/>
          </w:tcPr>
          <w:p w14:paraId="3BC91BA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2D37033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nil"/>
              <w:right w:val="nil"/>
            </w:tcBorders>
            <w:vAlign w:val="bottom"/>
          </w:tcPr>
          <w:p w14:paraId="3282AF7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5A915BD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EE50903" w14:textId="77777777" w:rsidTr="00E65149">
        <w:trPr>
          <w:trHeight w:val="214"/>
        </w:trPr>
        <w:tc>
          <w:tcPr>
            <w:tcW w:w="902" w:type="dxa"/>
            <w:tcBorders>
              <w:top w:val="nil"/>
              <w:left w:val="nil"/>
              <w:bottom w:val="nil"/>
              <w:right w:val="nil"/>
            </w:tcBorders>
            <w:vAlign w:val="bottom"/>
          </w:tcPr>
          <w:p w14:paraId="57A29CF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w:t>
            </w:r>
          </w:p>
        </w:tc>
        <w:tc>
          <w:tcPr>
            <w:tcW w:w="1672" w:type="dxa"/>
            <w:tcBorders>
              <w:top w:val="nil"/>
              <w:left w:val="nil"/>
              <w:bottom w:val="nil"/>
              <w:right w:val="nil"/>
            </w:tcBorders>
            <w:vAlign w:val="bottom"/>
          </w:tcPr>
          <w:p w14:paraId="146DD6D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4.957282</w:t>
            </w:r>
          </w:p>
        </w:tc>
        <w:tc>
          <w:tcPr>
            <w:tcW w:w="1670" w:type="dxa"/>
            <w:tcBorders>
              <w:top w:val="nil"/>
              <w:left w:val="nil"/>
              <w:bottom w:val="nil"/>
              <w:right w:val="nil"/>
            </w:tcBorders>
            <w:vAlign w:val="bottom"/>
          </w:tcPr>
          <w:p w14:paraId="54D8387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90.58073</w:t>
            </w:r>
          </w:p>
        </w:tc>
        <w:tc>
          <w:tcPr>
            <w:tcW w:w="1672" w:type="dxa"/>
            <w:tcBorders>
              <w:top w:val="nil"/>
              <w:left w:val="nil"/>
              <w:bottom w:val="nil"/>
              <w:right w:val="nil"/>
            </w:tcBorders>
            <w:vAlign w:val="bottom"/>
          </w:tcPr>
          <w:p w14:paraId="05FB342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3.306284</w:t>
            </w:r>
          </w:p>
        </w:tc>
        <w:tc>
          <w:tcPr>
            <w:tcW w:w="1670" w:type="dxa"/>
            <w:tcBorders>
              <w:top w:val="nil"/>
              <w:left w:val="nil"/>
              <w:bottom w:val="nil"/>
              <w:right w:val="nil"/>
            </w:tcBorders>
            <w:vAlign w:val="bottom"/>
          </w:tcPr>
          <w:p w14:paraId="110D815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0.000000</w:t>
            </w:r>
          </w:p>
        </w:tc>
        <w:tc>
          <w:tcPr>
            <w:tcW w:w="1672" w:type="dxa"/>
            <w:tcBorders>
              <w:top w:val="nil"/>
              <w:left w:val="nil"/>
              <w:bottom w:val="nil"/>
              <w:right w:val="nil"/>
            </w:tcBorders>
            <w:vAlign w:val="bottom"/>
          </w:tcPr>
          <w:p w14:paraId="4E28662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6.112983</w:t>
            </w:r>
          </w:p>
        </w:tc>
      </w:tr>
      <w:tr w:rsidR="00C13E5A" w14:paraId="2024D7E6" w14:textId="77777777" w:rsidTr="00E65149">
        <w:trPr>
          <w:trHeight w:val="214"/>
        </w:trPr>
        <w:tc>
          <w:tcPr>
            <w:tcW w:w="902" w:type="dxa"/>
            <w:tcBorders>
              <w:top w:val="nil"/>
              <w:left w:val="nil"/>
              <w:bottom w:val="nil"/>
              <w:right w:val="nil"/>
            </w:tcBorders>
            <w:vAlign w:val="bottom"/>
          </w:tcPr>
          <w:p w14:paraId="3397C68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w:t>
            </w:r>
          </w:p>
        </w:tc>
        <w:tc>
          <w:tcPr>
            <w:tcW w:w="1672" w:type="dxa"/>
            <w:tcBorders>
              <w:top w:val="nil"/>
              <w:left w:val="nil"/>
              <w:bottom w:val="nil"/>
              <w:right w:val="nil"/>
            </w:tcBorders>
            <w:vAlign w:val="bottom"/>
          </w:tcPr>
          <w:p w14:paraId="60A80E6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6.909789</w:t>
            </w:r>
          </w:p>
        </w:tc>
        <w:tc>
          <w:tcPr>
            <w:tcW w:w="1670" w:type="dxa"/>
            <w:tcBorders>
              <w:top w:val="nil"/>
              <w:left w:val="nil"/>
              <w:bottom w:val="nil"/>
              <w:right w:val="nil"/>
            </w:tcBorders>
            <w:vAlign w:val="bottom"/>
          </w:tcPr>
          <w:p w14:paraId="2A3E15D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94.76969</w:t>
            </w:r>
          </w:p>
        </w:tc>
        <w:tc>
          <w:tcPr>
            <w:tcW w:w="1672" w:type="dxa"/>
            <w:tcBorders>
              <w:top w:val="nil"/>
              <w:left w:val="nil"/>
              <w:bottom w:val="nil"/>
              <w:right w:val="nil"/>
            </w:tcBorders>
            <w:vAlign w:val="bottom"/>
          </w:tcPr>
          <w:p w14:paraId="2AD95D7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1.767298</w:t>
            </w:r>
          </w:p>
        </w:tc>
        <w:tc>
          <w:tcPr>
            <w:tcW w:w="1670" w:type="dxa"/>
            <w:tcBorders>
              <w:top w:val="nil"/>
              <w:left w:val="nil"/>
              <w:bottom w:val="nil"/>
              <w:right w:val="nil"/>
            </w:tcBorders>
            <w:vAlign w:val="bottom"/>
          </w:tcPr>
          <w:p w14:paraId="6FE4193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0.032429</w:t>
            </w:r>
          </w:p>
        </w:tc>
        <w:tc>
          <w:tcPr>
            <w:tcW w:w="1672" w:type="dxa"/>
            <w:tcBorders>
              <w:top w:val="nil"/>
              <w:left w:val="nil"/>
              <w:bottom w:val="nil"/>
              <w:right w:val="nil"/>
            </w:tcBorders>
            <w:vAlign w:val="bottom"/>
          </w:tcPr>
          <w:p w14:paraId="1CA9260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3.430583</w:t>
            </w:r>
          </w:p>
        </w:tc>
      </w:tr>
      <w:tr w:rsidR="00C13E5A" w14:paraId="2EA364FF" w14:textId="77777777" w:rsidTr="00E65149">
        <w:trPr>
          <w:trHeight w:val="214"/>
        </w:trPr>
        <w:tc>
          <w:tcPr>
            <w:tcW w:w="902" w:type="dxa"/>
            <w:tcBorders>
              <w:top w:val="nil"/>
              <w:left w:val="nil"/>
              <w:bottom w:val="nil"/>
              <w:right w:val="nil"/>
            </w:tcBorders>
            <w:vAlign w:val="bottom"/>
          </w:tcPr>
          <w:p w14:paraId="407B67F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3</w:t>
            </w:r>
          </w:p>
        </w:tc>
        <w:tc>
          <w:tcPr>
            <w:tcW w:w="1672" w:type="dxa"/>
            <w:tcBorders>
              <w:top w:val="nil"/>
              <w:left w:val="nil"/>
              <w:bottom w:val="nil"/>
              <w:right w:val="nil"/>
            </w:tcBorders>
            <w:vAlign w:val="bottom"/>
          </w:tcPr>
          <w:p w14:paraId="595097F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7.635258</w:t>
            </w:r>
          </w:p>
        </w:tc>
        <w:tc>
          <w:tcPr>
            <w:tcW w:w="1670" w:type="dxa"/>
            <w:tcBorders>
              <w:top w:val="nil"/>
              <w:left w:val="nil"/>
              <w:bottom w:val="nil"/>
              <w:right w:val="nil"/>
            </w:tcBorders>
            <w:vAlign w:val="bottom"/>
          </w:tcPr>
          <w:p w14:paraId="03E3D1A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95.28564</w:t>
            </w:r>
          </w:p>
        </w:tc>
        <w:tc>
          <w:tcPr>
            <w:tcW w:w="1672" w:type="dxa"/>
            <w:tcBorders>
              <w:top w:val="nil"/>
              <w:left w:val="nil"/>
              <w:bottom w:val="nil"/>
              <w:right w:val="nil"/>
            </w:tcBorders>
            <w:vAlign w:val="bottom"/>
          </w:tcPr>
          <w:p w14:paraId="55EDC59C"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1.758565</w:t>
            </w:r>
          </w:p>
        </w:tc>
        <w:tc>
          <w:tcPr>
            <w:tcW w:w="1670" w:type="dxa"/>
            <w:tcBorders>
              <w:top w:val="nil"/>
              <w:left w:val="nil"/>
              <w:bottom w:val="nil"/>
              <w:right w:val="nil"/>
            </w:tcBorders>
            <w:vAlign w:val="bottom"/>
          </w:tcPr>
          <w:p w14:paraId="1DC2CD6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0.128192</w:t>
            </w:r>
          </w:p>
        </w:tc>
        <w:tc>
          <w:tcPr>
            <w:tcW w:w="1672" w:type="dxa"/>
            <w:tcBorders>
              <w:top w:val="nil"/>
              <w:left w:val="nil"/>
              <w:bottom w:val="nil"/>
              <w:right w:val="nil"/>
            </w:tcBorders>
            <w:vAlign w:val="bottom"/>
          </w:tcPr>
          <w:p w14:paraId="554E0F0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2.827607</w:t>
            </w:r>
          </w:p>
        </w:tc>
      </w:tr>
      <w:tr w:rsidR="00C13E5A" w14:paraId="6EBB838B" w14:textId="77777777" w:rsidTr="00E65149">
        <w:trPr>
          <w:trHeight w:val="214"/>
        </w:trPr>
        <w:tc>
          <w:tcPr>
            <w:tcW w:w="902" w:type="dxa"/>
            <w:tcBorders>
              <w:top w:val="nil"/>
              <w:left w:val="nil"/>
              <w:bottom w:val="nil"/>
              <w:right w:val="nil"/>
            </w:tcBorders>
            <w:vAlign w:val="bottom"/>
          </w:tcPr>
          <w:p w14:paraId="4D66623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4</w:t>
            </w:r>
          </w:p>
        </w:tc>
        <w:tc>
          <w:tcPr>
            <w:tcW w:w="1672" w:type="dxa"/>
            <w:tcBorders>
              <w:top w:val="nil"/>
              <w:left w:val="nil"/>
              <w:bottom w:val="nil"/>
              <w:right w:val="nil"/>
            </w:tcBorders>
            <w:vAlign w:val="bottom"/>
          </w:tcPr>
          <w:p w14:paraId="6BD331D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7.802627</w:t>
            </w:r>
          </w:p>
        </w:tc>
        <w:tc>
          <w:tcPr>
            <w:tcW w:w="1670" w:type="dxa"/>
            <w:tcBorders>
              <w:top w:val="nil"/>
              <w:left w:val="nil"/>
              <w:bottom w:val="nil"/>
              <w:right w:val="nil"/>
            </w:tcBorders>
            <w:vAlign w:val="bottom"/>
          </w:tcPr>
          <w:p w14:paraId="202D19F2"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95.07912</w:t>
            </w:r>
          </w:p>
        </w:tc>
        <w:tc>
          <w:tcPr>
            <w:tcW w:w="1672" w:type="dxa"/>
            <w:tcBorders>
              <w:top w:val="nil"/>
              <w:left w:val="nil"/>
              <w:bottom w:val="nil"/>
              <w:right w:val="nil"/>
            </w:tcBorders>
            <w:vAlign w:val="bottom"/>
          </w:tcPr>
          <w:p w14:paraId="7D491BF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2.085975</w:t>
            </w:r>
          </w:p>
        </w:tc>
        <w:tc>
          <w:tcPr>
            <w:tcW w:w="1670" w:type="dxa"/>
            <w:tcBorders>
              <w:top w:val="nil"/>
              <w:left w:val="nil"/>
              <w:bottom w:val="nil"/>
              <w:right w:val="nil"/>
            </w:tcBorders>
            <w:vAlign w:val="bottom"/>
          </w:tcPr>
          <w:p w14:paraId="78C30F1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0.126613</w:t>
            </w:r>
          </w:p>
        </w:tc>
        <w:tc>
          <w:tcPr>
            <w:tcW w:w="1672" w:type="dxa"/>
            <w:tcBorders>
              <w:top w:val="nil"/>
              <w:left w:val="nil"/>
              <w:bottom w:val="nil"/>
              <w:right w:val="nil"/>
            </w:tcBorders>
            <w:vAlign w:val="bottom"/>
          </w:tcPr>
          <w:p w14:paraId="6E2724C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2.708292</w:t>
            </w:r>
          </w:p>
        </w:tc>
      </w:tr>
      <w:tr w:rsidR="00C13E5A" w14:paraId="06B918B7" w14:textId="77777777" w:rsidTr="00E65149">
        <w:trPr>
          <w:trHeight w:val="214"/>
        </w:trPr>
        <w:tc>
          <w:tcPr>
            <w:tcW w:w="902" w:type="dxa"/>
            <w:tcBorders>
              <w:top w:val="nil"/>
              <w:left w:val="nil"/>
              <w:bottom w:val="nil"/>
              <w:right w:val="nil"/>
            </w:tcBorders>
            <w:vAlign w:val="bottom"/>
          </w:tcPr>
          <w:p w14:paraId="2AB258D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5</w:t>
            </w:r>
          </w:p>
        </w:tc>
        <w:tc>
          <w:tcPr>
            <w:tcW w:w="1672" w:type="dxa"/>
            <w:tcBorders>
              <w:top w:val="nil"/>
              <w:left w:val="nil"/>
              <w:bottom w:val="nil"/>
              <w:right w:val="nil"/>
            </w:tcBorders>
            <w:vAlign w:val="bottom"/>
          </w:tcPr>
          <w:p w14:paraId="1706245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7.826235</w:t>
            </w:r>
          </w:p>
        </w:tc>
        <w:tc>
          <w:tcPr>
            <w:tcW w:w="1670" w:type="dxa"/>
            <w:tcBorders>
              <w:top w:val="nil"/>
              <w:left w:val="nil"/>
              <w:bottom w:val="nil"/>
              <w:right w:val="nil"/>
            </w:tcBorders>
            <w:vAlign w:val="bottom"/>
          </w:tcPr>
          <w:p w14:paraId="61ADE6D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94.95705</w:t>
            </w:r>
          </w:p>
        </w:tc>
        <w:tc>
          <w:tcPr>
            <w:tcW w:w="1672" w:type="dxa"/>
            <w:tcBorders>
              <w:top w:val="nil"/>
              <w:left w:val="nil"/>
              <w:bottom w:val="nil"/>
              <w:right w:val="nil"/>
            </w:tcBorders>
            <w:vAlign w:val="bottom"/>
          </w:tcPr>
          <w:p w14:paraId="677DA4E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2.220200</w:t>
            </w:r>
          </w:p>
        </w:tc>
        <w:tc>
          <w:tcPr>
            <w:tcW w:w="1670" w:type="dxa"/>
            <w:tcBorders>
              <w:top w:val="nil"/>
              <w:left w:val="nil"/>
              <w:bottom w:val="nil"/>
              <w:right w:val="nil"/>
            </w:tcBorders>
            <w:vAlign w:val="bottom"/>
          </w:tcPr>
          <w:p w14:paraId="5A2B900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0.126380</w:t>
            </w:r>
          </w:p>
        </w:tc>
        <w:tc>
          <w:tcPr>
            <w:tcW w:w="1672" w:type="dxa"/>
            <w:tcBorders>
              <w:top w:val="nil"/>
              <w:left w:val="nil"/>
              <w:bottom w:val="nil"/>
              <w:right w:val="nil"/>
            </w:tcBorders>
            <w:vAlign w:val="bottom"/>
          </w:tcPr>
          <w:p w14:paraId="544218A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2.696368</w:t>
            </w:r>
          </w:p>
        </w:tc>
      </w:tr>
      <w:tr w:rsidR="00C13E5A" w14:paraId="1EE98D81" w14:textId="77777777" w:rsidTr="00E65149">
        <w:trPr>
          <w:trHeight w:val="214"/>
        </w:trPr>
        <w:tc>
          <w:tcPr>
            <w:tcW w:w="902" w:type="dxa"/>
            <w:tcBorders>
              <w:top w:val="nil"/>
              <w:left w:val="nil"/>
              <w:bottom w:val="nil"/>
              <w:right w:val="nil"/>
            </w:tcBorders>
            <w:vAlign w:val="bottom"/>
          </w:tcPr>
          <w:p w14:paraId="05F5C7A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6</w:t>
            </w:r>
          </w:p>
        </w:tc>
        <w:tc>
          <w:tcPr>
            <w:tcW w:w="1672" w:type="dxa"/>
            <w:tcBorders>
              <w:top w:val="nil"/>
              <w:left w:val="nil"/>
              <w:bottom w:val="nil"/>
              <w:right w:val="nil"/>
            </w:tcBorders>
            <w:vAlign w:val="bottom"/>
          </w:tcPr>
          <w:p w14:paraId="40F7FFD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7.828152</w:t>
            </w:r>
          </w:p>
        </w:tc>
        <w:tc>
          <w:tcPr>
            <w:tcW w:w="1670" w:type="dxa"/>
            <w:tcBorders>
              <w:top w:val="nil"/>
              <w:left w:val="nil"/>
              <w:bottom w:val="nil"/>
              <w:right w:val="nil"/>
            </w:tcBorders>
            <w:vAlign w:val="bottom"/>
          </w:tcPr>
          <w:p w14:paraId="051FD11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94.92278</w:t>
            </w:r>
          </w:p>
        </w:tc>
        <w:tc>
          <w:tcPr>
            <w:tcW w:w="1672" w:type="dxa"/>
            <w:tcBorders>
              <w:top w:val="nil"/>
              <w:left w:val="nil"/>
              <w:bottom w:val="nil"/>
              <w:right w:val="nil"/>
            </w:tcBorders>
            <w:vAlign w:val="bottom"/>
          </w:tcPr>
          <w:p w14:paraId="30A48F2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2.252631</w:t>
            </w:r>
          </w:p>
        </w:tc>
        <w:tc>
          <w:tcPr>
            <w:tcW w:w="1670" w:type="dxa"/>
            <w:tcBorders>
              <w:top w:val="nil"/>
              <w:left w:val="nil"/>
              <w:bottom w:val="nil"/>
              <w:right w:val="nil"/>
            </w:tcBorders>
            <w:vAlign w:val="bottom"/>
          </w:tcPr>
          <w:p w14:paraId="3415CA4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0.128404</w:t>
            </w:r>
          </w:p>
        </w:tc>
        <w:tc>
          <w:tcPr>
            <w:tcW w:w="1672" w:type="dxa"/>
            <w:tcBorders>
              <w:top w:val="nil"/>
              <w:left w:val="nil"/>
              <w:bottom w:val="nil"/>
              <w:right w:val="nil"/>
            </w:tcBorders>
            <w:vAlign w:val="bottom"/>
          </w:tcPr>
          <w:p w14:paraId="42FDD53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2.696182</w:t>
            </w:r>
          </w:p>
        </w:tc>
      </w:tr>
      <w:tr w:rsidR="00C13E5A" w14:paraId="58AB9F8D" w14:textId="77777777" w:rsidTr="00E65149">
        <w:trPr>
          <w:trHeight w:val="214"/>
        </w:trPr>
        <w:tc>
          <w:tcPr>
            <w:tcW w:w="902" w:type="dxa"/>
            <w:tcBorders>
              <w:top w:val="nil"/>
              <w:left w:val="nil"/>
              <w:bottom w:val="nil"/>
              <w:right w:val="nil"/>
            </w:tcBorders>
            <w:vAlign w:val="bottom"/>
          </w:tcPr>
          <w:p w14:paraId="00E63E4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w:t>
            </w:r>
          </w:p>
        </w:tc>
        <w:tc>
          <w:tcPr>
            <w:tcW w:w="1672" w:type="dxa"/>
            <w:tcBorders>
              <w:top w:val="nil"/>
              <w:left w:val="nil"/>
              <w:bottom w:val="nil"/>
              <w:right w:val="nil"/>
            </w:tcBorders>
            <w:vAlign w:val="bottom"/>
          </w:tcPr>
          <w:p w14:paraId="1BEF9D9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7.828545</w:t>
            </w:r>
          </w:p>
        </w:tc>
        <w:tc>
          <w:tcPr>
            <w:tcW w:w="1670" w:type="dxa"/>
            <w:tcBorders>
              <w:top w:val="nil"/>
              <w:left w:val="nil"/>
              <w:bottom w:val="nil"/>
              <w:right w:val="nil"/>
            </w:tcBorders>
            <w:vAlign w:val="bottom"/>
          </w:tcPr>
          <w:p w14:paraId="527D1FA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94.91628</w:t>
            </w:r>
          </w:p>
        </w:tc>
        <w:tc>
          <w:tcPr>
            <w:tcW w:w="1672" w:type="dxa"/>
            <w:tcBorders>
              <w:top w:val="nil"/>
              <w:left w:val="nil"/>
              <w:bottom w:val="nil"/>
              <w:right w:val="nil"/>
            </w:tcBorders>
            <w:vAlign w:val="bottom"/>
          </w:tcPr>
          <w:p w14:paraId="2534AD7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2.257494</w:t>
            </w:r>
          </w:p>
        </w:tc>
        <w:tc>
          <w:tcPr>
            <w:tcW w:w="1670" w:type="dxa"/>
            <w:tcBorders>
              <w:top w:val="nil"/>
              <w:left w:val="nil"/>
              <w:bottom w:val="nil"/>
              <w:right w:val="nil"/>
            </w:tcBorders>
            <w:vAlign w:val="bottom"/>
          </w:tcPr>
          <w:p w14:paraId="70F065C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0.129765</w:t>
            </w:r>
          </w:p>
        </w:tc>
        <w:tc>
          <w:tcPr>
            <w:tcW w:w="1672" w:type="dxa"/>
            <w:tcBorders>
              <w:top w:val="nil"/>
              <w:left w:val="nil"/>
              <w:bottom w:val="nil"/>
              <w:right w:val="nil"/>
            </w:tcBorders>
            <w:vAlign w:val="bottom"/>
          </w:tcPr>
          <w:p w14:paraId="517D8D8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2.696456</w:t>
            </w:r>
          </w:p>
        </w:tc>
      </w:tr>
      <w:tr w:rsidR="00C13E5A" w14:paraId="3F5D3589" w14:textId="77777777" w:rsidTr="00E65149">
        <w:trPr>
          <w:trHeight w:val="214"/>
        </w:trPr>
        <w:tc>
          <w:tcPr>
            <w:tcW w:w="902" w:type="dxa"/>
            <w:tcBorders>
              <w:top w:val="nil"/>
              <w:left w:val="nil"/>
              <w:bottom w:val="nil"/>
              <w:right w:val="nil"/>
            </w:tcBorders>
            <w:vAlign w:val="bottom"/>
          </w:tcPr>
          <w:p w14:paraId="4B14DBC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8</w:t>
            </w:r>
          </w:p>
        </w:tc>
        <w:tc>
          <w:tcPr>
            <w:tcW w:w="1672" w:type="dxa"/>
            <w:tcBorders>
              <w:top w:val="nil"/>
              <w:left w:val="nil"/>
              <w:bottom w:val="nil"/>
              <w:right w:val="nil"/>
            </w:tcBorders>
            <w:vAlign w:val="bottom"/>
          </w:tcPr>
          <w:p w14:paraId="7A416A2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7.828697</w:t>
            </w:r>
          </w:p>
        </w:tc>
        <w:tc>
          <w:tcPr>
            <w:tcW w:w="1670" w:type="dxa"/>
            <w:tcBorders>
              <w:top w:val="nil"/>
              <w:left w:val="nil"/>
              <w:bottom w:val="nil"/>
              <w:right w:val="nil"/>
            </w:tcBorders>
            <w:vAlign w:val="bottom"/>
          </w:tcPr>
          <w:p w14:paraId="3A91CE0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94.91561</w:t>
            </w:r>
          </w:p>
        </w:tc>
        <w:tc>
          <w:tcPr>
            <w:tcW w:w="1672" w:type="dxa"/>
            <w:tcBorders>
              <w:top w:val="nil"/>
              <w:left w:val="nil"/>
              <w:bottom w:val="nil"/>
              <w:right w:val="nil"/>
            </w:tcBorders>
            <w:vAlign w:val="bottom"/>
          </w:tcPr>
          <w:p w14:paraId="0699D29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2.257682</w:t>
            </w:r>
          </w:p>
        </w:tc>
        <w:tc>
          <w:tcPr>
            <w:tcW w:w="1670" w:type="dxa"/>
            <w:tcBorders>
              <w:top w:val="nil"/>
              <w:left w:val="nil"/>
              <w:bottom w:val="nil"/>
              <w:right w:val="nil"/>
            </w:tcBorders>
            <w:vAlign w:val="bottom"/>
          </w:tcPr>
          <w:p w14:paraId="562FA6F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0.130271</w:t>
            </w:r>
          </w:p>
        </w:tc>
        <w:tc>
          <w:tcPr>
            <w:tcW w:w="1672" w:type="dxa"/>
            <w:tcBorders>
              <w:top w:val="nil"/>
              <w:left w:val="nil"/>
              <w:bottom w:val="nil"/>
              <w:right w:val="nil"/>
            </w:tcBorders>
            <w:vAlign w:val="bottom"/>
          </w:tcPr>
          <w:p w14:paraId="7D263F74"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2.696441</w:t>
            </w:r>
          </w:p>
        </w:tc>
      </w:tr>
      <w:tr w:rsidR="00C13E5A" w14:paraId="7E26CC3A" w14:textId="77777777" w:rsidTr="00E65149">
        <w:trPr>
          <w:trHeight w:val="214"/>
        </w:trPr>
        <w:tc>
          <w:tcPr>
            <w:tcW w:w="902" w:type="dxa"/>
            <w:tcBorders>
              <w:top w:val="nil"/>
              <w:left w:val="nil"/>
              <w:bottom w:val="nil"/>
              <w:right w:val="nil"/>
            </w:tcBorders>
            <w:vAlign w:val="bottom"/>
          </w:tcPr>
          <w:p w14:paraId="75DB8DE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w:t>
            </w:r>
          </w:p>
        </w:tc>
        <w:tc>
          <w:tcPr>
            <w:tcW w:w="1672" w:type="dxa"/>
            <w:tcBorders>
              <w:top w:val="nil"/>
              <w:left w:val="nil"/>
              <w:bottom w:val="nil"/>
              <w:right w:val="nil"/>
            </w:tcBorders>
            <w:vAlign w:val="bottom"/>
          </w:tcPr>
          <w:p w14:paraId="02E0B00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7.828712</w:t>
            </w:r>
          </w:p>
        </w:tc>
        <w:tc>
          <w:tcPr>
            <w:tcW w:w="1670" w:type="dxa"/>
            <w:tcBorders>
              <w:top w:val="nil"/>
              <w:left w:val="nil"/>
              <w:bottom w:val="nil"/>
              <w:right w:val="nil"/>
            </w:tcBorders>
            <w:vAlign w:val="bottom"/>
          </w:tcPr>
          <w:p w14:paraId="00CE3BB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94.91547</w:t>
            </w:r>
          </w:p>
        </w:tc>
        <w:tc>
          <w:tcPr>
            <w:tcW w:w="1672" w:type="dxa"/>
            <w:tcBorders>
              <w:top w:val="nil"/>
              <w:left w:val="nil"/>
              <w:bottom w:val="nil"/>
              <w:right w:val="nil"/>
            </w:tcBorders>
            <w:vAlign w:val="bottom"/>
          </w:tcPr>
          <w:p w14:paraId="02D4906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2.257673</w:t>
            </w:r>
          </w:p>
        </w:tc>
        <w:tc>
          <w:tcPr>
            <w:tcW w:w="1670" w:type="dxa"/>
            <w:tcBorders>
              <w:top w:val="nil"/>
              <w:left w:val="nil"/>
              <w:bottom w:val="nil"/>
              <w:right w:val="nil"/>
            </w:tcBorders>
            <w:vAlign w:val="bottom"/>
          </w:tcPr>
          <w:p w14:paraId="2FB58CF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0.130430</w:t>
            </w:r>
          </w:p>
        </w:tc>
        <w:tc>
          <w:tcPr>
            <w:tcW w:w="1672" w:type="dxa"/>
            <w:tcBorders>
              <w:top w:val="nil"/>
              <w:left w:val="nil"/>
              <w:bottom w:val="nil"/>
              <w:right w:val="nil"/>
            </w:tcBorders>
            <w:vAlign w:val="bottom"/>
          </w:tcPr>
          <w:p w14:paraId="62EECC77"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2.696430</w:t>
            </w:r>
          </w:p>
        </w:tc>
      </w:tr>
      <w:tr w:rsidR="00C13E5A" w14:paraId="0E100608" w14:textId="77777777" w:rsidTr="00E65149">
        <w:trPr>
          <w:trHeight w:val="214"/>
        </w:trPr>
        <w:tc>
          <w:tcPr>
            <w:tcW w:w="902" w:type="dxa"/>
            <w:tcBorders>
              <w:top w:val="nil"/>
              <w:left w:val="nil"/>
              <w:bottom w:val="nil"/>
              <w:right w:val="nil"/>
            </w:tcBorders>
            <w:vAlign w:val="bottom"/>
          </w:tcPr>
          <w:p w14:paraId="3175D13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10</w:t>
            </w:r>
          </w:p>
        </w:tc>
        <w:tc>
          <w:tcPr>
            <w:tcW w:w="1672" w:type="dxa"/>
            <w:tcBorders>
              <w:top w:val="nil"/>
              <w:left w:val="nil"/>
              <w:bottom w:val="nil"/>
              <w:right w:val="nil"/>
            </w:tcBorders>
            <w:vAlign w:val="bottom"/>
          </w:tcPr>
          <w:p w14:paraId="0FE92140"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7.828719</w:t>
            </w:r>
          </w:p>
        </w:tc>
        <w:tc>
          <w:tcPr>
            <w:tcW w:w="1670" w:type="dxa"/>
            <w:tcBorders>
              <w:top w:val="nil"/>
              <w:left w:val="nil"/>
              <w:bottom w:val="nil"/>
              <w:right w:val="nil"/>
            </w:tcBorders>
            <w:vAlign w:val="bottom"/>
          </w:tcPr>
          <w:p w14:paraId="7DAD5309"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94.91544</w:t>
            </w:r>
          </w:p>
        </w:tc>
        <w:tc>
          <w:tcPr>
            <w:tcW w:w="1672" w:type="dxa"/>
            <w:tcBorders>
              <w:top w:val="nil"/>
              <w:left w:val="nil"/>
              <w:bottom w:val="nil"/>
              <w:right w:val="nil"/>
            </w:tcBorders>
            <w:vAlign w:val="bottom"/>
          </w:tcPr>
          <w:p w14:paraId="7D5788B6"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2.257671</w:t>
            </w:r>
          </w:p>
        </w:tc>
        <w:tc>
          <w:tcPr>
            <w:tcW w:w="1670" w:type="dxa"/>
            <w:tcBorders>
              <w:top w:val="nil"/>
              <w:left w:val="nil"/>
              <w:bottom w:val="nil"/>
              <w:right w:val="nil"/>
            </w:tcBorders>
            <w:vAlign w:val="bottom"/>
          </w:tcPr>
          <w:p w14:paraId="2224A57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0.130463</w:t>
            </w:r>
          </w:p>
        </w:tc>
        <w:tc>
          <w:tcPr>
            <w:tcW w:w="1672" w:type="dxa"/>
            <w:tcBorders>
              <w:top w:val="nil"/>
              <w:left w:val="nil"/>
              <w:bottom w:val="nil"/>
              <w:right w:val="nil"/>
            </w:tcBorders>
            <w:vAlign w:val="bottom"/>
          </w:tcPr>
          <w:p w14:paraId="72ED20C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r>
              <w:rPr>
                <w:rFonts w:ascii="Arial" w:hAnsi="Arial" w:cs="Arial"/>
                <w:color w:val="000000"/>
                <w:sz w:val="18"/>
                <w:szCs w:val="18"/>
              </w:rPr>
              <w:t> 2.696429</w:t>
            </w:r>
          </w:p>
        </w:tc>
      </w:tr>
      <w:tr w:rsidR="00C13E5A" w14:paraId="2F9AC86A" w14:textId="77777777" w:rsidTr="00E65149">
        <w:trPr>
          <w:trHeight w:hRule="exact" w:val="86"/>
        </w:trPr>
        <w:tc>
          <w:tcPr>
            <w:tcW w:w="902" w:type="dxa"/>
            <w:tcBorders>
              <w:top w:val="nil"/>
              <w:left w:val="nil"/>
              <w:bottom w:val="double" w:sz="6" w:space="2" w:color="auto"/>
              <w:right w:val="nil"/>
            </w:tcBorders>
            <w:vAlign w:val="bottom"/>
          </w:tcPr>
          <w:p w14:paraId="17C4252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5AD2A84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2" w:color="auto"/>
              <w:right w:val="nil"/>
            </w:tcBorders>
            <w:vAlign w:val="bottom"/>
          </w:tcPr>
          <w:p w14:paraId="5E8F8F53"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447A5EE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2" w:color="auto"/>
              <w:right w:val="nil"/>
            </w:tcBorders>
            <w:vAlign w:val="bottom"/>
          </w:tcPr>
          <w:p w14:paraId="2598D35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2" w:color="auto"/>
              <w:right w:val="nil"/>
            </w:tcBorders>
            <w:vAlign w:val="bottom"/>
          </w:tcPr>
          <w:p w14:paraId="72F156C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78F97CBB" w14:textId="77777777" w:rsidTr="00E65149">
        <w:trPr>
          <w:trHeight w:hRule="exact" w:val="86"/>
        </w:trPr>
        <w:tc>
          <w:tcPr>
            <w:tcW w:w="902" w:type="dxa"/>
            <w:tcBorders>
              <w:top w:val="nil"/>
              <w:left w:val="nil"/>
              <w:bottom w:val="double" w:sz="6" w:space="0" w:color="auto"/>
              <w:right w:val="nil"/>
            </w:tcBorders>
            <w:vAlign w:val="bottom"/>
          </w:tcPr>
          <w:p w14:paraId="6007664B"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0" w:color="auto"/>
              <w:right w:val="nil"/>
            </w:tcBorders>
            <w:vAlign w:val="bottom"/>
          </w:tcPr>
          <w:p w14:paraId="16EC38A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0" w:color="auto"/>
              <w:right w:val="nil"/>
            </w:tcBorders>
            <w:vAlign w:val="bottom"/>
          </w:tcPr>
          <w:p w14:paraId="7F45CCE8"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0" w:color="auto"/>
              <w:right w:val="nil"/>
            </w:tcBorders>
            <w:vAlign w:val="bottom"/>
          </w:tcPr>
          <w:p w14:paraId="33D2DE9D"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double" w:sz="6" w:space="0" w:color="auto"/>
              <w:right w:val="nil"/>
            </w:tcBorders>
            <w:vAlign w:val="bottom"/>
          </w:tcPr>
          <w:p w14:paraId="3BB2EA1A"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double" w:sz="6" w:space="0" w:color="auto"/>
              <w:right w:val="nil"/>
            </w:tcBorders>
            <w:vAlign w:val="bottom"/>
          </w:tcPr>
          <w:p w14:paraId="59CBC2B5"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r w:rsidR="00C13E5A" w14:paraId="2A8AF97F" w14:textId="77777777" w:rsidTr="00E65149">
        <w:trPr>
          <w:trHeight w:hRule="exact" w:val="129"/>
        </w:trPr>
        <w:tc>
          <w:tcPr>
            <w:tcW w:w="902" w:type="dxa"/>
            <w:tcBorders>
              <w:top w:val="nil"/>
              <w:left w:val="nil"/>
              <w:bottom w:val="nil"/>
              <w:right w:val="nil"/>
            </w:tcBorders>
            <w:vAlign w:val="bottom"/>
          </w:tcPr>
          <w:p w14:paraId="1633101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3FFDFDE1"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nil"/>
              <w:right w:val="nil"/>
            </w:tcBorders>
            <w:vAlign w:val="bottom"/>
          </w:tcPr>
          <w:p w14:paraId="0E01764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692478C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0" w:type="dxa"/>
            <w:tcBorders>
              <w:top w:val="nil"/>
              <w:left w:val="nil"/>
              <w:bottom w:val="nil"/>
              <w:right w:val="nil"/>
            </w:tcBorders>
            <w:vAlign w:val="bottom"/>
          </w:tcPr>
          <w:p w14:paraId="373B7B4F"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c>
          <w:tcPr>
            <w:tcW w:w="1672" w:type="dxa"/>
            <w:tcBorders>
              <w:top w:val="nil"/>
              <w:left w:val="nil"/>
              <w:bottom w:val="nil"/>
              <w:right w:val="nil"/>
            </w:tcBorders>
            <w:vAlign w:val="bottom"/>
          </w:tcPr>
          <w:p w14:paraId="7FF664EE" w14:textId="77777777" w:rsidR="00C13E5A" w:rsidRDefault="00C13E5A" w:rsidP="001C5AF5">
            <w:pPr>
              <w:autoSpaceDE w:val="0"/>
              <w:autoSpaceDN w:val="0"/>
              <w:adjustRightInd w:val="0"/>
              <w:spacing w:line="240" w:lineRule="auto"/>
              <w:jc w:val="center"/>
              <w:rPr>
                <w:rFonts w:ascii="Arial" w:hAnsi="Arial" w:cs="Arial"/>
                <w:color w:val="000000"/>
                <w:sz w:val="18"/>
                <w:szCs w:val="18"/>
              </w:rPr>
            </w:pPr>
          </w:p>
        </w:tc>
      </w:tr>
    </w:tbl>
    <w:p w14:paraId="30923A81" w14:textId="77777777" w:rsidR="00C13E5A" w:rsidRDefault="00C13E5A" w:rsidP="00C13E5A">
      <w:pPr>
        <w:spacing w:line="240" w:lineRule="auto"/>
        <w:jc w:val="both"/>
        <w:rPr>
          <w:b/>
          <w:szCs w:val="28"/>
        </w:rPr>
      </w:pPr>
      <w:r w:rsidRPr="0001570C">
        <w:rPr>
          <w:b/>
          <w:szCs w:val="28"/>
        </w:rPr>
        <w:lastRenderedPageBreak/>
        <w:t>Figure 1: Inflow capital in Vietnam (million USD)</w:t>
      </w:r>
    </w:p>
    <w:p w14:paraId="74DB37A2" w14:textId="77777777" w:rsidR="00B370C8" w:rsidRDefault="00B370C8" w:rsidP="00B370C8">
      <w:pPr>
        <w:spacing w:line="240" w:lineRule="auto"/>
        <w:jc w:val="center"/>
        <w:rPr>
          <w:b/>
          <w:szCs w:val="28"/>
        </w:rPr>
      </w:pPr>
      <w:r>
        <w:rPr>
          <w:noProof/>
          <w:lang w:eastAsia="en-US"/>
        </w:rPr>
        <w:drawing>
          <wp:inline distT="0" distB="0" distL="0" distR="0" wp14:anchorId="10F384B9" wp14:editId="69376673">
            <wp:extent cx="5080958" cy="2156604"/>
            <wp:effectExtent l="0" t="0" r="24765"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F23AB7" w14:textId="77777777" w:rsidR="00135C73" w:rsidRPr="0001570C" w:rsidRDefault="00135C73" w:rsidP="00135C73">
      <w:pPr>
        <w:spacing w:line="240" w:lineRule="auto"/>
        <w:jc w:val="center"/>
        <w:rPr>
          <w:b/>
          <w:szCs w:val="28"/>
        </w:rPr>
      </w:pPr>
      <w:r>
        <w:rPr>
          <w:noProof/>
        </w:rPr>
        <w:t>(Sources: World Bank database)</w:t>
      </w:r>
    </w:p>
    <w:p w14:paraId="1FC33182" w14:textId="77777777" w:rsidR="00C13E5A" w:rsidRDefault="00C13E5A" w:rsidP="00C13E5A">
      <w:pPr>
        <w:spacing w:line="240" w:lineRule="auto"/>
        <w:jc w:val="both"/>
        <w:rPr>
          <w:b/>
          <w:szCs w:val="28"/>
        </w:rPr>
      </w:pPr>
      <w:r w:rsidRPr="00F94B7E">
        <w:rPr>
          <w:b/>
          <w:szCs w:val="28"/>
        </w:rPr>
        <w:t>Figure 2: Remittance, Saving and</w:t>
      </w:r>
      <w:r w:rsidR="006E4845">
        <w:rPr>
          <w:b/>
          <w:szCs w:val="28"/>
        </w:rPr>
        <w:t xml:space="preserve"> Investment in Vietnam 1996</w:t>
      </w:r>
      <w:r w:rsidR="001175A9">
        <w:rPr>
          <w:b/>
          <w:szCs w:val="28"/>
        </w:rPr>
        <w:t>-2013</w:t>
      </w:r>
    </w:p>
    <w:p w14:paraId="1E4F1674" w14:textId="77777777" w:rsidR="00B370C8" w:rsidRDefault="00B370C8" w:rsidP="00B370C8">
      <w:pPr>
        <w:spacing w:line="240" w:lineRule="auto"/>
        <w:jc w:val="center"/>
        <w:rPr>
          <w:b/>
          <w:szCs w:val="28"/>
        </w:rPr>
      </w:pPr>
      <w:r>
        <w:rPr>
          <w:noProof/>
          <w:lang w:eastAsia="en-US"/>
        </w:rPr>
        <w:drawing>
          <wp:inline distT="0" distB="0" distL="0" distR="0" wp14:anchorId="0D62414B" wp14:editId="0D6F82DC">
            <wp:extent cx="5193102" cy="2035834"/>
            <wp:effectExtent l="0" t="0" r="26670"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1D2BE4" w14:textId="77777777" w:rsidR="00345CF5" w:rsidRDefault="00345CF5" w:rsidP="00980C3F">
      <w:pPr>
        <w:spacing w:line="240" w:lineRule="auto"/>
        <w:ind w:firstLine="720"/>
        <w:jc w:val="center"/>
        <w:rPr>
          <w:b/>
          <w:szCs w:val="28"/>
        </w:rPr>
      </w:pPr>
      <w:r>
        <w:rPr>
          <w:szCs w:val="28"/>
        </w:rPr>
        <w:t xml:space="preserve">(Sources: </w:t>
      </w:r>
      <w:r w:rsidR="001175A9">
        <w:rPr>
          <w:szCs w:val="28"/>
          <w:shd w:val="clear" w:color="auto" w:fill="FFFFFF"/>
        </w:rPr>
        <w:t>World Bank database</w:t>
      </w:r>
      <w:r>
        <w:rPr>
          <w:szCs w:val="28"/>
          <w:shd w:val="clear" w:color="auto" w:fill="FFFFFF"/>
        </w:rPr>
        <w:t>)</w:t>
      </w:r>
    </w:p>
    <w:p w14:paraId="0929BC2C" w14:textId="77777777" w:rsidR="00C13E5A" w:rsidRDefault="00C13E5A" w:rsidP="00C13E5A">
      <w:pPr>
        <w:spacing w:line="240" w:lineRule="auto"/>
        <w:jc w:val="both"/>
        <w:rPr>
          <w:b/>
          <w:szCs w:val="28"/>
        </w:rPr>
      </w:pPr>
      <w:r w:rsidRPr="00F94B7E">
        <w:rPr>
          <w:b/>
          <w:szCs w:val="28"/>
        </w:rPr>
        <w:t>Figure 3: Vietnam m</w:t>
      </w:r>
      <w:r w:rsidR="00980C3F">
        <w:rPr>
          <w:b/>
          <w:szCs w:val="28"/>
        </w:rPr>
        <w:t>acroeconomic indicator 1996-2013</w:t>
      </w:r>
    </w:p>
    <w:p w14:paraId="21249E81" w14:textId="77777777" w:rsidR="00B370C8" w:rsidRDefault="00B370C8" w:rsidP="00B370C8">
      <w:pPr>
        <w:spacing w:line="240" w:lineRule="auto"/>
        <w:jc w:val="center"/>
        <w:rPr>
          <w:b/>
          <w:szCs w:val="28"/>
        </w:rPr>
      </w:pPr>
      <w:r>
        <w:rPr>
          <w:noProof/>
          <w:lang w:eastAsia="en-US"/>
        </w:rPr>
        <w:drawing>
          <wp:inline distT="0" distB="0" distL="0" distR="0" wp14:anchorId="09FBF6A2" wp14:editId="22316DFC">
            <wp:extent cx="5003321" cy="1966822"/>
            <wp:effectExtent l="0" t="0" r="2603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E18F63" w14:textId="77777777" w:rsidR="00941956" w:rsidRDefault="00345CF5" w:rsidP="00980C3F">
      <w:pPr>
        <w:spacing w:line="240" w:lineRule="auto"/>
        <w:ind w:firstLine="720"/>
        <w:jc w:val="center"/>
        <w:rPr>
          <w:szCs w:val="28"/>
          <w:shd w:val="clear" w:color="auto" w:fill="FFFFFF"/>
        </w:rPr>
      </w:pPr>
      <w:r>
        <w:rPr>
          <w:szCs w:val="28"/>
        </w:rPr>
        <w:t xml:space="preserve">(Sources: </w:t>
      </w:r>
      <w:r w:rsidR="00B370C8">
        <w:rPr>
          <w:szCs w:val="28"/>
          <w:shd w:val="clear" w:color="auto" w:fill="FFFFFF"/>
        </w:rPr>
        <w:t>IMF and self-calculation</w:t>
      </w:r>
      <w:r>
        <w:rPr>
          <w:szCs w:val="28"/>
          <w:shd w:val="clear" w:color="auto" w:fill="FFFFFF"/>
        </w:rPr>
        <w:t>)</w:t>
      </w:r>
    </w:p>
    <w:p w14:paraId="2C46783F" w14:textId="77777777" w:rsidR="00AB59B2" w:rsidRDefault="00C13E5A" w:rsidP="003A28A0">
      <w:pPr>
        <w:spacing w:line="240" w:lineRule="auto"/>
        <w:ind w:firstLine="720"/>
        <w:jc w:val="both"/>
        <w:rPr>
          <w:b/>
          <w:szCs w:val="28"/>
        </w:rPr>
      </w:pPr>
      <w:r w:rsidRPr="00D476DF">
        <w:rPr>
          <w:b/>
          <w:szCs w:val="28"/>
        </w:rPr>
        <w:lastRenderedPageBreak/>
        <w:t>Figure 4: Impulse responses of inflation (</w:t>
      </w:r>
      <w:proofErr w:type="spellStart"/>
      <w:r w:rsidRPr="00D476DF">
        <w:rPr>
          <w:b/>
          <w:szCs w:val="28"/>
        </w:rPr>
        <w:t>Cholesky</w:t>
      </w:r>
      <w:proofErr w:type="spellEnd"/>
      <w:r w:rsidRPr="00D476DF">
        <w:rPr>
          <w:b/>
          <w:szCs w:val="28"/>
        </w:rPr>
        <w:t xml:space="preserve"> ordering: DREM, DM2, DCPI, DREER)</w:t>
      </w:r>
    </w:p>
    <w:p w14:paraId="267FD3F7" w14:textId="77777777" w:rsidR="00C13E5A" w:rsidRPr="00BD3F61" w:rsidRDefault="00C13E5A" w:rsidP="00C13E5A">
      <w:pPr>
        <w:tabs>
          <w:tab w:val="left" w:pos="1712"/>
        </w:tabs>
        <w:spacing w:line="240" w:lineRule="auto"/>
        <w:rPr>
          <w:b/>
          <w:szCs w:val="28"/>
        </w:rPr>
      </w:pPr>
      <w:r>
        <w:rPr>
          <w:rFonts w:ascii="Arial" w:hAnsi="Arial" w:cs="Arial"/>
          <w:sz w:val="18"/>
          <w:szCs w:val="18"/>
        </w:rPr>
        <w:br/>
      </w:r>
      <w:bookmarkStart w:id="0" w:name="_GoBack"/>
      <w:r>
        <w:rPr>
          <w:noProof/>
          <w:szCs w:val="28"/>
          <w:lang w:eastAsia="en-US"/>
        </w:rPr>
        <w:drawing>
          <wp:inline distT="0" distB="0" distL="0" distR="0" wp14:anchorId="5D551AD0" wp14:editId="24F2753B">
            <wp:extent cx="5943600" cy="4271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71337"/>
                    </a:xfrm>
                    <a:prstGeom prst="rect">
                      <a:avLst/>
                    </a:prstGeom>
                    <a:noFill/>
                    <a:ln>
                      <a:noFill/>
                    </a:ln>
                  </pic:spPr>
                </pic:pic>
              </a:graphicData>
            </a:graphic>
          </wp:inline>
        </w:drawing>
      </w:r>
      <w:bookmarkEnd w:id="0"/>
    </w:p>
    <w:sectPr w:rsidR="00C13E5A" w:rsidRPr="00BD3F61">
      <w:footerReference w:type="default" r:id="rId15"/>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C4645" w14:textId="77777777" w:rsidR="007C3469" w:rsidRDefault="007C3469" w:rsidP="00654120">
      <w:pPr>
        <w:spacing w:before="0" w:line="240" w:lineRule="auto"/>
      </w:pPr>
      <w:r>
        <w:separator/>
      </w:r>
    </w:p>
  </w:endnote>
  <w:endnote w:type="continuationSeparator" w:id="0">
    <w:p w14:paraId="50556167" w14:textId="77777777" w:rsidR="007C3469" w:rsidRDefault="007C3469" w:rsidP="006541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2A87" w:usb1="80000000" w:usb2="00000008" w:usb3="00000000" w:csb0="000001F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NewRomanPSMT">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361284"/>
      <w:docPartObj>
        <w:docPartGallery w:val="Page Numbers (Bottom of Page)"/>
        <w:docPartUnique/>
      </w:docPartObj>
    </w:sdtPr>
    <w:sdtEndPr>
      <w:rPr>
        <w:noProof/>
      </w:rPr>
    </w:sdtEndPr>
    <w:sdtContent>
      <w:p w14:paraId="3BD8B436" w14:textId="77777777" w:rsidR="00654120" w:rsidRDefault="00654120">
        <w:pPr>
          <w:pStyle w:val="Footer"/>
          <w:jc w:val="right"/>
        </w:pPr>
        <w:r>
          <w:fldChar w:fldCharType="begin"/>
        </w:r>
        <w:r>
          <w:instrText xml:space="preserve"> PAGE   \* MERGEFORMAT </w:instrText>
        </w:r>
        <w:r>
          <w:fldChar w:fldCharType="separate"/>
        </w:r>
        <w:r w:rsidR="00521A39">
          <w:rPr>
            <w:noProof/>
          </w:rPr>
          <w:t>4</w:t>
        </w:r>
        <w:r>
          <w:rPr>
            <w:noProof/>
          </w:rPr>
          <w:fldChar w:fldCharType="end"/>
        </w:r>
      </w:p>
    </w:sdtContent>
  </w:sdt>
  <w:p w14:paraId="038640B5" w14:textId="77777777" w:rsidR="00654120" w:rsidRDefault="006541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55C30" w14:textId="77777777" w:rsidR="007C3469" w:rsidRDefault="007C3469" w:rsidP="00654120">
      <w:pPr>
        <w:spacing w:before="0" w:line="240" w:lineRule="auto"/>
      </w:pPr>
      <w:r>
        <w:separator/>
      </w:r>
    </w:p>
  </w:footnote>
  <w:footnote w:type="continuationSeparator" w:id="0">
    <w:p w14:paraId="1444A64F" w14:textId="77777777" w:rsidR="007C3469" w:rsidRDefault="007C3469" w:rsidP="0065412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D8B"/>
    <w:rsid w:val="000866E2"/>
    <w:rsid w:val="000C4788"/>
    <w:rsid w:val="001175A9"/>
    <w:rsid w:val="00134A3D"/>
    <w:rsid w:val="00135C73"/>
    <w:rsid w:val="001C5AF5"/>
    <w:rsid w:val="001F3A03"/>
    <w:rsid w:val="00250EA2"/>
    <w:rsid w:val="00254817"/>
    <w:rsid w:val="0028698F"/>
    <w:rsid w:val="00293C2C"/>
    <w:rsid w:val="00345BA6"/>
    <w:rsid w:val="00345CF5"/>
    <w:rsid w:val="003A00D0"/>
    <w:rsid w:val="003A28A0"/>
    <w:rsid w:val="003F58DD"/>
    <w:rsid w:val="004317FC"/>
    <w:rsid w:val="004464CD"/>
    <w:rsid w:val="00495D8B"/>
    <w:rsid w:val="004960CF"/>
    <w:rsid w:val="004A2EB3"/>
    <w:rsid w:val="00521A39"/>
    <w:rsid w:val="00594756"/>
    <w:rsid w:val="00605F37"/>
    <w:rsid w:val="00652507"/>
    <w:rsid w:val="00654120"/>
    <w:rsid w:val="006B312F"/>
    <w:rsid w:val="006E4845"/>
    <w:rsid w:val="00707D86"/>
    <w:rsid w:val="00725382"/>
    <w:rsid w:val="007C3469"/>
    <w:rsid w:val="008874A9"/>
    <w:rsid w:val="00910A3F"/>
    <w:rsid w:val="00941956"/>
    <w:rsid w:val="00980C3F"/>
    <w:rsid w:val="009A1CD9"/>
    <w:rsid w:val="009F1C86"/>
    <w:rsid w:val="00A702AA"/>
    <w:rsid w:val="00AB59B2"/>
    <w:rsid w:val="00B370C8"/>
    <w:rsid w:val="00B66671"/>
    <w:rsid w:val="00C13E5A"/>
    <w:rsid w:val="00C13F55"/>
    <w:rsid w:val="00C65940"/>
    <w:rsid w:val="00C77F10"/>
    <w:rsid w:val="00CF5778"/>
    <w:rsid w:val="00D8213B"/>
    <w:rsid w:val="00E054D0"/>
    <w:rsid w:val="00E365D2"/>
    <w:rsid w:val="00E65149"/>
    <w:rsid w:val="00EA3AB4"/>
    <w:rsid w:val="00EA7969"/>
    <w:rsid w:val="00EB3E60"/>
    <w:rsid w:val="00EC716C"/>
    <w:rsid w:val="00F41B9D"/>
    <w:rsid w:val="00F61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1D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themeColor="text1"/>
        <w:sz w:val="24"/>
        <w:szCs w:val="24"/>
        <w:lang w:val="en-US" w:eastAsia="ja-JP" w:bidi="ar-SA"/>
      </w:rPr>
    </w:rPrDefault>
    <w:pPrDefault>
      <w:pPr>
        <w:spacing w:before="60" w:line="3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E5A"/>
    <w:rPr>
      <w:color w:val="0000FF" w:themeColor="hyperlink"/>
      <w:u w:val="single"/>
    </w:rPr>
  </w:style>
  <w:style w:type="paragraph" w:styleId="BalloonText">
    <w:name w:val="Balloon Text"/>
    <w:basedOn w:val="Normal"/>
    <w:link w:val="BalloonTextChar"/>
    <w:uiPriority w:val="99"/>
    <w:semiHidden/>
    <w:unhideWhenUsed/>
    <w:rsid w:val="00C13E5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E5A"/>
    <w:rPr>
      <w:rFonts w:ascii="Tahoma" w:hAnsi="Tahoma" w:cs="Tahoma"/>
      <w:sz w:val="16"/>
      <w:szCs w:val="16"/>
    </w:rPr>
  </w:style>
  <w:style w:type="character" w:customStyle="1" w:styleId="apple-converted-space">
    <w:name w:val="apple-converted-space"/>
    <w:basedOn w:val="DefaultParagraphFont"/>
    <w:rsid w:val="00254817"/>
  </w:style>
  <w:style w:type="paragraph" w:styleId="Header">
    <w:name w:val="header"/>
    <w:basedOn w:val="Normal"/>
    <w:link w:val="HeaderChar"/>
    <w:uiPriority w:val="99"/>
    <w:unhideWhenUsed/>
    <w:rsid w:val="0065412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54120"/>
  </w:style>
  <w:style w:type="paragraph" w:styleId="Footer">
    <w:name w:val="footer"/>
    <w:basedOn w:val="Normal"/>
    <w:link w:val="FooterChar"/>
    <w:uiPriority w:val="99"/>
    <w:unhideWhenUsed/>
    <w:rsid w:val="0065412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5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image" Target="media/image1.emf"/><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ssrn.com" TargetMode="External"/><Relationship Id="rId7" Type="http://schemas.openxmlformats.org/officeDocument/2006/relationships/hyperlink" Target="http://www.imf.org" TargetMode="External"/><Relationship Id="rId8" Type="http://schemas.openxmlformats.org/officeDocument/2006/relationships/hyperlink" Target="http://data.worldbank.org/" TargetMode="External"/><Relationship Id="rId9" Type="http://schemas.openxmlformats.org/officeDocument/2006/relationships/hyperlink" Target="http://www.gso.gov.vn" TargetMode="External"/><Relationship Id="rId10" Type="http://schemas.openxmlformats.org/officeDocument/2006/relationships/hyperlink" Target="http://www.sbv.gov.v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t13402\Desktop\Project%20advanced%20metrics\Bo%20sung%20so%20lieu\Bo%20sung%20so%20lieu.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t13402\Desktop\Project%20advanced%20metrics\Bo%20sung%20so%20lieu\Bo%20sung%20so%20lieu.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t13402\Desktop\Project%20advanced%20metrics\Bo%20sung%20so%20lieu\Bo%20sung%20so%20lie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Sheet1!$A$2</c:f>
              <c:strCache>
                <c:ptCount val="1"/>
                <c:pt idx="0">
                  <c:v>Remittances</c:v>
                </c:pt>
              </c:strCache>
            </c:strRef>
          </c:tx>
          <c:cat>
            <c:numRef>
              <c:f>Sheet1!$B$1:$R$1</c:f>
              <c:numCache>
                <c:formatCode>General</c:formatCode>
                <c:ptCount val="17"/>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numCache>
            </c:numRef>
          </c:cat>
          <c:val>
            <c:numRef>
              <c:f>Sheet1!$B$2:$R$2</c:f>
              <c:numCache>
                <c:formatCode>General</c:formatCode>
                <c:ptCount val="17"/>
                <c:pt idx="0">
                  <c:v>1200.0</c:v>
                </c:pt>
                <c:pt idx="1">
                  <c:v>885.0</c:v>
                </c:pt>
                <c:pt idx="2">
                  <c:v>1122.0</c:v>
                </c:pt>
                <c:pt idx="3">
                  <c:v>1181.0</c:v>
                </c:pt>
                <c:pt idx="4">
                  <c:v>1340.0</c:v>
                </c:pt>
                <c:pt idx="5">
                  <c:v>1100.0</c:v>
                </c:pt>
                <c:pt idx="6">
                  <c:v>1770.0</c:v>
                </c:pt>
                <c:pt idx="7">
                  <c:v>2100.0</c:v>
                </c:pt>
                <c:pt idx="8">
                  <c:v>2310.0</c:v>
                </c:pt>
                <c:pt idx="9">
                  <c:v>3150.0</c:v>
                </c:pt>
                <c:pt idx="10">
                  <c:v>3800.0</c:v>
                </c:pt>
                <c:pt idx="11">
                  <c:v>6180.0</c:v>
                </c:pt>
                <c:pt idx="12">
                  <c:v>6805.0</c:v>
                </c:pt>
                <c:pt idx="13">
                  <c:v>6020.0</c:v>
                </c:pt>
                <c:pt idx="14">
                  <c:v>8260.0</c:v>
                </c:pt>
                <c:pt idx="15">
                  <c:v>8600.0</c:v>
                </c:pt>
                <c:pt idx="16">
                  <c:v>9000.0</c:v>
                </c:pt>
              </c:numCache>
            </c:numRef>
          </c:val>
          <c:smooth val="0"/>
        </c:ser>
        <c:ser>
          <c:idx val="1"/>
          <c:order val="1"/>
          <c:tx>
            <c:strRef>
              <c:f>Sheet1!$A$3</c:f>
              <c:strCache>
                <c:ptCount val="1"/>
                <c:pt idx="0">
                  <c:v>FDI</c:v>
                </c:pt>
              </c:strCache>
            </c:strRef>
          </c:tx>
          <c:cat>
            <c:numRef>
              <c:f>Sheet1!$B$1:$R$1</c:f>
              <c:numCache>
                <c:formatCode>General</c:formatCode>
                <c:ptCount val="17"/>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numCache>
            </c:numRef>
          </c:cat>
          <c:val>
            <c:numRef>
              <c:f>Sheet1!$B$3:$R$3</c:f>
              <c:numCache>
                <c:formatCode>General</c:formatCode>
                <c:ptCount val="17"/>
                <c:pt idx="0">
                  <c:v>1780.4</c:v>
                </c:pt>
                <c:pt idx="1">
                  <c:v>2395.0</c:v>
                </c:pt>
                <c:pt idx="2">
                  <c:v>2220.0</c:v>
                </c:pt>
                <c:pt idx="3">
                  <c:v>1671.0</c:v>
                </c:pt>
                <c:pt idx="4">
                  <c:v>1412.0</c:v>
                </c:pt>
                <c:pt idx="5">
                  <c:v>1298.0</c:v>
                </c:pt>
                <c:pt idx="6">
                  <c:v>1300.0</c:v>
                </c:pt>
                <c:pt idx="7">
                  <c:v>1400.0</c:v>
                </c:pt>
                <c:pt idx="8">
                  <c:v>1450.0</c:v>
                </c:pt>
                <c:pt idx="9">
                  <c:v>1610.0</c:v>
                </c:pt>
                <c:pt idx="10">
                  <c:v>1954.0</c:v>
                </c:pt>
                <c:pt idx="11">
                  <c:v>2400.0</c:v>
                </c:pt>
                <c:pt idx="12">
                  <c:v>6700.0</c:v>
                </c:pt>
                <c:pt idx="13">
                  <c:v>9579.0</c:v>
                </c:pt>
                <c:pt idx="14">
                  <c:v>7600.0</c:v>
                </c:pt>
                <c:pt idx="15">
                  <c:v>8000.0</c:v>
                </c:pt>
                <c:pt idx="16">
                  <c:v>7430.0</c:v>
                </c:pt>
              </c:numCache>
            </c:numRef>
          </c:val>
          <c:smooth val="0"/>
        </c:ser>
        <c:ser>
          <c:idx val="2"/>
          <c:order val="2"/>
          <c:tx>
            <c:strRef>
              <c:f>Sheet1!$A$4</c:f>
              <c:strCache>
                <c:ptCount val="1"/>
                <c:pt idx="0">
                  <c:v>ODA</c:v>
                </c:pt>
              </c:strCache>
            </c:strRef>
          </c:tx>
          <c:cat>
            <c:numRef>
              <c:f>Sheet1!$B$1:$R$1</c:f>
              <c:numCache>
                <c:formatCode>General</c:formatCode>
                <c:ptCount val="17"/>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numCache>
            </c:numRef>
          </c:cat>
          <c:val>
            <c:numRef>
              <c:f>Sheet1!$B$4:$R$4</c:f>
              <c:numCache>
                <c:formatCode>General</c:formatCode>
                <c:ptCount val="17"/>
                <c:pt idx="0">
                  <c:v>987.3079721747973</c:v>
                </c:pt>
                <c:pt idx="1">
                  <c:v>1050.540465360552</c:v>
                </c:pt>
                <c:pt idx="2">
                  <c:v>1234.81750841507</c:v>
                </c:pt>
                <c:pt idx="3">
                  <c:v>1492.567120387432</c:v>
                </c:pt>
                <c:pt idx="4">
                  <c:v>1751.90090847124</c:v>
                </c:pt>
                <c:pt idx="5">
                  <c:v>1488.562262229317</c:v>
                </c:pt>
                <c:pt idx="6">
                  <c:v>1328.667958088303</c:v>
                </c:pt>
                <c:pt idx="7">
                  <c:v>1835.44263399153</c:v>
                </c:pt>
                <c:pt idx="8">
                  <c:v>1907.846963370311</c:v>
                </c:pt>
                <c:pt idx="9">
                  <c:v>1972.814346131728</c:v>
                </c:pt>
                <c:pt idx="10">
                  <c:v>1898.48332778186</c:v>
                </c:pt>
                <c:pt idx="11">
                  <c:v>2580.548151759293</c:v>
                </c:pt>
                <c:pt idx="12">
                  <c:v>2619.401967038852</c:v>
                </c:pt>
                <c:pt idx="13">
                  <c:v>3826.039486253183</c:v>
                </c:pt>
                <c:pt idx="14">
                  <c:v>3011.606372435625</c:v>
                </c:pt>
                <c:pt idx="15">
                  <c:v>3680.402185081512</c:v>
                </c:pt>
                <c:pt idx="16">
                  <c:v>4209.566321870978</c:v>
                </c:pt>
              </c:numCache>
            </c:numRef>
          </c:val>
          <c:smooth val="0"/>
        </c:ser>
        <c:dLbls>
          <c:showLegendKey val="0"/>
          <c:showVal val="0"/>
          <c:showCatName val="0"/>
          <c:showSerName val="0"/>
          <c:showPercent val="0"/>
          <c:showBubbleSize val="0"/>
        </c:dLbls>
        <c:marker val="1"/>
        <c:smooth val="0"/>
        <c:axId val="2134648016"/>
        <c:axId val="2134650320"/>
      </c:lineChart>
      <c:catAx>
        <c:axId val="2134648016"/>
        <c:scaling>
          <c:orientation val="minMax"/>
        </c:scaling>
        <c:delete val="0"/>
        <c:axPos val="b"/>
        <c:numFmt formatCode="General" sourceLinked="1"/>
        <c:majorTickMark val="out"/>
        <c:minorTickMark val="none"/>
        <c:tickLblPos val="nextTo"/>
        <c:crossAx val="2134650320"/>
        <c:crosses val="autoZero"/>
        <c:auto val="1"/>
        <c:lblAlgn val="ctr"/>
        <c:lblOffset val="100"/>
        <c:noMultiLvlLbl val="0"/>
      </c:catAx>
      <c:valAx>
        <c:axId val="2134650320"/>
        <c:scaling>
          <c:orientation val="minMax"/>
        </c:scaling>
        <c:delete val="0"/>
        <c:axPos val="l"/>
        <c:majorGridlines/>
        <c:numFmt formatCode="General" sourceLinked="1"/>
        <c:majorTickMark val="out"/>
        <c:minorTickMark val="none"/>
        <c:tickLblPos val="nextTo"/>
        <c:crossAx val="2134648016"/>
        <c:crosses val="autoZero"/>
        <c:crossBetween val="between"/>
      </c:valAx>
    </c:plotArea>
    <c:legend>
      <c:legendPos val="b"/>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Sheet2!$A$2</c:f>
              <c:strCache>
                <c:ptCount val="1"/>
                <c:pt idx="0">
                  <c:v>Remittances % GDP</c:v>
                </c:pt>
              </c:strCache>
            </c:strRef>
          </c:tx>
          <c:cat>
            <c:numRef>
              <c:f>Sheet2!$B$1:$S$1</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Sheet2!$B$2:$S$2</c:f>
              <c:numCache>
                <c:formatCode>General</c:formatCode>
                <c:ptCount val="18"/>
                <c:pt idx="0">
                  <c:v>4.866679281623256</c:v>
                </c:pt>
                <c:pt idx="1">
                  <c:v>3.296862811474218</c:v>
                </c:pt>
                <c:pt idx="2">
                  <c:v>4.123544328844562</c:v>
                </c:pt>
                <c:pt idx="3">
                  <c:v>4.117327015276651</c:v>
                </c:pt>
                <c:pt idx="4">
                  <c:v>3.983342999937318</c:v>
                </c:pt>
                <c:pt idx="5">
                  <c:v>3.116911148271381</c:v>
                </c:pt>
                <c:pt idx="6">
                  <c:v>4.664289225197255</c:v>
                </c:pt>
                <c:pt idx="7">
                  <c:v>4.916067191528148</c:v>
                </c:pt>
                <c:pt idx="8">
                  <c:v>4.673832481830611</c:v>
                </c:pt>
                <c:pt idx="9">
                  <c:v>5.46559440306959</c:v>
                </c:pt>
                <c:pt idx="10">
                  <c:v>5.725334765181595</c:v>
                </c:pt>
                <c:pt idx="11">
                  <c:v>7.983008279801632</c:v>
                </c:pt>
                <c:pt idx="12">
                  <c:v>6.864702032180991</c:v>
                </c:pt>
                <c:pt idx="13">
                  <c:v>5.67846310344242</c:v>
                </c:pt>
                <c:pt idx="14">
                  <c:v>7.12488167113722</c:v>
                </c:pt>
                <c:pt idx="15">
                  <c:v>6.345014408890165</c:v>
                </c:pt>
                <c:pt idx="16">
                  <c:v>5.7758951925776</c:v>
                </c:pt>
                <c:pt idx="17">
                  <c:v>6.24307123753788</c:v>
                </c:pt>
              </c:numCache>
            </c:numRef>
          </c:val>
          <c:smooth val="0"/>
        </c:ser>
        <c:ser>
          <c:idx val="1"/>
          <c:order val="1"/>
          <c:tx>
            <c:strRef>
              <c:f>Sheet2!$A$3</c:f>
              <c:strCache>
                <c:ptCount val="1"/>
                <c:pt idx="0">
                  <c:v>Saving %GDP</c:v>
                </c:pt>
              </c:strCache>
            </c:strRef>
          </c:tx>
          <c:cat>
            <c:numRef>
              <c:f>Sheet2!$B$1:$S$1</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Sheet2!$B$3:$S$3</c:f>
              <c:numCache>
                <c:formatCode>General</c:formatCode>
                <c:ptCount val="18"/>
                <c:pt idx="0">
                  <c:v>20.42013172688524</c:v>
                </c:pt>
                <c:pt idx="1">
                  <c:v>21.62459719542092</c:v>
                </c:pt>
                <c:pt idx="2">
                  <c:v>24.02703573079675</c:v>
                </c:pt>
                <c:pt idx="3">
                  <c:v>27.55998256263782</c:v>
                </c:pt>
                <c:pt idx="4">
                  <c:v>27.94714452233475</c:v>
                </c:pt>
                <c:pt idx="5">
                  <c:v>29.47668661519178</c:v>
                </c:pt>
                <c:pt idx="6">
                  <c:v>27.6021886215496</c:v>
                </c:pt>
                <c:pt idx="7">
                  <c:v>26.4201864994073</c:v>
                </c:pt>
                <c:pt idx="8">
                  <c:v>24.67537622621532</c:v>
                </c:pt>
                <c:pt idx="9">
                  <c:v>34.4704369397116</c:v>
                </c:pt>
                <c:pt idx="10">
                  <c:v>35.6084383198391</c:v>
                </c:pt>
                <c:pt idx="11">
                  <c:v>31.49829308797378</c:v>
                </c:pt>
                <c:pt idx="12">
                  <c:v>27.24882071808555</c:v>
                </c:pt>
                <c:pt idx="13">
                  <c:v>28.5701146248584</c:v>
                </c:pt>
                <c:pt idx="14">
                  <c:v>30.47086458775523</c:v>
                </c:pt>
                <c:pt idx="15">
                  <c:v>27.7158331147988</c:v>
                </c:pt>
                <c:pt idx="16">
                  <c:v>32.0052522031824</c:v>
                </c:pt>
                <c:pt idx="17">
                  <c:v>32.00068949479694</c:v>
                </c:pt>
              </c:numCache>
            </c:numRef>
          </c:val>
          <c:smooth val="0"/>
        </c:ser>
        <c:ser>
          <c:idx val="2"/>
          <c:order val="2"/>
          <c:tx>
            <c:strRef>
              <c:f>Sheet2!$A$4</c:f>
              <c:strCache>
                <c:ptCount val="1"/>
                <c:pt idx="0">
                  <c:v>Investment % GDP</c:v>
                </c:pt>
              </c:strCache>
            </c:strRef>
          </c:tx>
          <c:cat>
            <c:numRef>
              <c:f>Sheet2!$B$1:$S$1</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Sheet2!$B$4:$S$4</c:f>
              <c:numCache>
                <c:formatCode>General</c:formatCode>
                <c:ptCount val="18"/>
                <c:pt idx="0">
                  <c:v>28.10289782504615</c:v>
                </c:pt>
                <c:pt idx="1">
                  <c:v>28.29958111391931</c:v>
                </c:pt>
                <c:pt idx="2">
                  <c:v>29.0498780339942</c:v>
                </c:pt>
                <c:pt idx="3">
                  <c:v>27.6297570306802</c:v>
                </c:pt>
                <c:pt idx="4">
                  <c:v>27.43796762266946</c:v>
                </c:pt>
                <c:pt idx="5">
                  <c:v>28.87076697493221</c:v>
                </c:pt>
                <c:pt idx="6">
                  <c:v>30.6959867878929</c:v>
                </c:pt>
                <c:pt idx="7">
                  <c:v>32.81903709839944</c:v>
                </c:pt>
                <c:pt idx="8">
                  <c:v>32.59773507500334</c:v>
                </c:pt>
                <c:pt idx="9">
                  <c:v>33.75740289124409</c:v>
                </c:pt>
                <c:pt idx="10">
                  <c:v>34.53665107647671</c:v>
                </c:pt>
                <c:pt idx="11">
                  <c:v>39.5662708970146</c:v>
                </c:pt>
                <c:pt idx="12">
                  <c:v>36.49312179658141</c:v>
                </c:pt>
                <c:pt idx="13">
                  <c:v>37.16257597498935</c:v>
                </c:pt>
                <c:pt idx="14">
                  <c:v>35.69380877437868</c:v>
                </c:pt>
                <c:pt idx="15">
                  <c:v>29.75062601600572</c:v>
                </c:pt>
                <c:pt idx="16">
                  <c:v>27.24332358934238</c:v>
                </c:pt>
                <c:pt idx="17">
                  <c:v>26.59197346622541</c:v>
                </c:pt>
              </c:numCache>
            </c:numRef>
          </c:val>
          <c:smooth val="0"/>
        </c:ser>
        <c:dLbls>
          <c:showLegendKey val="0"/>
          <c:showVal val="0"/>
          <c:showCatName val="0"/>
          <c:showSerName val="0"/>
          <c:showPercent val="0"/>
          <c:showBubbleSize val="0"/>
        </c:dLbls>
        <c:marker val="1"/>
        <c:smooth val="0"/>
        <c:axId val="2118292336"/>
        <c:axId val="2118294800"/>
      </c:lineChart>
      <c:catAx>
        <c:axId val="2118292336"/>
        <c:scaling>
          <c:orientation val="minMax"/>
        </c:scaling>
        <c:delete val="0"/>
        <c:axPos val="b"/>
        <c:numFmt formatCode="General" sourceLinked="1"/>
        <c:majorTickMark val="out"/>
        <c:minorTickMark val="none"/>
        <c:tickLblPos val="nextTo"/>
        <c:crossAx val="2118294800"/>
        <c:crosses val="autoZero"/>
        <c:auto val="1"/>
        <c:lblAlgn val="ctr"/>
        <c:lblOffset val="100"/>
        <c:noMultiLvlLbl val="0"/>
      </c:catAx>
      <c:valAx>
        <c:axId val="2118294800"/>
        <c:scaling>
          <c:orientation val="minMax"/>
        </c:scaling>
        <c:delete val="0"/>
        <c:axPos val="l"/>
        <c:majorGridlines/>
        <c:numFmt formatCode="General" sourceLinked="1"/>
        <c:majorTickMark val="out"/>
        <c:minorTickMark val="none"/>
        <c:tickLblPos val="nextTo"/>
        <c:crossAx val="211829233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Sheet3!$A$2</c:f>
              <c:strCache>
                <c:ptCount val="1"/>
                <c:pt idx="0">
                  <c:v>Inflation</c:v>
                </c:pt>
              </c:strCache>
            </c:strRef>
          </c:tx>
          <c:cat>
            <c:numRef>
              <c:f>Sheet3!$B$1:$S$1</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Sheet3!$B$2:$S$2</c:f>
              <c:numCache>
                <c:formatCode>General</c:formatCode>
                <c:ptCount val="18"/>
                <c:pt idx="0">
                  <c:v>8.696768945171323</c:v>
                </c:pt>
                <c:pt idx="1">
                  <c:v>6.597408545788054</c:v>
                </c:pt>
                <c:pt idx="2">
                  <c:v>8.837861043369271</c:v>
                </c:pt>
                <c:pt idx="3">
                  <c:v>5.73469931383717</c:v>
                </c:pt>
                <c:pt idx="4">
                  <c:v>11.59451111258166</c:v>
                </c:pt>
                <c:pt idx="5">
                  <c:v>2.677083174445528</c:v>
                </c:pt>
                <c:pt idx="6">
                  <c:v>4.94219246377486</c:v>
                </c:pt>
                <c:pt idx="7">
                  <c:v>6.888449683329043</c:v>
                </c:pt>
                <c:pt idx="8">
                  <c:v>9.232514957354865</c:v>
                </c:pt>
                <c:pt idx="9">
                  <c:v>9.203934461672755</c:v>
                </c:pt>
                <c:pt idx="10">
                  <c:v>8.568947974752472</c:v>
                </c:pt>
                <c:pt idx="11">
                  <c:v>9.63022561430115</c:v>
                </c:pt>
                <c:pt idx="12">
                  <c:v>22.67331617564312</c:v>
                </c:pt>
                <c:pt idx="13">
                  <c:v>6.215564438292089</c:v>
                </c:pt>
                <c:pt idx="14">
                  <c:v>12.07435765343685</c:v>
                </c:pt>
                <c:pt idx="15">
                  <c:v>21.26070291469989</c:v>
                </c:pt>
                <c:pt idx="16">
                  <c:v>10.92599390591553</c:v>
                </c:pt>
                <c:pt idx="17">
                  <c:v>4.761190261227609</c:v>
                </c:pt>
              </c:numCache>
            </c:numRef>
          </c:val>
          <c:smooth val="0"/>
        </c:ser>
        <c:ser>
          <c:idx val="1"/>
          <c:order val="1"/>
          <c:tx>
            <c:strRef>
              <c:f>Sheet3!$A$3</c:f>
              <c:strCache>
                <c:ptCount val="1"/>
                <c:pt idx="0">
                  <c:v>Trade deficit (%GDP)</c:v>
                </c:pt>
              </c:strCache>
            </c:strRef>
          </c:tx>
          <c:cat>
            <c:numRef>
              <c:f>Sheet3!$B$1:$S$1</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Sheet3!$B$3:$S$3</c:f>
              <c:numCache>
                <c:formatCode>General</c:formatCode>
                <c:ptCount val="18"/>
                <c:pt idx="0">
                  <c:v>-15.73154077784717</c:v>
                </c:pt>
                <c:pt idx="1">
                  <c:v>-9.231215872127807</c:v>
                </c:pt>
                <c:pt idx="2">
                  <c:v>-7.960425148197257</c:v>
                </c:pt>
                <c:pt idx="3">
                  <c:v>-0.29284967763187</c:v>
                </c:pt>
                <c:pt idx="4">
                  <c:v>-3.540419039496526</c:v>
                </c:pt>
                <c:pt idx="5">
                  <c:v>-3.218919149487536</c:v>
                </c:pt>
                <c:pt idx="6">
                  <c:v>-7.98463070754107</c:v>
                </c:pt>
                <c:pt idx="7">
                  <c:v>-11.82665307219056</c:v>
                </c:pt>
                <c:pt idx="8">
                  <c:v>-11.09984631832153</c:v>
                </c:pt>
                <c:pt idx="9">
                  <c:v>-8.123781903229153</c:v>
                </c:pt>
                <c:pt idx="10">
                  <c:v>-7.2386311436417</c:v>
                </c:pt>
                <c:pt idx="11">
                  <c:v>-15.99701853350541</c:v>
                </c:pt>
                <c:pt idx="12">
                  <c:v>-18.18686985159636</c:v>
                </c:pt>
                <c:pt idx="13">
                  <c:v>-12.1233635538275</c:v>
                </c:pt>
                <c:pt idx="14">
                  <c:v>-10.45544056821995</c:v>
                </c:pt>
                <c:pt idx="15">
                  <c:v>-7.025996769286166</c:v>
                </c:pt>
                <c:pt idx="16">
                  <c:v>0.229131687587951</c:v>
                </c:pt>
                <c:pt idx="17">
                  <c:v>0.710357745237449</c:v>
                </c:pt>
              </c:numCache>
            </c:numRef>
          </c:val>
          <c:smooth val="0"/>
        </c:ser>
        <c:ser>
          <c:idx val="2"/>
          <c:order val="2"/>
          <c:tx>
            <c:strRef>
              <c:f>Sheet3!$A$4</c:f>
              <c:strCache>
                <c:ptCount val="1"/>
                <c:pt idx="0">
                  <c:v>% change REER</c:v>
                </c:pt>
              </c:strCache>
            </c:strRef>
          </c:tx>
          <c:cat>
            <c:numRef>
              <c:f>Sheet3!$B$1:$S$1</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Sheet3!$B$4:$S$4</c:f>
              <c:numCache>
                <c:formatCode>General</c:formatCode>
                <c:ptCount val="18"/>
                <c:pt idx="0">
                  <c:v>4.442127988826045</c:v>
                </c:pt>
                <c:pt idx="1">
                  <c:v>11.66162490308534</c:v>
                </c:pt>
                <c:pt idx="2">
                  <c:v>1.794035823703092</c:v>
                </c:pt>
                <c:pt idx="3">
                  <c:v>-2.177123622126304</c:v>
                </c:pt>
                <c:pt idx="4">
                  <c:v>-4.73869970957851</c:v>
                </c:pt>
                <c:pt idx="5">
                  <c:v>6.117131582100599</c:v>
                </c:pt>
                <c:pt idx="6">
                  <c:v>8.891403490301751</c:v>
                </c:pt>
                <c:pt idx="7">
                  <c:v>15.16707874239525</c:v>
                </c:pt>
                <c:pt idx="8">
                  <c:v>-2.416944974668255</c:v>
                </c:pt>
                <c:pt idx="9">
                  <c:v>-8.653901572057117</c:v>
                </c:pt>
                <c:pt idx="10">
                  <c:v>0.951302927339292</c:v>
                </c:pt>
                <c:pt idx="11">
                  <c:v>0.182270620211233</c:v>
                </c:pt>
                <c:pt idx="12">
                  <c:v>-15.70310388594745</c:v>
                </c:pt>
                <c:pt idx="13">
                  <c:v>-9.504433406432737</c:v>
                </c:pt>
                <c:pt idx="14">
                  <c:v>0.114299798563166</c:v>
                </c:pt>
                <c:pt idx="15">
                  <c:v>-0.391252754957847</c:v>
                </c:pt>
                <c:pt idx="16">
                  <c:v>-7.615862107400337</c:v>
                </c:pt>
                <c:pt idx="17">
                  <c:v>-4.272187058481085</c:v>
                </c:pt>
              </c:numCache>
            </c:numRef>
          </c:val>
          <c:smooth val="0"/>
        </c:ser>
        <c:dLbls>
          <c:showLegendKey val="0"/>
          <c:showVal val="0"/>
          <c:showCatName val="0"/>
          <c:showSerName val="0"/>
          <c:showPercent val="0"/>
          <c:showBubbleSize val="0"/>
        </c:dLbls>
        <c:marker val="1"/>
        <c:smooth val="0"/>
        <c:axId val="2117998096"/>
        <c:axId val="2117985408"/>
      </c:lineChart>
      <c:catAx>
        <c:axId val="2117998096"/>
        <c:scaling>
          <c:orientation val="minMax"/>
        </c:scaling>
        <c:delete val="0"/>
        <c:axPos val="b"/>
        <c:numFmt formatCode="General" sourceLinked="1"/>
        <c:majorTickMark val="out"/>
        <c:minorTickMark val="none"/>
        <c:tickLblPos val="nextTo"/>
        <c:crossAx val="2117985408"/>
        <c:crosses val="autoZero"/>
        <c:auto val="1"/>
        <c:lblAlgn val="ctr"/>
        <c:lblOffset val="100"/>
        <c:noMultiLvlLbl val="0"/>
      </c:catAx>
      <c:valAx>
        <c:axId val="2117985408"/>
        <c:scaling>
          <c:orientation val="minMax"/>
        </c:scaling>
        <c:delete val="0"/>
        <c:axPos val="l"/>
        <c:majorGridlines/>
        <c:numFmt formatCode="General" sourceLinked="1"/>
        <c:majorTickMark val="out"/>
        <c:minorTickMark val="none"/>
        <c:tickLblPos val="nextTo"/>
        <c:crossAx val="21179980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2945</Words>
  <Characters>16787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GRIPS</dc:creator>
  <cp:lastModifiedBy>Microsoft Office User</cp:lastModifiedBy>
  <cp:revision>3</cp:revision>
  <dcterms:created xsi:type="dcterms:W3CDTF">2015-04-21T07:38:00Z</dcterms:created>
  <dcterms:modified xsi:type="dcterms:W3CDTF">2017-03-26T01:00:00Z</dcterms:modified>
</cp:coreProperties>
</file>