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6AD94" w14:textId="77777777" w:rsidR="009A428B" w:rsidRDefault="00AB2FF6" w:rsidP="009A428B">
      <w:pPr>
        <w:spacing w:before="200" w:after="200" w:line="400" w:lineRule="exact"/>
        <w:jc w:val="center"/>
        <w:outlineLvl w:val="0"/>
        <w:rPr>
          <w:b/>
          <w:sz w:val="32"/>
          <w:szCs w:val="32"/>
        </w:rPr>
      </w:pPr>
      <w:r w:rsidRPr="009A428B">
        <w:rPr>
          <w:b/>
          <w:sz w:val="32"/>
          <w:szCs w:val="32"/>
        </w:rPr>
        <w:t>The ASEAN</w:t>
      </w:r>
      <w:r w:rsidR="00195EF8" w:rsidRPr="009A428B">
        <w:rPr>
          <w:b/>
          <w:sz w:val="32"/>
          <w:szCs w:val="32"/>
        </w:rPr>
        <w:t xml:space="preserve"> Free Trade Agreement </w:t>
      </w:r>
      <w:r w:rsidR="00150A20" w:rsidRPr="009A428B">
        <w:rPr>
          <w:b/>
          <w:sz w:val="32"/>
          <w:szCs w:val="32"/>
        </w:rPr>
        <w:t xml:space="preserve">and </w:t>
      </w:r>
      <w:r w:rsidR="00D15AAE" w:rsidRPr="009A428B">
        <w:rPr>
          <w:b/>
          <w:sz w:val="32"/>
          <w:szCs w:val="32"/>
        </w:rPr>
        <w:t xml:space="preserve">Vietnam’s </w:t>
      </w:r>
      <w:r w:rsidR="00D444F0" w:rsidRPr="009A428B">
        <w:rPr>
          <w:b/>
          <w:sz w:val="32"/>
          <w:szCs w:val="32"/>
        </w:rPr>
        <w:t xml:space="preserve">Trade </w:t>
      </w:r>
      <w:r w:rsidR="005F443E" w:rsidRPr="009A428B">
        <w:rPr>
          <w:b/>
          <w:sz w:val="32"/>
          <w:szCs w:val="32"/>
        </w:rPr>
        <w:t>Efficiency</w:t>
      </w:r>
    </w:p>
    <w:p w14:paraId="676B8BF6" w14:textId="7BCDD2F7" w:rsidR="00D15AAE" w:rsidRPr="00604810" w:rsidRDefault="00D15AAE" w:rsidP="009130ED">
      <w:pPr>
        <w:spacing w:after="80" w:line="240" w:lineRule="exact"/>
        <w:outlineLvl w:val="0"/>
        <w:rPr>
          <w:b/>
          <w:sz w:val="20"/>
          <w:szCs w:val="20"/>
        </w:rPr>
      </w:pPr>
      <w:r w:rsidRPr="00604810">
        <w:rPr>
          <w:b/>
          <w:sz w:val="20"/>
          <w:szCs w:val="20"/>
        </w:rPr>
        <w:t>Abstract</w:t>
      </w:r>
    </w:p>
    <w:p w14:paraId="2164F039" w14:textId="32DDF313" w:rsidR="00394A04" w:rsidRPr="009A428B" w:rsidRDefault="00394A04" w:rsidP="009130ED">
      <w:pPr>
        <w:spacing w:after="80" w:line="240" w:lineRule="exact"/>
        <w:jc w:val="both"/>
        <w:rPr>
          <w:sz w:val="20"/>
          <w:szCs w:val="20"/>
        </w:rPr>
      </w:pPr>
      <w:r w:rsidRPr="009A428B">
        <w:rPr>
          <w:sz w:val="20"/>
          <w:szCs w:val="20"/>
        </w:rPr>
        <w:t xml:space="preserve">This study employs a stochastic gravity model to estimate </w:t>
      </w:r>
      <w:r w:rsidR="007E7586">
        <w:rPr>
          <w:sz w:val="20"/>
          <w:szCs w:val="20"/>
        </w:rPr>
        <w:t xml:space="preserve">the </w:t>
      </w:r>
      <w:r w:rsidR="005F443E" w:rsidRPr="009A428B">
        <w:rPr>
          <w:sz w:val="20"/>
          <w:szCs w:val="20"/>
        </w:rPr>
        <w:t>efficiency</w:t>
      </w:r>
      <w:r w:rsidRPr="009A428B">
        <w:rPr>
          <w:sz w:val="20"/>
          <w:szCs w:val="20"/>
        </w:rPr>
        <w:t xml:space="preserve"> perfo</w:t>
      </w:r>
      <w:r w:rsidR="00782AED" w:rsidRPr="009A428B">
        <w:rPr>
          <w:sz w:val="20"/>
          <w:szCs w:val="20"/>
        </w:rPr>
        <w:t>r</w:t>
      </w:r>
      <w:r w:rsidRPr="009A428B">
        <w:rPr>
          <w:sz w:val="20"/>
          <w:szCs w:val="20"/>
        </w:rPr>
        <w:t xml:space="preserve">mance of Vietnam’s </w:t>
      </w:r>
      <w:r w:rsidR="00565C50" w:rsidRPr="009A428B">
        <w:rPr>
          <w:sz w:val="20"/>
          <w:szCs w:val="20"/>
        </w:rPr>
        <w:t xml:space="preserve">trade </w:t>
      </w:r>
      <w:r w:rsidRPr="009A428B">
        <w:rPr>
          <w:sz w:val="20"/>
          <w:szCs w:val="20"/>
        </w:rPr>
        <w:t>with its main trading partners</w:t>
      </w:r>
      <w:r w:rsidR="00565C50" w:rsidRPr="009A428B">
        <w:rPr>
          <w:sz w:val="20"/>
          <w:szCs w:val="20"/>
        </w:rPr>
        <w:t xml:space="preserve"> from 1995-2015. Trade </w:t>
      </w:r>
      <w:r w:rsidR="005F443E" w:rsidRPr="009A428B">
        <w:rPr>
          <w:sz w:val="20"/>
          <w:szCs w:val="20"/>
        </w:rPr>
        <w:t>efficiency</w:t>
      </w:r>
      <w:r w:rsidR="00565C50" w:rsidRPr="009A428B">
        <w:rPr>
          <w:sz w:val="20"/>
          <w:szCs w:val="20"/>
        </w:rPr>
        <w:t xml:space="preserve"> is measured as the ratio of actual trade volume to the maximum likelihood. Moreover</w:t>
      </w:r>
      <w:r w:rsidR="00D75500" w:rsidRPr="009A428B">
        <w:rPr>
          <w:sz w:val="20"/>
          <w:szCs w:val="20"/>
        </w:rPr>
        <w:t>.</w:t>
      </w:r>
      <w:r w:rsidR="00565C50" w:rsidRPr="009A428B">
        <w:rPr>
          <w:sz w:val="20"/>
          <w:szCs w:val="20"/>
        </w:rPr>
        <w:t xml:space="preserve"> it analyzes the effects of both natural and man-made trade barriers on trade </w:t>
      </w:r>
      <w:r w:rsidR="005F443E" w:rsidRPr="009A428B">
        <w:rPr>
          <w:sz w:val="20"/>
          <w:szCs w:val="20"/>
        </w:rPr>
        <w:t>efficiency</w:t>
      </w:r>
      <w:r w:rsidR="00565C50" w:rsidRPr="009A428B">
        <w:rPr>
          <w:sz w:val="20"/>
          <w:szCs w:val="20"/>
        </w:rPr>
        <w:t xml:space="preserve">. </w:t>
      </w:r>
      <w:r w:rsidR="00B62C56" w:rsidRPr="009A428B">
        <w:rPr>
          <w:sz w:val="20"/>
          <w:szCs w:val="20"/>
        </w:rPr>
        <w:t>The e</w:t>
      </w:r>
      <w:r w:rsidR="00636276" w:rsidRPr="009A428B">
        <w:rPr>
          <w:sz w:val="20"/>
          <w:szCs w:val="20"/>
        </w:rPr>
        <w:t>mpirical results suggest that</w:t>
      </w:r>
      <w:r w:rsidR="00195EF8" w:rsidRPr="009A428B">
        <w:rPr>
          <w:sz w:val="20"/>
          <w:szCs w:val="20"/>
        </w:rPr>
        <w:t xml:space="preserve"> the</w:t>
      </w:r>
      <w:r w:rsidR="00636276" w:rsidRPr="009A428B">
        <w:rPr>
          <w:sz w:val="20"/>
          <w:szCs w:val="20"/>
        </w:rPr>
        <w:t xml:space="preserve"> actual trade of</w:t>
      </w:r>
      <w:r w:rsidR="001B2D18" w:rsidRPr="009A428B">
        <w:rPr>
          <w:sz w:val="20"/>
          <w:szCs w:val="20"/>
        </w:rPr>
        <w:t xml:space="preserve"> Vietnam </w:t>
      </w:r>
      <w:r w:rsidR="00195EF8" w:rsidRPr="009A428B">
        <w:rPr>
          <w:sz w:val="20"/>
          <w:szCs w:val="20"/>
        </w:rPr>
        <w:t xml:space="preserve">appears to be </w:t>
      </w:r>
      <w:r w:rsidR="001B2D18" w:rsidRPr="009A428B">
        <w:rPr>
          <w:sz w:val="20"/>
          <w:szCs w:val="20"/>
        </w:rPr>
        <w:t xml:space="preserve">much </w:t>
      </w:r>
      <w:r w:rsidR="00195EF8" w:rsidRPr="009A428B">
        <w:rPr>
          <w:sz w:val="20"/>
          <w:szCs w:val="20"/>
        </w:rPr>
        <w:t xml:space="preserve">smaller than a possible </w:t>
      </w:r>
      <w:r w:rsidR="00636276" w:rsidRPr="009A428B">
        <w:rPr>
          <w:sz w:val="20"/>
          <w:szCs w:val="20"/>
        </w:rPr>
        <w:t>efficien</w:t>
      </w:r>
      <w:r w:rsidR="00195EF8" w:rsidRPr="009A428B">
        <w:rPr>
          <w:sz w:val="20"/>
          <w:szCs w:val="20"/>
        </w:rPr>
        <w:t>cy</w:t>
      </w:r>
      <w:r w:rsidR="00636276" w:rsidRPr="009A428B">
        <w:rPr>
          <w:sz w:val="20"/>
          <w:szCs w:val="20"/>
        </w:rPr>
        <w:t xml:space="preserve"> level and </w:t>
      </w:r>
      <w:r w:rsidR="00195EF8" w:rsidRPr="009A428B">
        <w:rPr>
          <w:sz w:val="20"/>
          <w:szCs w:val="20"/>
        </w:rPr>
        <w:t xml:space="preserve">that </w:t>
      </w:r>
      <w:r w:rsidR="00636276" w:rsidRPr="009A428B">
        <w:rPr>
          <w:sz w:val="20"/>
          <w:szCs w:val="20"/>
        </w:rPr>
        <w:t xml:space="preserve">there </w:t>
      </w:r>
      <w:r w:rsidR="00343FD7" w:rsidRPr="009A428B">
        <w:rPr>
          <w:sz w:val="20"/>
          <w:szCs w:val="20"/>
        </w:rPr>
        <w:t>is</w:t>
      </w:r>
      <w:r w:rsidR="00636276" w:rsidRPr="009A428B">
        <w:rPr>
          <w:sz w:val="20"/>
          <w:szCs w:val="20"/>
        </w:rPr>
        <w:t xml:space="preserve"> large space for further </w:t>
      </w:r>
      <w:r w:rsidR="004B101F" w:rsidRPr="009A428B">
        <w:rPr>
          <w:sz w:val="20"/>
          <w:szCs w:val="20"/>
        </w:rPr>
        <w:t>progress</w:t>
      </w:r>
      <w:r w:rsidR="00636276" w:rsidRPr="009A428B">
        <w:rPr>
          <w:sz w:val="20"/>
          <w:szCs w:val="20"/>
        </w:rPr>
        <w:t>.</w:t>
      </w:r>
      <w:r w:rsidR="008B047C" w:rsidRPr="009A428B">
        <w:rPr>
          <w:sz w:val="20"/>
          <w:szCs w:val="20"/>
        </w:rPr>
        <w:t xml:space="preserve"> Export </w:t>
      </w:r>
      <w:r w:rsidR="005F443E" w:rsidRPr="009A428B">
        <w:rPr>
          <w:sz w:val="20"/>
          <w:szCs w:val="20"/>
        </w:rPr>
        <w:t>efficiency</w:t>
      </w:r>
      <w:r w:rsidR="008B047C" w:rsidRPr="009A428B">
        <w:rPr>
          <w:sz w:val="20"/>
          <w:szCs w:val="20"/>
        </w:rPr>
        <w:t xml:space="preserve"> outweighs that of import.</w:t>
      </w:r>
      <w:r w:rsidR="00210E80" w:rsidRPr="009A428B">
        <w:rPr>
          <w:sz w:val="20"/>
          <w:szCs w:val="20"/>
        </w:rPr>
        <w:t xml:space="preserve"> </w:t>
      </w:r>
      <w:r w:rsidR="00527968" w:rsidRPr="009A428B">
        <w:rPr>
          <w:sz w:val="20"/>
          <w:szCs w:val="20"/>
        </w:rPr>
        <w:t>Vietnam’s A</w:t>
      </w:r>
      <w:r w:rsidR="006B38DA">
        <w:rPr>
          <w:sz w:val="20"/>
          <w:szCs w:val="20"/>
        </w:rPr>
        <w:t xml:space="preserve">SEAN </w:t>
      </w:r>
      <w:r w:rsidR="00527968" w:rsidRPr="009A428B">
        <w:rPr>
          <w:sz w:val="20"/>
          <w:szCs w:val="20"/>
        </w:rPr>
        <w:t>F</w:t>
      </w:r>
      <w:r w:rsidR="006B38DA">
        <w:rPr>
          <w:sz w:val="20"/>
          <w:szCs w:val="20"/>
        </w:rPr>
        <w:t xml:space="preserve">ree </w:t>
      </w:r>
      <w:r w:rsidR="00527968" w:rsidRPr="009A428B">
        <w:rPr>
          <w:sz w:val="20"/>
          <w:szCs w:val="20"/>
        </w:rPr>
        <w:t>T</w:t>
      </w:r>
      <w:r w:rsidR="006B38DA">
        <w:rPr>
          <w:sz w:val="20"/>
          <w:szCs w:val="20"/>
        </w:rPr>
        <w:t xml:space="preserve">rade </w:t>
      </w:r>
      <w:r w:rsidR="00527968" w:rsidRPr="009A428B">
        <w:rPr>
          <w:sz w:val="20"/>
          <w:szCs w:val="20"/>
        </w:rPr>
        <w:t>A</w:t>
      </w:r>
      <w:r w:rsidR="006B38DA">
        <w:rPr>
          <w:sz w:val="20"/>
          <w:szCs w:val="20"/>
        </w:rPr>
        <w:t>greement</w:t>
      </w:r>
      <w:r w:rsidR="00527968" w:rsidRPr="009A428B">
        <w:rPr>
          <w:sz w:val="20"/>
          <w:szCs w:val="20"/>
        </w:rPr>
        <w:t xml:space="preserve"> </w:t>
      </w:r>
      <w:r w:rsidR="005C362E" w:rsidRPr="009A428B">
        <w:rPr>
          <w:sz w:val="20"/>
          <w:szCs w:val="20"/>
        </w:rPr>
        <w:t xml:space="preserve">membership </w:t>
      </w:r>
      <w:r w:rsidR="00527968" w:rsidRPr="009A428B">
        <w:rPr>
          <w:sz w:val="20"/>
          <w:szCs w:val="20"/>
        </w:rPr>
        <w:t>has</w:t>
      </w:r>
      <w:r w:rsidR="007E7586">
        <w:rPr>
          <w:sz w:val="20"/>
          <w:szCs w:val="20"/>
        </w:rPr>
        <w:t>,</w:t>
      </w:r>
      <w:r w:rsidR="00527968" w:rsidRPr="009A428B">
        <w:rPr>
          <w:sz w:val="20"/>
          <w:szCs w:val="20"/>
        </w:rPr>
        <w:t xml:space="preserve"> in general</w:t>
      </w:r>
      <w:r w:rsidR="007E7586">
        <w:rPr>
          <w:sz w:val="20"/>
          <w:szCs w:val="20"/>
        </w:rPr>
        <w:t>,</w:t>
      </w:r>
      <w:r w:rsidR="00527968" w:rsidRPr="009A428B">
        <w:rPr>
          <w:sz w:val="20"/>
          <w:szCs w:val="20"/>
        </w:rPr>
        <w:t xml:space="preserve"> </w:t>
      </w:r>
      <w:r w:rsidR="004832B1" w:rsidRPr="009A428B">
        <w:rPr>
          <w:sz w:val="20"/>
          <w:szCs w:val="20"/>
        </w:rPr>
        <w:t>improve</w:t>
      </w:r>
      <w:r w:rsidR="00527968" w:rsidRPr="009A428B">
        <w:rPr>
          <w:sz w:val="20"/>
          <w:szCs w:val="20"/>
        </w:rPr>
        <w:t xml:space="preserve">d </w:t>
      </w:r>
      <w:r w:rsidR="004832B1" w:rsidRPr="009A428B">
        <w:rPr>
          <w:sz w:val="20"/>
          <w:szCs w:val="20"/>
        </w:rPr>
        <w:t xml:space="preserve">the trade </w:t>
      </w:r>
      <w:r w:rsidR="005F443E" w:rsidRPr="009A428B">
        <w:rPr>
          <w:sz w:val="20"/>
          <w:szCs w:val="20"/>
        </w:rPr>
        <w:t>efficiency</w:t>
      </w:r>
      <w:r w:rsidR="007E7586">
        <w:rPr>
          <w:sz w:val="20"/>
          <w:szCs w:val="20"/>
        </w:rPr>
        <w:t>,</w:t>
      </w:r>
      <w:r w:rsidR="004832B1" w:rsidRPr="009A428B">
        <w:rPr>
          <w:sz w:val="20"/>
          <w:szCs w:val="20"/>
        </w:rPr>
        <w:t xml:space="preserve"> whereas tariffs and domestic devaluation </w:t>
      </w:r>
      <w:r w:rsidR="007E7586">
        <w:rPr>
          <w:sz w:val="20"/>
          <w:szCs w:val="20"/>
        </w:rPr>
        <w:t>have impaired</w:t>
      </w:r>
      <w:r w:rsidR="004832B1" w:rsidRPr="009A428B">
        <w:rPr>
          <w:sz w:val="20"/>
          <w:szCs w:val="20"/>
        </w:rPr>
        <w:t xml:space="preserve"> it</w:t>
      </w:r>
      <w:r w:rsidR="00523099" w:rsidRPr="009A428B">
        <w:rPr>
          <w:sz w:val="20"/>
          <w:szCs w:val="20"/>
        </w:rPr>
        <w:t xml:space="preserve">. </w:t>
      </w:r>
      <w:r w:rsidR="00527968" w:rsidRPr="009A428B">
        <w:rPr>
          <w:sz w:val="20"/>
          <w:szCs w:val="20"/>
        </w:rPr>
        <w:t xml:space="preserve">Our </w:t>
      </w:r>
      <w:r w:rsidR="00523099" w:rsidRPr="009A428B">
        <w:rPr>
          <w:sz w:val="20"/>
          <w:szCs w:val="20"/>
        </w:rPr>
        <w:t xml:space="preserve">findings </w:t>
      </w:r>
      <w:r w:rsidR="00527968" w:rsidRPr="009A428B">
        <w:rPr>
          <w:sz w:val="20"/>
          <w:szCs w:val="20"/>
        </w:rPr>
        <w:t>lead to the recommendation</w:t>
      </w:r>
      <w:r w:rsidR="00523099" w:rsidRPr="009A428B">
        <w:rPr>
          <w:sz w:val="20"/>
          <w:szCs w:val="20"/>
        </w:rPr>
        <w:t xml:space="preserve"> that Vietnam should join more Free Trade Agreement</w:t>
      </w:r>
      <w:r w:rsidR="005C362E" w:rsidRPr="009A428B">
        <w:rPr>
          <w:sz w:val="20"/>
          <w:szCs w:val="20"/>
        </w:rPr>
        <w:t>s</w:t>
      </w:r>
      <w:r w:rsidR="00537B26" w:rsidRPr="009A428B">
        <w:rPr>
          <w:sz w:val="20"/>
          <w:szCs w:val="20"/>
        </w:rPr>
        <w:t xml:space="preserve"> and </w:t>
      </w:r>
      <w:r w:rsidR="009B60AA">
        <w:rPr>
          <w:sz w:val="20"/>
          <w:szCs w:val="20"/>
        </w:rPr>
        <w:t>break down</w:t>
      </w:r>
      <w:r w:rsidR="00537B26" w:rsidRPr="009A428B">
        <w:rPr>
          <w:sz w:val="20"/>
          <w:szCs w:val="20"/>
        </w:rPr>
        <w:t xml:space="preserve"> the man-made barriers.</w:t>
      </w:r>
    </w:p>
    <w:p w14:paraId="1CC8A250" w14:textId="0E9A3B10" w:rsidR="005C362E" w:rsidRPr="009A428B" w:rsidRDefault="005C362E" w:rsidP="009130ED">
      <w:pPr>
        <w:spacing w:after="80" w:line="240" w:lineRule="exact"/>
        <w:jc w:val="both"/>
        <w:outlineLvl w:val="0"/>
        <w:rPr>
          <w:sz w:val="20"/>
          <w:szCs w:val="20"/>
        </w:rPr>
      </w:pPr>
      <w:r w:rsidRPr="009A428B">
        <w:rPr>
          <w:sz w:val="20"/>
          <w:szCs w:val="20"/>
        </w:rPr>
        <w:t>Key words: FTA</w:t>
      </w:r>
      <w:r w:rsidR="00D75500" w:rsidRPr="009A428B">
        <w:rPr>
          <w:sz w:val="20"/>
          <w:szCs w:val="20"/>
        </w:rPr>
        <w:t>,</w:t>
      </w:r>
      <w:r w:rsidRPr="009A428B">
        <w:rPr>
          <w:sz w:val="20"/>
          <w:szCs w:val="20"/>
        </w:rPr>
        <w:t xml:space="preserve"> Trade </w:t>
      </w:r>
      <w:r w:rsidR="005F443E" w:rsidRPr="009A428B">
        <w:rPr>
          <w:sz w:val="20"/>
          <w:szCs w:val="20"/>
        </w:rPr>
        <w:t>Efficiency</w:t>
      </w:r>
      <w:r w:rsidRPr="009A428B">
        <w:rPr>
          <w:sz w:val="20"/>
          <w:szCs w:val="20"/>
        </w:rPr>
        <w:t>, Trade Barriers</w:t>
      </w:r>
      <w:r w:rsidR="007C35D3" w:rsidRPr="009A428B">
        <w:rPr>
          <w:sz w:val="20"/>
          <w:szCs w:val="20"/>
        </w:rPr>
        <w:t>.</w:t>
      </w:r>
    </w:p>
    <w:p w14:paraId="79AFD4C2" w14:textId="7ACD869D" w:rsidR="007C35D3" w:rsidRPr="00604810" w:rsidRDefault="007C35D3" w:rsidP="009130ED">
      <w:pPr>
        <w:spacing w:after="80" w:line="240" w:lineRule="exact"/>
        <w:jc w:val="both"/>
        <w:outlineLvl w:val="0"/>
        <w:rPr>
          <w:b/>
          <w:sz w:val="20"/>
          <w:szCs w:val="20"/>
        </w:rPr>
      </w:pPr>
      <w:r w:rsidRPr="00604810">
        <w:rPr>
          <w:b/>
          <w:sz w:val="20"/>
          <w:szCs w:val="20"/>
        </w:rPr>
        <w:t>1. Introduction</w:t>
      </w:r>
    </w:p>
    <w:p w14:paraId="03619944" w14:textId="57B3A7C1" w:rsidR="002E066B" w:rsidRPr="009A428B" w:rsidRDefault="004D1089" w:rsidP="009130ED">
      <w:pPr>
        <w:spacing w:after="80" w:line="240" w:lineRule="exact"/>
        <w:jc w:val="both"/>
        <w:rPr>
          <w:sz w:val="20"/>
          <w:szCs w:val="20"/>
        </w:rPr>
      </w:pPr>
      <w:r w:rsidRPr="009A428B">
        <w:rPr>
          <w:sz w:val="20"/>
          <w:szCs w:val="20"/>
        </w:rPr>
        <w:t>Free Trade Agreements (FTAs) have become increasingly prevalent since the early 1990s</w:t>
      </w:r>
      <w:r w:rsidR="002E066B" w:rsidRPr="009A428B">
        <w:rPr>
          <w:sz w:val="20"/>
          <w:szCs w:val="20"/>
        </w:rPr>
        <w:t xml:space="preserve"> as an effective instrument to </w:t>
      </w:r>
      <w:r w:rsidR="005D2BAE" w:rsidRPr="009A428B">
        <w:rPr>
          <w:sz w:val="20"/>
          <w:szCs w:val="20"/>
        </w:rPr>
        <w:t>foster</w:t>
      </w:r>
      <w:r w:rsidR="002E066B" w:rsidRPr="009A428B">
        <w:rPr>
          <w:sz w:val="20"/>
          <w:szCs w:val="20"/>
        </w:rPr>
        <w:t xml:space="preserve"> trade</w:t>
      </w:r>
      <w:r w:rsidRPr="009A428B">
        <w:rPr>
          <w:sz w:val="20"/>
          <w:szCs w:val="20"/>
        </w:rPr>
        <w:t xml:space="preserve">. </w:t>
      </w:r>
      <w:r w:rsidR="001D2F91" w:rsidRPr="009A428B">
        <w:rPr>
          <w:sz w:val="20"/>
          <w:szCs w:val="20"/>
        </w:rPr>
        <w:t>I</w:t>
      </w:r>
      <w:r w:rsidR="00527968" w:rsidRPr="009A428B">
        <w:rPr>
          <w:sz w:val="20"/>
          <w:szCs w:val="20"/>
        </w:rPr>
        <w:t xml:space="preserve">n the year </w:t>
      </w:r>
      <w:r w:rsidR="002E066B" w:rsidRPr="009A428B">
        <w:rPr>
          <w:sz w:val="20"/>
          <w:szCs w:val="20"/>
        </w:rPr>
        <w:t xml:space="preserve">2016 </w:t>
      </w:r>
      <w:r w:rsidRPr="009A428B">
        <w:rPr>
          <w:sz w:val="20"/>
          <w:szCs w:val="20"/>
        </w:rPr>
        <w:t xml:space="preserve">the </w:t>
      </w:r>
      <w:r w:rsidR="002E066B" w:rsidRPr="009A428B">
        <w:rPr>
          <w:sz w:val="20"/>
          <w:szCs w:val="20"/>
        </w:rPr>
        <w:t xml:space="preserve">cumulative </w:t>
      </w:r>
      <w:r w:rsidRPr="009A428B">
        <w:rPr>
          <w:sz w:val="20"/>
          <w:szCs w:val="20"/>
        </w:rPr>
        <w:t xml:space="preserve">number of </w:t>
      </w:r>
      <w:r w:rsidR="002E066B" w:rsidRPr="009A428B">
        <w:rPr>
          <w:sz w:val="20"/>
          <w:szCs w:val="20"/>
        </w:rPr>
        <w:t xml:space="preserve">physical </w:t>
      </w:r>
      <w:r w:rsidRPr="009A428B">
        <w:rPr>
          <w:sz w:val="20"/>
          <w:szCs w:val="20"/>
        </w:rPr>
        <w:t xml:space="preserve">FTAs in force was </w:t>
      </w:r>
      <w:r w:rsidR="002E066B" w:rsidRPr="009A428B">
        <w:rPr>
          <w:sz w:val="20"/>
          <w:szCs w:val="20"/>
        </w:rPr>
        <w:t>267</w:t>
      </w:r>
      <w:r w:rsidRPr="009A428B">
        <w:rPr>
          <w:sz w:val="20"/>
          <w:szCs w:val="20"/>
        </w:rPr>
        <w:t xml:space="preserve">. </w:t>
      </w:r>
      <w:r w:rsidR="002E066B" w:rsidRPr="009A428B">
        <w:rPr>
          <w:sz w:val="20"/>
          <w:szCs w:val="20"/>
        </w:rPr>
        <w:t>International trade</w:t>
      </w:r>
      <w:r w:rsidR="005D2BAE" w:rsidRPr="009A428B">
        <w:rPr>
          <w:sz w:val="20"/>
          <w:szCs w:val="20"/>
        </w:rPr>
        <w:t xml:space="preserve"> play</w:t>
      </w:r>
      <w:r w:rsidR="001A7358" w:rsidRPr="009A428B">
        <w:rPr>
          <w:sz w:val="20"/>
          <w:szCs w:val="20"/>
        </w:rPr>
        <w:t>s</w:t>
      </w:r>
      <w:r w:rsidR="005D2BAE" w:rsidRPr="009A428B">
        <w:rPr>
          <w:sz w:val="20"/>
          <w:szCs w:val="20"/>
        </w:rPr>
        <w:t xml:space="preserve"> an important role in stimulating the </w:t>
      </w:r>
      <w:r w:rsidR="002A64D7" w:rsidRPr="009A428B">
        <w:rPr>
          <w:sz w:val="20"/>
          <w:szCs w:val="20"/>
        </w:rPr>
        <w:t>Vietnam’s economic de</w:t>
      </w:r>
      <w:r w:rsidR="009517A3">
        <w:rPr>
          <w:sz w:val="20"/>
          <w:szCs w:val="20"/>
        </w:rPr>
        <w:t>velopment. In order to promote</w:t>
      </w:r>
      <w:r w:rsidR="002A64D7" w:rsidRPr="009A428B">
        <w:rPr>
          <w:sz w:val="20"/>
          <w:szCs w:val="20"/>
        </w:rPr>
        <w:t xml:space="preserve"> international trade, the </w:t>
      </w:r>
      <w:r w:rsidR="00527968" w:rsidRPr="009A428B">
        <w:rPr>
          <w:sz w:val="20"/>
          <w:szCs w:val="20"/>
        </w:rPr>
        <w:t xml:space="preserve">responsible </w:t>
      </w:r>
      <w:r w:rsidR="002A64D7" w:rsidRPr="009A428B">
        <w:rPr>
          <w:sz w:val="20"/>
          <w:szCs w:val="20"/>
        </w:rPr>
        <w:t>Vietnamese authorit</w:t>
      </w:r>
      <w:r w:rsidR="00527968" w:rsidRPr="009A428B">
        <w:rPr>
          <w:sz w:val="20"/>
          <w:szCs w:val="20"/>
        </w:rPr>
        <w:t>ies</w:t>
      </w:r>
      <w:r w:rsidR="002A64D7" w:rsidRPr="009A428B">
        <w:rPr>
          <w:sz w:val="20"/>
          <w:szCs w:val="20"/>
        </w:rPr>
        <w:t xml:space="preserve"> ha</w:t>
      </w:r>
      <w:r w:rsidR="00527968" w:rsidRPr="009A428B">
        <w:rPr>
          <w:sz w:val="20"/>
          <w:szCs w:val="20"/>
        </w:rPr>
        <w:t>ve</w:t>
      </w:r>
      <w:r w:rsidR="002A64D7" w:rsidRPr="009A428B">
        <w:rPr>
          <w:sz w:val="20"/>
          <w:szCs w:val="20"/>
        </w:rPr>
        <w:t xml:space="preserve"> dynamically </w:t>
      </w:r>
      <w:r w:rsidR="009C3C8F">
        <w:rPr>
          <w:sz w:val="20"/>
          <w:szCs w:val="20"/>
        </w:rPr>
        <w:t>grown</w:t>
      </w:r>
      <w:r w:rsidR="002A64D7" w:rsidRPr="009A428B">
        <w:rPr>
          <w:sz w:val="20"/>
          <w:szCs w:val="20"/>
        </w:rPr>
        <w:t xml:space="preserve"> the number of FTAs with its trading partners. As of the beginning of year 2017, Vietnam has signed </w:t>
      </w:r>
      <w:r w:rsidR="0021000E" w:rsidRPr="009A428B">
        <w:rPr>
          <w:sz w:val="20"/>
          <w:szCs w:val="20"/>
        </w:rPr>
        <w:t xml:space="preserve">eleven FTAs. </w:t>
      </w:r>
      <w:r w:rsidR="00766522" w:rsidRPr="009A428B">
        <w:rPr>
          <w:sz w:val="20"/>
          <w:szCs w:val="20"/>
        </w:rPr>
        <w:t xml:space="preserve">Six out of </w:t>
      </w:r>
      <w:r w:rsidR="00F910A2" w:rsidRPr="009A428B">
        <w:rPr>
          <w:sz w:val="20"/>
          <w:szCs w:val="20"/>
        </w:rPr>
        <w:t>eleven</w:t>
      </w:r>
      <w:r w:rsidR="007B2377" w:rsidRPr="009A428B">
        <w:rPr>
          <w:sz w:val="20"/>
          <w:szCs w:val="20"/>
        </w:rPr>
        <w:t xml:space="preserve"> FTAs</w:t>
      </w:r>
      <w:r w:rsidR="00766522" w:rsidRPr="009A428B">
        <w:rPr>
          <w:sz w:val="20"/>
          <w:szCs w:val="20"/>
        </w:rPr>
        <w:t xml:space="preserve"> </w:t>
      </w:r>
      <w:r w:rsidR="002A60C3" w:rsidRPr="009A428B">
        <w:rPr>
          <w:sz w:val="20"/>
          <w:szCs w:val="20"/>
        </w:rPr>
        <w:t>were</w:t>
      </w:r>
      <w:r w:rsidR="00766522" w:rsidRPr="009A428B">
        <w:rPr>
          <w:sz w:val="20"/>
          <w:szCs w:val="20"/>
        </w:rPr>
        <w:t xml:space="preserve"> cou</w:t>
      </w:r>
      <w:r w:rsidR="00D850B1" w:rsidRPr="009A428B">
        <w:rPr>
          <w:sz w:val="20"/>
          <w:szCs w:val="20"/>
        </w:rPr>
        <w:t>n</w:t>
      </w:r>
      <w:r w:rsidR="00766522" w:rsidRPr="009A428B">
        <w:rPr>
          <w:sz w:val="20"/>
          <w:szCs w:val="20"/>
        </w:rPr>
        <w:t xml:space="preserve">tersigned as </w:t>
      </w:r>
      <w:r w:rsidR="00442650" w:rsidRPr="009A428B">
        <w:rPr>
          <w:sz w:val="20"/>
          <w:szCs w:val="20"/>
        </w:rPr>
        <w:t xml:space="preserve">a member of </w:t>
      </w:r>
      <w:r w:rsidR="005F3320" w:rsidRPr="009A428B">
        <w:rPr>
          <w:sz w:val="20"/>
          <w:szCs w:val="20"/>
        </w:rPr>
        <w:t>ASEAN Free Trade Area</w:t>
      </w:r>
      <w:r w:rsidR="00686B6B" w:rsidRPr="009A428B">
        <w:rPr>
          <w:sz w:val="20"/>
          <w:szCs w:val="20"/>
        </w:rPr>
        <w:t xml:space="preserve"> </w:t>
      </w:r>
      <w:r w:rsidR="005F3320" w:rsidRPr="009A428B">
        <w:rPr>
          <w:sz w:val="20"/>
          <w:szCs w:val="20"/>
        </w:rPr>
        <w:t>(</w:t>
      </w:r>
      <w:r w:rsidR="00442650" w:rsidRPr="009A428B">
        <w:rPr>
          <w:sz w:val="20"/>
          <w:szCs w:val="20"/>
        </w:rPr>
        <w:t>AFTA</w:t>
      </w:r>
      <w:r w:rsidR="005D6E4C" w:rsidRPr="009A428B">
        <w:rPr>
          <w:sz w:val="20"/>
          <w:szCs w:val="20"/>
        </w:rPr>
        <w:t>)</w:t>
      </w:r>
      <w:r w:rsidR="002229D0" w:rsidRPr="009A428B">
        <w:rPr>
          <w:sz w:val="20"/>
          <w:szCs w:val="20"/>
        </w:rPr>
        <w:t>.</w:t>
      </w:r>
      <w:r w:rsidR="007B2377" w:rsidRPr="009A428B">
        <w:rPr>
          <w:sz w:val="20"/>
          <w:szCs w:val="20"/>
        </w:rPr>
        <w:t xml:space="preserve"> </w:t>
      </w:r>
      <w:r w:rsidR="00527968" w:rsidRPr="009A428B">
        <w:rPr>
          <w:sz w:val="20"/>
          <w:szCs w:val="20"/>
        </w:rPr>
        <w:t>The t</w:t>
      </w:r>
      <w:r w:rsidR="007B2377" w:rsidRPr="009A428B">
        <w:rPr>
          <w:sz w:val="20"/>
          <w:szCs w:val="20"/>
        </w:rPr>
        <w:t xml:space="preserve">rade volume with these countries </w:t>
      </w:r>
      <w:r w:rsidR="00442650" w:rsidRPr="009A428B">
        <w:rPr>
          <w:sz w:val="20"/>
          <w:szCs w:val="20"/>
        </w:rPr>
        <w:t>(China, Korea, Japan, Australia and New Zealand, India, and Chile)</w:t>
      </w:r>
      <w:r w:rsidR="007B2377" w:rsidRPr="009A428B">
        <w:rPr>
          <w:sz w:val="20"/>
          <w:szCs w:val="20"/>
        </w:rPr>
        <w:t xml:space="preserve"> </w:t>
      </w:r>
      <w:r w:rsidR="007B723F" w:rsidRPr="009A428B">
        <w:rPr>
          <w:sz w:val="20"/>
          <w:szCs w:val="20"/>
        </w:rPr>
        <w:t xml:space="preserve">has witnessed </w:t>
      </w:r>
      <w:r w:rsidR="00527968" w:rsidRPr="009A428B">
        <w:rPr>
          <w:sz w:val="20"/>
          <w:szCs w:val="20"/>
        </w:rPr>
        <w:t xml:space="preserve">a </w:t>
      </w:r>
      <w:r w:rsidR="00554E66" w:rsidRPr="009A428B">
        <w:rPr>
          <w:sz w:val="20"/>
          <w:szCs w:val="20"/>
        </w:rPr>
        <w:t>substantial</w:t>
      </w:r>
      <w:r w:rsidR="00A200C6" w:rsidRPr="009A428B">
        <w:rPr>
          <w:sz w:val="20"/>
          <w:szCs w:val="20"/>
        </w:rPr>
        <w:t xml:space="preserve"> </w:t>
      </w:r>
      <w:r w:rsidR="00554E66" w:rsidRPr="009A428B">
        <w:rPr>
          <w:sz w:val="20"/>
          <w:szCs w:val="20"/>
        </w:rPr>
        <w:t>rise</w:t>
      </w:r>
      <w:r w:rsidR="00A200C6" w:rsidRPr="009A428B">
        <w:rPr>
          <w:sz w:val="20"/>
          <w:szCs w:val="20"/>
        </w:rPr>
        <w:t>.</w:t>
      </w:r>
    </w:p>
    <w:p w14:paraId="49E17CBC" w14:textId="64AF8F10" w:rsidR="00471BF7" w:rsidRDefault="00554E66" w:rsidP="007C48C0">
      <w:pPr>
        <w:widowControl w:val="0"/>
        <w:autoSpaceDE w:val="0"/>
        <w:autoSpaceDN w:val="0"/>
        <w:adjustRightInd w:val="0"/>
        <w:spacing w:after="80" w:line="240" w:lineRule="exact"/>
        <w:jc w:val="both"/>
        <w:rPr>
          <w:sz w:val="20"/>
          <w:szCs w:val="20"/>
        </w:rPr>
      </w:pPr>
      <w:r w:rsidRPr="009A428B">
        <w:rPr>
          <w:sz w:val="20"/>
          <w:szCs w:val="20"/>
        </w:rPr>
        <w:t>FTA</w:t>
      </w:r>
      <w:r w:rsidR="003D16B2">
        <w:rPr>
          <w:sz w:val="20"/>
          <w:szCs w:val="20"/>
        </w:rPr>
        <w:t>s</w:t>
      </w:r>
      <w:r w:rsidR="00AE360A" w:rsidRPr="009A428B">
        <w:rPr>
          <w:sz w:val="20"/>
          <w:szCs w:val="20"/>
        </w:rPr>
        <w:t xml:space="preserve"> </w:t>
      </w:r>
      <w:r w:rsidR="003D16B2">
        <w:rPr>
          <w:sz w:val="20"/>
          <w:szCs w:val="20"/>
        </w:rPr>
        <w:t>offer both advantages and disadvantages</w:t>
      </w:r>
      <w:r w:rsidR="00821600" w:rsidRPr="009A428B">
        <w:rPr>
          <w:sz w:val="20"/>
          <w:szCs w:val="20"/>
        </w:rPr>
        <w:t xml:space="preserve">. </w:t>
      </w:r>
      <w:r w:rsidR="00FA1A74" w:rsidRPr="009A428B">
        <w:rPr>
          <w:sz w:val="20"/>
          <w:szCs w:val="20"/>
        </w:rPr>
        <w:t xml:space="preserve">In terms of </w:t>
      </w:r>
      <w:r w:rsidR="00552D0E">
        <w:rPr>
          <w:sz w:val="20"/>
          <w:szCs w:val="20"/>
        </w:rPr>
        <w:t>the benefits</w:t>
      </w:r>
      <w:r w:rsidR="00FA1A74" w:rsidRPr="009A428B">
        <w:rPr>
          <w:sz w:val="20"/>
          <w:szCs w:val="20"/>
        </w:rPr>
        <w:t>,</w:t>
      </w:r>
      <w:r w:rsidR="004D1089" w:rsidRPr="009A428B">
        <w:rPr>
          <w:sz w:val="20"/>
          <w:szCs w:val="20"/>
        </w:rPr>
        <w:t xml:space="preserve"> trade creation</w:t>
      </w:r>
      <w:r w:rsidR="003578B2" w:rsidRPr="009A428B">
        <w:rPr>
          <w:sz w:val="20"/>
          <w:szCs w:val="20"/>
        </w:rPr>
        <w:t>’s</w:t>
      </w:r>
      <w:r w:rsidR="004D1089" w:rsidRPr="009A428B">
        <w:rPr>
          <w:sz w:val="20"/>
          <w:szCs w:val="20"/>
        </w:rPr>
        <w:t xml:space="preserve"> effect arise</w:t>
      </w:r>
      <w:r w:rsidR="00F36A7E" w:rsidRPr="009A428B">
        <w:rPr>
          <w:sz w:val="20"/>
          <w:szCs w:val="20"/>
        </w:rPr>
        <w:t>s</w:t>
      </w:r>
      <w:r w:rsidR="00552D0E">
        <w:rPr>
          <w:sz w:val="20"/>
          <w:szCs w:val="20"/>
        </w:rPr>
        <w:t xml:space="preserve"> from the abolition</w:t>
      </w:r>
      <w:r w:rsidR="004D1089" w:rsidRPr="009A428B">
        <w:rPr>
          <w:sz w:val="20"/>
          <w:szCs w:val="20"/>
        </w:rPr>
        <w:t xml:space="preserve"> of trade barriers such as tariffs on domestic goods and those of other members</w:t>
      </w:r>
      <w:r w:rsidR="009C6D53">
        <w:rPr>
          <w:sz w:val="20"/>
          <w:szCs w:val="20"/>
        </w:rPr>
        <w:t>; when it comes to the drawbacks</w:t>
      </w:r>
      <w:r w:rsidR="00FA1A74" w:rsidRPr="009A428B">
        <w:rPr>
          <w:sz w:val="20"/>
          <w:szCs w:val="20"/>
        </w:rPr>
        <w:t>,</w:t>
      </w:r>
      <w:r w:rsidR="004D1089" w:rsidRPr="009A428B">
        <w:rPr>
          <w:sz w:val="20"/>
          <w:szCs w:val="20"/>
        </w:rPr>
        <w:t xml:space="preserve"> trade diversion</w:t>
      </w:r>
      <w:r w:rsidR="003578B2" w:rsidRPr="009A428B">
        <w:rPr>
          <w:sz w:val="20"/>
          <w:szCs w:val="20"/>
        </w:rPr>
        <w:t>’s</w:t>
      </w:r>
      <w:r w:rsidR="004D1089" w:rsidRPr="009A428B">
        <w:rPr>
          <w:sz w:val="20"/>
          <w:szCs w:val="20"/>
        </w:rPr>
        <w:t xml:space="preserve"> effect</w:t>
      </w:r>
      <w:r w:rsidR="003F03A9" w:rsidRPr="009A428B">
        <w:rPr>
          <w:sz w:val="20"/>
          <w:szCs w:val="20"/>
        </w:rPr>
        <w:t xml:space="preserve"> exist</w:t>
      </w:r>
      <w:r w:rsidR="00F36A7E" w:rsidRPr="009A428B">
        <w:rPr>
          <w:sz w:val="20"/>
          <w:szCs w:val="20"/>
        </w:rPr>
        <w:t>s</w:t>
      </w:r>
      <w:r w:rsidR="004D1089" w:rsidRPr="009A428B">
        <w:rPr>
          <w:sz w:val="20"/>
          <w:szCs w:val="20"/>
        </w:rPr>
        <w:t xml:space="preserve"> due to the </w:t>
      </w:r>
      <w:r w:rsidR="005B5FDB" w:rsidRPr="009A428B">
        <w:rPr>
          <w:sz w:val="20"/>
          <w:szCs w:val="20"/>
        </w:rPr>
        <w:t>birth</w:t>
      </w:r>
      <w:r w:rsidR="004D1089" w:rsidRPr="009A428B">
        <w:rPr>
          <w:sz w:val="20"/>
          <w:szCs w:val="20"/>
        </w:rPr>
        <w:t xml:space="preserve"> of </w:t>
      </w:r>
      <w:r w:rsidR="00A24B71" w:rsidRPr="009A428B">
        <w:rPr>
          <w:sz w:val="20"/>
          <w:szCs w:val="20"/>
        </w:rPr>
        <w:t xml:space="preserve">some kinds of </w:t>
      </w:r>
      <w:r w:rsidR="004D1089" w:rsidRPr="009A428B">
        <w:rPr>
          <w:sz w:val="20"/>
          <w:szCs w:val="20"/>
        </w:rPr>
        <w:t>non-tariff</w:t>
      </w:r>
      <w:r w:rsidR="0047600B" w:rsidRPr="009A428B">
        <w:rPr>
          <w:sz w:val="20"/>
          <w:szCs w:val="20"/>
        </w:rPr>
        <w:t xml:space="preserve"> accompanying with FTA</w:t>
      </w:r>
      <w:r w:rsidR="00802C39" w:rsidRPr="009A428B">
        <w:rPr>
          <w:sz w:val="20"/>
          <w:szCs w:val="20"/>
        </w:rPr>
        <w:t xml:space="preserve"> that induce production and administrative cost</w:t>
      </w:r>
      <w:r w:rsidR="00D778F0" w:rsidRPr="009A428B">
        <w:rPr>
          <w:sz w:val="20"/>
          <w:szCs w:val="20"/>
        </w:rPr>
        <w:t xml:space="preserve">. </w:t>
      </w:r>
      <w:r w:rsidR="004D1089" w:rsidRPr="009A428B">
        <w:rPr>
          <w:sz w:val="20"/>
          <w:szCs w:val="20"/>
        </w:rPr>
        <w:t xml:space="preserve">A large number of </w:t>
      </w:r>
      <w:r w:rsidR="009438CF" w:rsidRPr="009A428B">
        <w:rPr>
          <w:sz w:val="20"/>
          <w:szCs w:val="20"/>
        </w:rPr>
        <w:t>seminar works</w:t>
      </w:r>
      <w:r w:rsidR="004D1089" w:rsidRPr="009A428B">
        <w:rPr>
          <w:sz w:val="20"/>
          <w:szCs w:val="20"/>
        </w:rPr>
        <w:t xml:space="preserve"> have questioned </w:t>
      </w:r>
      <w:r w:rsidR="0071354C">
        <w:rPr>
          <w:sz w:val="20"/>
          <w:szCs w:val="20"/>
        </w:rPr>
        <w:t>which effect</w:t>
      </w:r>
      <w:r w:rsidR="004E1C81" w:rsidRPr="009A428B">
        <w:rPr>
          <w:sz w:val="20"/>
          <w:szCs w:val="20"/>
        </w:rPr>
        <w:t xml:space="preserve"> is dominant</w:t>
      </w:r>
      <w:r w:rsidR="004D1089" w:rsidRPr="009A428B">
        <w:rPr>
          <w:sz w:val="20"/>
          <w:szCs w:val="20"/>
        </w:rPr>
        <w:t>. A positive and significant impact on trade flows among members in the European Community was shown by several economists (Aitken, 1973; Abrams, 1980; Brada &amp; Mendez, 1983)</w:t>
      </w:r>
      <w:r w:rsidR="00EE7091" w:rsidRPr="009A428B">
        <w:rPr>
          <w:sz w:val="20"/>
          <w:szCs w:val="20"/>
        </w:rPr>
        <w:t>.</w:t>
      </w:r>
      <w:r w:rsidR="004D1089" w:rsidRPr="009A428B">
        <w:rPr>
          <w:sz w:val="20"/>
          <w:szCs w:val="20"/>
        </w:rPr>
        <w:t xml:space="preserve"> </w:t>
      </w:r>
      <w:r w:rsidR="009D29DF" w:rsidRPr="009A428B">
        <w:rPr>
          <w:sz w:val="20"/>
          <w:szCs w:val="20"/>
        </w:rPr>
        <w:t xml:space="preserve">Bergstrand (1985) </w:t>
      </w:r>
      <w:r w:rsidR="004D1089" w:rsidRPr="009A428B">
        <w:rPr>
          <w:sz w:val="20"/>
          <w:szCs w:val="20"/>
        </w:rPr>
        <w:t xml:space="preserve">pointed out </w:t>
      </w:r>
      <w:r w:rsidR="009D29DF" w:rsidRPr="009A428B">
        <w:rPr>
          <w:sz w:val="20"/>
          <w:szCs w:val="20"/>
        </w:rPr>
        <w:t>insignificant effect</w:t>
      </w:r>
      <w:r w:rsidR="00BE7BFE" w:rsidRPr="009A428B">
        <w:rPr>
          <w:sz w:val="20"/>
          <w:szCs w:val="20"/>
        </w:rPr>
        <w:t>s</w:t>
      </w:r>
      <w:r w:rsidR="001A7358" w:rsidRPr="009A428B">
        <w:rPr>
          <w:sz w:val="20"/>
          <w:szCs w:val="20"/>
        </w:rPr>
        <w:t>, whereas</w:t>
      </w:r>
      <w:r w:rsidR="00EE7091" w:rsidRPr="009A428B">
        <w:rPr>
          <w:sz w:val="20"/>
          <w:szCs w:val="20"/>
        </w:rPr>
        <w:t xml:space="preserve"> </w:t>
      </w:r>
      <w:r w:rsidR="004D1089" w:rsidRPr="009A428B">
        <w:rPr>
          <w:sz w:val="20"/>
          <w:szCs w:val="20"/>
        </w:rPr>
        <w:t xml:space="preserve">Frankel </w:t>
      </w:r>
      <w:r w:rsidR="009B7517">
        <w:rPr>
          <w:sz w:val="20"/>
          <w:szCs w:val="20"/>
        </w:rPr>
        <w:t>and Wei</w:t>
      </w:r>
      <w:r w:rsidR="00821600" w:rsidRPr="009A428B">
        <w:rPr>
          <w:sz w:val="20"/>
          <w:szCs w:val="20"/>
        </w:rPr>
        <w:t xml:space="preserve"> (1996</w:t>
      </w:r>
      <w:r w:rsidR="009D29DF" w:rsidRPr="009A428B">
        <w:rPr>
          <w:sz w:val="20"/>
          <w:szCs w:val="20"/>
        </w:rPr>
        <w:t xml:space="preserve">) </w:t>
      </w:r>
      <w:r w:rsidR="004D1089" w:rsidRPr="009A428B">
        <w:rPr>
          <w:sz w:val="20"/>
          <w:szCs w:val="20"/>
        </w:rPr>
        <w:t xml:space="preserve">found </w:t>
      </w:r>
      <w:r w:rsidR="00EE7091" w:rsidRPr="009A428B">
        <w:rPr>
          <w:sz w:val="20"/>
          <w:szCs w:val="20"/>
        </w:rPr>
        <w:t>mixed results</w:t>
      </w:r>
      <w:r w:rsidR="004D1089" w:rsidRPr="009A428B">
        <w:rPr>
          <w:sz w:val="20"/>
          <w:szCs w:val="20"/>
        </w:rPr>
        <w:t>.</w:t>
      </w:r>
      <w:r w:rsidR="00AA6686" w:rsidRPr="009A428B">
        <w:rPr>
          <w:sz w:val="20"/>
          <w:szCs w:val="20"/>
        </w:rPr>
        <w:t xml:space="preserve"> </w:t>
      </w:r>
      <w:r w:rsidR="007662B7" w:rsidRPr="009A428B">
        <w:rPr>
          <w:sz w:val="20"/>
          <w:szCs w:val="20"/>
        </w:rPr>
        <w:t>Close to our</w:t>
      </w:r>
      <w:r w:rsidR="006E6D7C" w:rsidRPr="009A428B">
        <w:rPr>
          <w:sz w:val="20"/>
          <w:szCs w:val="20"/>
        </w:rPr>
        <w:t xml:space="preserve"> study of AFTA’s effects on Vietnam trade is Le, </w:t>
      </w:r>
      <w:r w:rsidR="00981AE6">
        <w:rPr>
          <w:sz w:val="20"/>
          <w:szCs w:val="20"/>
        </w:rPr>
        <w:t>Nguyen, and Bandara</w:t>
      </w:r>
      <w:r w:rsidR="006E6D7C" w:rsidRPr="009A428B">
        <w:rPr>
          <w:sz w:val="20"/>
          <w:szCs w:val="20"/>
        </w:rPr>
        <w:t xml:space="preserve"> (1996), Nguyen (2009)</w:t>
      </w:r>
      <w:r w:rsidR="00C10E02">
        <w:rPr>
          <w:sz w:val="20"/>
          <w:szCs w:val="20"/>
        </w:rPr>
        <w:t>,</w:t>
      </w:r>
      <w:r w:rsidR="002C433B" w:rsidRPr="009A428B">
        <w:rPr>
          <w:sz w:val="20"/>
          <w:szCs w:val="20"/>
        </w:rPr>
        <w:t xml:space="preserve"> and Narayan and Nguyen (2016</w:t>
      </w:r>
      <w:r w:rsidR="006E6D7C" w:rsidRPr="009A428B">
        <w:rPr>
          <w:sz w:val="20"/>
          <w:szCs w:val="20"/>
        </w:rPr>
        <w:t>). However, they</w:t>
      </w:r>
      <w:r w:rsidR="00CA2955" w:rsidRPr="009A428B">
        <w:rPr>
          <w:sz w:val="20"/>
          <w:szCs w:val="20"/>
        </w:rPr>
        <w:t xml:space="preserve"> all used the conventional gravity model</w:t>
      </w:r>
      <w:r w:rsidR="00701A86" w:rsidRPr="009A428B">
        <w:rPr>
          <w:sz w:val="20"/>
          <w:szCs w:val="20"/>
        </w:rPr>
        <w:t xml:space="preserve"> </w:t>
      </w:r>
      <w:r w:rsidR="00DB34D5" w:rsidRPr="009A428B">
        <w:rPr>
          <w:sz w:val="20"/>
          <w:szCs w:val="20"/>
        </w:rPr>
        <w:t>in trade analysis proposed by</w:t>
      </w:r>
      <w:r w:rsidR="00A20653" w:rsidRPr="009A428B">
        <w:rPr>
          <w:sz w:val="20"/>
          <w:szCs w:val="20"/>
        </w:rPr>
        <w:t xml:space="preserve"> Tinbergen (1962)</w:t>
      </w:r>
      <w:r w:rsidR="00CA2955" w:rsidRPr="009A428B">
        <w:rPr>
          <w:sz w:val="20"/>
          <w:szCs w:val="20"/>
        </w:rPr>
        <w:t xml:space="preserve"> and found a positive impact of AFTA on Vietnam’s bilateral trade</w:t>
      </w:r>
      <w:r w:rsidR="00CA2955" w:rsidRPr="00497C07">
        <w:rPr>
          <w:sz w:val="20"/>
          <w:szCs w:val="20"/>
        </w:rPr>
        <w:t>.</w:t>
      </w:r>
      <w:r w:rsidR="00D83959">
        <w:rPr>
          <w:sz w:val="20"/>
          <w:szCs w:val="20"/>
        </w:rPr>
        <w:t xml:space="preserve"> </w:t>
      </w:r>
      <w:r w:rsidR="00BD57BE" w:rsidRPr="00497C07">
        <w:rPr>
          <w:sz w:val="20"/>
          <w:szCs w:val="20"/>
        </w:rPr>
        <w:t>FTAs have always faced various barriers in the execution phase including but not limited to governmental trade barriers, resistance from domestic industrial leaders, opposition from labor syndicates, etc. (Aghdaie et al., 2012; Riasi, 2015). Therefore, in order to have an effective FTA</w:t>
      </w:r>
      <w:r w:rsidR="006634DE">
        <w:rPr>
          <w:sz w:val="20"/>
          <w:szCs w:val="20"/>
        </w:rPr>
        <w:t xml:space="preserve"> it</w:t>
      </w:r>
      <w:r w:rsidR="00BD57BE" w:rsidRPr="00497C07">
        <w:rPr>
          <w:sz w:val="20"/>
          <w:szCs w:val="20"/>
        </w:rPr>
        <w:t xml:space="preserve"> is necessary to engage all the parties that will be impacted by the FTA before the agreement comes into effect </w:t>
      </w:r>
      <w:r w:rsidR="00D83959">
        <w:rPr>
          <w:sz w:val="20"/>
          <w:szCs w:val="20"/>
        </w:rPr>
        <w:t>(Riasi &amp; Amiri Aghdaie, 2013).</w:t>
      </w:r>
    </w:p>
    <w:p w14:paraId="3FC4DF62" w14:textId="5F9C2F1A" w:rsidR="007C6276" w:rsidRDefault="007C6276" w:rsidP="007C48C0">
      <w:pPr>
        <w:widowControl w:val="0"/>
        <w:autoSpaceDE w:val="0"/>
        <w:autoSpaceDN w:val="0"/>
        <w:adjustRightInd w:val="0"/>
        <w:spacing w:after="80" w:line="240" w:lineRule="exact"/>
        <w:jc w:val="both"/>
        <w:rPr>
          <w:sz w:val="20"/>
          <w:szCs w:val="20"/>
        </w:rPr>
      </w:pPr>
      <w:r w:rsidRPr="009A428B">
        <w:rPr>
          <w:sz w:val="20"/>
          <w:szCs w:val="20"/>
        </w:rPr>
        <w:t xml:space="preserve">In this study, we aim to investigate </w:t>
      </w:r>
      <w:r w:rsidR="006542CC" w:rsidRPr="009A428B">
        <w:rPr>
          <w:sz w:val="20"/>
          <w:szCs w:val="20"/>
        </w:rPr>
        <w:t>how AFTA</w:t>
      </w:r>
      <w:r w:rsidRPr="009A428B">
        <w:rPr>
          <w:sz w:val="20"/>
          <w:szCs w:val="20"/>
        </w:rPr>
        <w:t xml:space="preserve"> and trade barriers affect Vietnam’s trade </w:t>
      </w:r>
      <w:r w:rsidR="005F443E" w:rsidRPr="009A428B">
        <w:rPr>
          <w:sz w:val="20"/>
          <w:szCs w:val="20"/>
        </w:rPr>
        <w:t>efficiency</w:t>
      </w:r>
      <w:r w:rsidRPr="009A428B">
        <w:rPr>
          <w:sz w:val="20"/>
          <w:szCs w:val="20"/>
        </w:rPr>
        <w:t xml:space="preserve">. </w:t>
      </w:r>
      <w:r w:rsidR="006542CC" w:rsidRPr="009A428B">
        <w:rPr>
          <w:sz w:val="20"/>
          <w:szCs w:val="20"/>
        </w:rPr>
        <w:t xml:space="preserve">Trade </w:t>
      </w:r>
      <w:r w:rsidR="005F443E" w:rsidRPr="009A428B">
        <w:rPr>
          <w:sz w:val="20"/>
          <w:szCs w:val="20"/>
        </w:rPr>
        <w:t>efficiency</w:t>
      </w:r>
      <w:r w:rsidR="006542CC" w:rsidRPr="009A428B">
        <w:rPr>
          <w:sz w:val="20"/>
          <w:szCs w:val="20"/>
        </w:rPr>
        <w:t xml:space="preserve"> is defined as the ratio of Vietnam</w:t>
      </w:r>
      <w:r w:rsidR="00486FE3" w:rsidRPr="009A428B">
        <w:rPr>
          <w:sz w:val="20"/>
          <w:szCs w:val="20"/>
        </w:rPr>
        <w:t>’s actual trade to its potential</w:t>
      </w:r>
      <w:r w:rsidR="008F37EB" w:rsidRPr="009A428B">
        <w:rPr>
          <w:sz w:val="20"/>
          <w:szCs w:val="20"/>
        </w:rPr>
        <w:t xml:space="preserve"> trade, </w:t>
      </w:r>
      <w:r w:rsidR="00C847E7">
        <w:rPr>
          <w:sz w:val="20"/>
          <w:szCs w:val="20"/>
        </w:rPr>
        <w:t>which</w:t>
      </w:r>
      <w:r w:rsidR="008F37EB" w:rsidRPr="009A428B">
        <w:rPr>
          <w:sz w:val="20"/>
          <w:szCs w:val="20"/>
        </w:rPr>
        <w:t xml:space="preserve"> is estimated with a stochastic frontier gravity model.</w:t>
      </w:r>
      <w:r w:rsidR="00623AC4" w:rsidRPr="009A428B">
        <w:rPr>
          <w:sz w:val="20"/>
          <w:szCs w:val="20"/>
        </w:rPr>
        <w:t xml:space="preserve"> We simultaneously analyze export and import flow.</w:t>
      </w:r>
      <w:r w:rsidR="003C60AB" w:rsidRPr="009A428B">
        <w:rPr>
          <w:sz w:val="20"/>
          <w:szCs w:val="20"/>
        </w:rPr>
        <w:t xml:space="preserve"> Our numerical results imply that Vietnam’s exports and imports with a lot of its trading partners</w:t>
      </w:r>
      <w:r w:rsidR="00D71EE1" w:rsidRPr="009A428B">
        <w:rPr>
          <w:sz w:val="20"/>
          <w:szCs w:val="20"/>
        </w:rPr>
        <w:t xml:space="preserve"> are </w:t>
      </w:r>
      <w:r w:rsidR="001F7DD0" w:rsidRPr="009A428B">
        <w:rPr>
          <w:sz w:val="20"/>
          <w:szCs w:val="20"/>
        </w:rPr>
        <w:t>far from</w:t>
      </w:r>
      <w:r w:rsidR="00D71EE1" w:rsidRPr="009A428B">
        <w:rPr>
          <w:sz w:val="20"/>
          <w:szCs w:val="20"/>
        </w:rPr>
        <w:t xml:space="preserve"> its efficient level</w:t>
      </w:r>
      <w:r w:rsidR="001F7DD0" w:rsidRPr="009A428B">
        <w:rPr>
          <w:sz w:val="20"/>
          <w:szCs w:val="20"/>
        </w:rPr>
        <w:t xml:space="preserve"> with the former exceeding the latter</w:t>
      </w:r>
      <w:r w:rsidR="009005BC" w:rsidRPr="009A428B">
        <w:rPr>
          <w:sz w:val="20"/>
          <w:szCs w:val="20"/>
        </w:rPr>
        <w:t>.</w:t>
      </w:r>
      <w:r w:rsidR="00625DAB" w:rsidRPr="009A428B">
        <w:rPr>
          <w:sz w:val="20"/>
          <w:szCs w:val="20"/>
        </w:rPr>
        <w:t xml:space="preserve"> Joining AFTA improve the Vietnam’s trade </w:t>
      </w:r>
      <w:r w:rsidR="005F443E" w:rsidRPr="009A428B">
        <w:rPr>
          <w:sz w:val="20"/>
          <w:szCs w:val="20"/>
        </w:rPr>
        <w:t>efficiency</w:t>
      </w:r>
      <w:r w:rsidR="00625DAB" w:rsidRPr="009A428B">
        <w:rPr>
          <w:sz w:val="20"/>
          <w:szCs w:val="20"/>
        </w:rPr>
        <w:t>.</w:t>
      </w:r>
      <w:r w:rsidR="001717C5" w:rsidRPr="009A428B">
        <w:rPr>
          <w:sz w:val="20"/>
          <w:szCs w:val="20"/>
        </w:rPr>
        <w:t xml:space="preserve"> </w:t>
      </w:r>
      <w:r w:rsidR="001C2D7F" w:rsidRPr="009A428B">
        <w:rPr>
          <w:sz w:val="20"/>
          <w:szCs w:val="20"/>
        </w:rPr>
        <w:t>Man-made trade barriers have been introduced for some goods reasons</w:t>
      </w:r>
      <w:r w:rsidR="002D7CFC" w:rsidRPr="009A428B">
        <w:rPr>
          <w:sz w:val="20"/>
          <w:szCs w:val="20"/>
        </w:rPr>
        <w:t xml:space="preserve">, but they only benefit </w:t>
      </w:r>
      <w:r w:rsidR="00B825D8" w:rsidRPr="009A428B">
        <w:rPr>
          <w:sz w:val="20"/>
          <w:szCs w:val="20"/>
        </w:rPr>
        <w:t>some limited sectors. For instance, infant industries in both developed and developing countries have been protected by those barriers under a</w:t>
      </w:r>
      <w:r w:rsidR="00E91C07" w:rsidRPr="009A428B">
        <w:rPr>
          <w:sz w:val="20"/>
          <w:szCs w:val="20"/>
        </w:rPr>
        <w:t xml:space="preserve"> high level of</w:t>
      </w:r>
      <w:r w:rsidR="00B825D8" w:rsidRPr="009A428B">
        <w:rPr>
          <w:sz w:val="20"/>
          <w:szCs w:val="20"/>
        </w:rPr>
        <w:t xml:space="preserve"> global competition. In general, i</w:t>
      </w:r>
      <w:r w:rsidR="001F7DD0" w:rsidRPr="009A428B">
        <w:rPr>
          <w:sz w:val="20"/>
          <w:szCs w:val="20"/>
        </w:rPr>
        <w:t xml:space="preserve">t is essential to eradicate </w:t>
      </w:r>
      <w:r w:rsidR="00765851" w:rsidRPr="009A428B">
        <w:rPr>
          <w:sz w:val="20"/>
          <w:szCs w:val="20"/>
        </w:rPr>
        <w:t>man-made trade resistance</w:t>
      </w:r>
      <w:r w:rsidR="005275CB" w:rsidRPr="009A428B">
        <w:rPr>
          <w:sz w:val="20"/>
          <w:szCs w:val="20"/>
        </w:rPr>
        <w:t xml:space="preserve"> so as to narrow the gap between </w:t>
      </w:r>
      <w:r w:rsidR="00E74698" w:rsidRPr="009A428B">
        <w:rPr>
          <w:sz w:val="20"/>
          <w:szCs w:val="20"/>
        </w:rPr>
        <w:t>actual trade and trade frontiers.</w:t>
      </w:r>
      <w:r w:rsidR="007344D6" w:rsidRPr="009A428B">
        <w:rPr>
          <w:sz w:val="20"/>
          <w:szCs w:val="20"/>
        </w:rPr>
        <w:t xml:space="preserve"> </w:t>
      </w:r>
    </w:p>
    <w:p w14:paraId="51A69D50" w14:textId="7FEDD961" w:rsidR="00410CDB" w:rsidRPr="00410CDB" w:rsidRDefault="00410CDB" w:rsidP="007C48C0">
      <w:pPr>
        <w:widowControl w:val="0"/>
        <w:autoSpaceDE w:val="0"/>
        <w:autoSpaceDN w:val="0"/>
        <w:adjustRightInd w:val="0"/>
        <w:spacing w:after="80" w:line="240" w:lineRule="exact"/>
        <w:jc w:val="both"/>
        <w:rPr>
          <w:rFonts w:cstheme="minorBidi"/>
          <w:b/>
          <w:sz w:val="20"/>
          <w:szCs w:val="20"/>
        </w:rPr>
      </w:pPr>
      <w:r w:rsidRPr="00410CDB">
        <w:rPr>
          <w:b/>
          <w:sz w:val="20"/>
          <w:szCs w:val="20"/>
        </w:rPr>
        <w:t>2. Literature Review</w:t>
      </w:r>
    </w:p>
    <w:p w14:paraId="08CDCF50" w14:textId="317A268B" w:rsidR="00E112F3" w:rsidRPr="00E7697D" w:rsidRDefault="00EA3B01" w:rsidP="00E7697D">
      <w:pPr>
        <w:spacing w:after="80" w:line="240" w:lineRule="exact"/>
        <w:jc w:val="both"/>
        <w:rPr>
          <w:sz w:val="20"/>
          <w:szCs w:val="20"/>
        </w:rPr>
      </w:pPr>
      <w:r w:rsidRPr="00E7697D">
        <w:rPr>
          <w:sz w:val="20"/>
          <w:szCs w:val="20"/>
        </w:rPr>
        <w:t xml:space="preserve">The </w:t>
      </w:r>
      <w:r w:rsidR="001B0855" w:rsidRPr="00E7697D">
        <w:rPr>
          <w:sz w:val="20"/>
          <w:szCs w:val="20"/>
        </w:rPr>
        <w:t xml:space="preserve">growth in Vietnam’s international trade has motivated economists to find out the </w:t>
      </w:r>
      <w:r w:rsidR="005B43D6" w:rsidRPr="00E7697D">
        <w:rPr>
          <w:sz w:val="20"/>
          <w:szCs w:val="20"/>
        </w:rPr>
        <w:t>determinants</w:t>
      </w:r>
      <w:r w:rsidR="001B0855" w:rsidRPr="00E7697D">
        <w:rPr>
          <w:sz w:val="20"/>
          <w:szCs w:val="20"/>
        </w:rPr>
        <w:t xml:space="preserve"> of this phenomenon.</w:t>
      </w:r>
      <w:r w:rsidR="001C6346" w:rsidRPr="00E7697D">
        <w:rPr>
          <w:sz w:val="20"/>
          <w:szCs w:val="20"/>
        </w:rPr>
        <w:t xml:space="preserve"> </w:t>
      </w:r>
      <w:r w:rsidR="005B43D6" w:rsidRPr="00E7697D">
        <w:rPr>
          <w:sz w:val="20"/>
          <w:szCs w:val="20"/>
        </w:rPr>
        <w:t>Le et al. (1996) analyze</w:t>
      </w:r>
      <w:r w:rsidR="00133B4D">
        <w:rPr>
          <w:sz w:val="20"/>
          <w:szCs w:val="20"/>
        </w:rPr>
        <w:t>d</w:t>
      </w:r>
      <w:r w:rsidR="005B43D6" w:rsidRPr="00E7697D">
        <w:rPr>
          <w:sz w:val="20"/>
          <w:szCs w:val="20"/>
        </w:rPr>
        <w:t xml:space="preserve"> the trade between Vietnam and </w:t>
      </w:r>
      <w:r w:rsidR="00281084" w:rsidRPr="00E7697D">
        <w:rPr>
          <w:sz w:val="20"/>
          <w:szCs w:val="20"/>
        </w:rPr>
        <w:t>17</w:t>
      </w:r>
      <w:r w:rsidR="005B43D6" w:rsidRPr="00E7697D">
        <w:rPr>
          <w:sz w:val="20"/>
          <w:szCs w:val="20"/>
        </w:rPr>
        <w:t xml:space="preserve"> Asia-Pacific Economic Cooperation (APEC) countries. They found that economic size and geographical distance are crucial in driving the intraregional trade volumes. </w:t>
      </w:r>
      <w:r w:rsidR="00593CC7" w:rsidRPr="00E7697D">
        <w:rPr>
          <w:sz w:val="20"/>
          <w:szCs w:val="20"/>
        </w:rPr>
        <w:t>They claim</w:t>
      </w:r>
      <w:r w:rsidR="00C51A34" w:rsidRPr="00E7697D">
        <w:rPr>
          <w:sz w:val="20"/>
          <w:szCs w:val="20"/>
        </w:rPr>
        <w:t xml:space="preserve">ed that artificial barriers to trade reduce their adverse effects on Vietnam’s trade compared to </w:t>
      </w:r>
      <w:r w:rsidR="00C16928" w:rsidRPr="00E7697D">
        <w:rPr>
          <w:sz w:val="20"/>
          <w:szCs w:val="20"/>
        </w:rPr>
        <w:t xml:space="preserve">the </w:t>
      </w:r>
      <w:r w:rsidR="00E91251" w:rsidRPr="00E7697D">
        <w:rPr>
          <w:sz w:val="20"/>
          <w:szCs w:val="20"/>
        </w:rPr>
        <w:t>1980s</w:t>
      </w:r>
      <w:r w:rsidR="00C51A34" w:rsidRPr="00E7697D">
        <w:rPr>
          <w:sz w:val="20"/>
          <w:szCs w:val="20"/>
        </w:rPr>
        <w:t>.</w:t>
      </w:r>
      <w:r w:rsidR="00281084" w:rsidRPr="00E7697D">
        <w:rPr>
          <w:sz w:val="20"/>
          <w:szCs w:val="20"/>
        </w:rPr>
        <w:t xml:space="preserve"> Nguyen and Xing (2008) examine</w:t>
      </w:r>
      <w:r w:rsidR="00133B4D">
        <w:rPr>
          <w:sz w:val="20"/>
          <w:szCs w:val="20"/>
        </w:rPr>
        <w:t>d</w:t>
      </w:r>
      <w:r w:rsidR="00281084" w:rsidRPr="00E7697D">
        <w:rPr>
          <w:sz w:val="20"/>
          <w:szCs w:val="20"/>
        </w:rPr>
        <w:t xml:space="preserve"> the effect of Foreign Direct Investment (FDI) from 23 countries on the Vietnam’s exports</w:t>
      </w:r>
      <w:r w:rsidR="00601444" w:rsidRPr="00E7697D">
        <w:rPr>
          <w:sz w:val="20"/>
          <w:szCs w:val="20"/>
        </w:rPr>
        <w:t>. Their empirical results suggest that FDI is one of the key factor</w:t>
      </w:r>
      <w:r w:rsidR="00133B4D">
        <w:rPr>
          <w:sz w:val="20"/>
          <w:szCs w:val="20"/>
        </w:rPr>
        <w:t>s in</w:t>
      </w:r>
      <w:r w:rsidR="00601444" w:rsidRPr="00E7697D">
        <w:rPr>
          <w:sz w:val="20"/>
          <w:szCs w:val="20"/>
        </w:rPr>
        <w:t xml:space="preserve"> determining the boom of Vietnam’</w:t>
      </w:r>
      <w:r w:rsidR="007B30E6" w:rsidRPr="00E7697D">
        <w:rPr>
          <w:sz w:val="20"/>
          <w:szCs w:val="20"/>
        </w:rPr>
        <w:t>s exports.</w:t>
      </w:r>
      <w:r w:rsidR="004B0E4A" w:rsidRPr="00E7697D">
        <w:rPr>
          <w:sz w:val="20"/>
          <w:szCs w:val="20"/>
        </w:rPr>
        <w:t xml:space="preserve"> </w:t>
      </w:r>
      <w:r w:rsidR="00380237" w:rsidRPr="00E7697D">
        <w:rPr>
          <w:sz w:val="20"/>
          <w:szCs w:val="20"/>
        </w:rPr>
        <w:t>Thanh and Duong (2011)</w:t>
      </w:r>
      <w:r w:rsidR="008C0D5E" w:rsidRPr="00E7697D">
        <w:rPr>
          <w:sz w:val="20"/>
          <w:szCs w:val="20"/>
        </w:rPr>
        <w:t>,</w:t>
      </w:r>
      <w:r w:rsidR="00380237" w:rsidRPr="00E7697D">
        <w:rPr>
          <w:sz w:val="20"/>
          <w:szCs w:val="20"/>
        </w:rPr>
        <w:t xml:space="preserve"> however, show that FDI inflow boo</w:t>
      </w:r>
      <w:r w:rsidR="00BC1557">
        <w:rPr>
          <w:sz w:val="20"/>
          <w:szCs w:val="20"/>
        </w:rPr>
        <w:t>s</w:t>
      </w:r>
      <w:r w:rsidR="00380237" w:rsidRPr="00E7697D">
        <w:rPr>
          <w:sz w:val="20"/>
          <w:szCs w:val="20"/>
        </w:rPr>
        <w:t>ts Vietnam’s exports but the magnitude is limited.</w:t>
      </w:r>
      <w:r w:rsidR="00760E46" w:rsidRPr="00E7697D">
        <w:rPr>
          <w:sz w:val="20"/>
          <w:szCs w:val="20"/>
        </w:rPr>
        <w:t xml:space="preserve"> They </w:t>
      </w:r>
      <w:r w:rsidR="000E28F4" w:rsidRPr="00E7697D">
        <w:rPr>
          <w:sz w:val="20"/>
          <w:szCs w:val="20"/>
        </w:rPr>
        <w:t xml:space="preserve">mainly </w:t>
      </w:r>
      <w:r w:rsidR="00760E46" w:rsidRPr="00E7697D">
        <w:rPr>
          <w:sz w:val="20"/>
          <w:szCs w:val="20"/>
        </w:rPr>
        <w:t xml:space="preserve">attribute the rapid growth of Vietnam’s exports to the improvement in </w:t>
      </w:r>
      <w:r w:rsidR="00BC1557">
        <w:rPr>
          <w:sz w:val="20"/>
          <w:szCs w:val="20"/>
        </w:rPr>
        <w:t xml:space="preserve">the </w:t>
      </w:r>
      <w:r w:rsidR="00760E46" w:rsidRPr="00E7697D">
        <w:rPr>
          <w:sz w:val="20"/>
          <w:szCs w:val="20"/>
        </w:rPr>
        <w:t xml:space="preserve">level of </w:t>
      </w:r>
      <w:r w:rsidR="00760E46" w:rsidRPr="00E7697D">
        <w:rPr>
          <w:sz w:val="20"/>
          <w:szCs w:val="20"/>
        </w:rPr>
        <w:lastRenderedPageBreak/>
        <w:t>national competitiveness and in the external trade opportunities</w:t>
      </w:r>
      <w:r w:rsidR="001866E3" w:rsidRPr="00E7697D">
        <w:rPr>
          <w:sz w:val="20"/>
          <w:szCs w:val="20"/>
        </w:rPr>
        <w:t>.</w:t>
      </w:r>
      <w:r w:rsidR="00DE3118" w:rsidRPr="00E7697D">
        <w:rPr>
          <w:sz w:val="20"/>
          <w:szCs w:val="20"/>
        </w:rPr>
        <w:t xml:space="preserve"> Narayan and Nguyen (2015)</w:t>
      </w:r>
      <w:r w:rsidR="008C0D5E" w:rsidRPr="00E7697D">
        <w:rPr>
          <w:sz w:val="20"/>
          <w:szCs w:val="20"/>
        </w:rPr>
        <w:t xml:space="preserve"> investigate</w:t>
      </w:r>
      <w:r w:rsidR="006E2E3D">
        <w:rPr>
          <w:sz w:val="20"/>
          <w:szCs w:val="20"/>
        </w:rPr>
        <w:t>d</w:t>
      </w:r>
      <w:r w:rsidR="008C0D5E" w:rsidRPr="00E7697D">
        <w:rPr>
          <w:sz w:val="20"/>
          <w:szCs w:val="20"/>
        </w:rPr>
        <w:t xml:space="preserve"> the bilateral trade between Vietnam and 54 trading partners in the period 1986-2010. They </w:t>
      </w:r>
      <w:r w:rsidR="006E2E3D">
        <w:rPr>
          <w:sz w:val="20"/>
          <w:szCs w:val="20"/>
        </w:rPr>
        <w:t>found out</w:t>
      </w:r>
      <w:r w:rsidR="008C0D5E" w:rsidRPr="00E7697D">
        <w:rPr>
          <w:sz w:val="20"/>
          <w:szCs w:val="20"/>
        </w:rPr>
        <w:t xml:space="preserve"> that the impact of trade gravity variables is </w:t>
      </w:r>
      <w:r w:rsidR="006A5814" w:rsidRPr="00E7697D">
        <w:rPr>
          <w:sz w:val="20"/>
          <w:szCs w:val="20"/>
        </w:rPr>
        <w:t>contingent on trading partners. T</w:t>
      </w:r>
      <w:r w:rsidR="008C0D5E" w:rsidRPr="00E7697D">
        <w:rPr>
          <w:sz w:val="20"/>
          <w:szCs w:val="20"/>
        </w:rPr>
        <w:t xml:space="preserve">hey </w:t>
      </w:r>
      <w:r w:rsidR="00997C6D" w:rsidRPr="00E7697D">
        <w:rPr>
          <w:sz w:val="20"/>
          <w:szCs w:val="20"/>
        </w:rPr>
        <w:t>propose</w:t>
      </w:r>
      <w:r w:rsidR="00DA3889">
        <w:rPr>
          <w:sz w:val="20"/>
          <w:szCs w:val="20"/>
        </w:rPr>
        <w:t>d</w:t>
      </w:r>
      <w:r w:rsidR="008C0D5E" w:rsidRPr="00E7697D">
        <w:rPr>
          <w:sz w:val="20"/>
          <w:szCs w:val="20"/>
        </w:rPr>
        <w:t xml:space="preserve"> that </w:t>
      </w:r>
      <w:r w:rsidR="00646B85" w:rsidRPr="00E7697D">
        <w:rPr>
          <w:sz w:val="20"/>
          <w:szCs w:val="20"/>
        </w:rPr>
        <w:t xml:space="preserve">the level of economic development should be focused </w:t>
      </w:r>
      <w:r w:rsidR="00392387">
        <w:rPr>
          <w:sz w:val="20"/>
          <w:szCs w:val="20"/>
        </w:rPr>
        <w:t xml:space="preserve">on </w:t>
      </w:r>
      <w:r w:rsidR="00646B85" w:rsidRPr="00E7697D">
        <w:rPr>
          <w:sz w:val="20"/>
          <w:szCs w:val="20"/>
        </w:rPr>
        <w:t xml:space="preserve">when </w:t>
      </w:r>
      <w:r w:rsidR="00392387">
        <w:rPr>
          <w:sz w:val="20"/>
          <w:szCs w:val="20"/>
        </w:rPr>
        <w:t xml:space="preserve">to </w:t>
      </w:r>
      <w:r w:rsidR="00262425">
        <w:rPr>
          <w:sz w:val="20"/>
          <w:szCs w:val="20"/>
        </w:rPr>
        <w:t>design and implement</w:t>
      </w:r>
      <w:r w:rsidR="00646B85" w:rsidRPr="00E7697D">
        <w:rPr>
          <w:sz w:val="20"/>
          <w:szCs w:val="20"/>
        </w:rPr>
        <w:t xml:space="preserve"> trade policy.</w:t>
      </w:r>
    </w:p>
    <w:p w14:paraId="0032F8DC" w14:textId="21B2DEE9" w:rsidR="00133430" w:rsidRPr="00E7697D" w:rsidRDefault="00133430" w:rsidP="00E7697D">
      <w:pPr>
        <w:spacing w:after="80" w:line="240" w:lineRule="exact"/>
        <w:jc w:val="both"/>
        <w:rPr>
          <w:sz w:val="20"/>
          <w:szCs w:val="20"/>
        </w:rPr>
      </w:pPr>
      <w:r w:rsidRPr="00E7697D">
        <w:rPr>
          <w:sz w:val="20"/>
          <w:szCs w:val="20"/>
        </w:rPr>
        <w:t>All of the above papers utilize the conventional gravity model invented by Tinbergen (1962)</w:t>
      </w:r>
      <w:r w:rsidR="00C26304">
        <w:rPr>
          <w:sz w:val="20"/>
          <w:szCs w:val="20"/>
        </w:rPr>
        <w:t>.</w:t>
      </w:r>
      <w:r w:rsidR="00E110A1">
        <w:rPr>
          <w:sz w:val="20"/>
          <w:szCs w:val="20"/>
        </w:rPr>
        <w:t xml:space="preserve"> Anderson and Wincoop (2003) claim</w:t>
      </w:r>
      <w:r w:rsidR="00A0043A">
        <w:rPr>
          <w:sz w:val="20"/>
          <w:szCs w:val="20"/>
        </w:rPr>
        <w:t>ed</w:t>
      </w:r>
      <w:r w:rsidR="00E110A1">
        <w:rPr>
          <w:sz w:val="20"/>
          <w:szCs w:val="20"/>
        </w:rPr>
        <w:t xml:space="preserve"> that the</w:t>
      </w:r>
      <w:r w:rsidR="00223012">
        <w:rPr>
          <w:sz w:val="20"/>
          <w:szCs w:val="20"/>
        </w:rPr>
        <w:t xml:space="preserve"> estimates of this model </w:t>
      </w:r>
      <w:r w:rsidR="009D4034">
        <w:rPr>
          <w:sz w:val="20"/>
          <w:szCs w:val="20"/>
        </w:rPr>
        <w:t xml:space="preserve">could be </w:t>
      </w:r>
      <w:r w:rsidRPr="00E7697D">
        <w:rPr>
          <w:sz w:val="20"/>
          <w:szCs w:val="20"/>
        </w:rPr>
        <w:t>biased because the conventional gravity model cannot control the resistances to trade such as distance and official barriers to trade; most of them are hard to quantify and therefore they are added into the unobserved disturbance term (</w:t>
      </w:r>
      <w:r w:rsidR="000836FB">
        <w:rPr>
          <w:sz w:val="20"/>
          <w:szCs w:val="20"/>
        </w:rPr>
        <w:t>Baier &amp; Bergstrand</w:t>
      </w:r>
      <w:r w:rsidR="00D94F0A">
        <w:rPr>
          <w:sz w:val="20"/>
          <w:szCs w:val="20"/>
        </w:rPr>
        <w:t>, 2009</w:t>
      </w:r>
      <w:r w:rsidRPr="00E7697D">
        <w:rPr>
          <w:sz w:val="20"/>
          <w:szCs w:val="20"/>
        </w:rPr>
        <w:t xml:space="preserve">). </w:t>
      </w:r>
      <w:r w:rsidR="00717859" w:rsidRPr="00E7697D">
        <w:rPr>
          <w:sz w:val="20"/>
          <w:szCs w:val="20"/>
        </w:rPr>
        <w:t>Our</w:t>
      </w:r>
      <w:r w:rsidRPr="00E7697D">
        <w:rPr>
          <w:sz w:val="20"/>
          <w:szCs w:val="20"/>
        </w:rPr>
        <w:t xml:space="preserve"> study makes use of the stochastic frontier gravity analysis to solve the problem of with the unobservable resistances to trade. Armstrong (2007) said that this type of method is acceptable and appropriate, and </w:t>
      </w:r>
      <w:r w:rsidR="00E24EF4">
        <w:rPr>
          <w:sz w:val="20"/>
          <w:szCs w:val="20"/>
        </w:rPr>
        <w:t xml:space="preserve">thus </w:t>
      </w:r>
      <w:r w:rsidRPr="00E7697D">
        <w:rPr>
          <w:sz w:val="20"/>
          <w:szCs w:val="20"/>
        </w:rPr>
        <w:t>can be used to estimate the unobservable resistances to trade.</w:t>
      </w:r>
      <w:r w:rsidR="00A51C7D" w:rsidRPr="00E7697D">
        <w:rPr>
          <w:sz w:val="20"/>
          <w:szCs w:val="20"/>
        </w:rPr>
        <w:t xml:space="preserve"> </w:t>
      </w:r>
      <w:r w:rsidR="000A6966">
        <w:rPr>
          <w:sz w:val="20"/>
          <w:szCs w:val="20"/>
        </w:rPr>
        <w:t>By using two</w:t>
      </w:r>
      <w:r w:rsidR="000A18C8">
        <w:rPr>
          <w:sz w:val="20"/>
          <w:szCs w:val="20"/>
        </w:rPr>
        <w:t xml:space="preserve">-way errors, our study is closed to </w:t>
      </w:r>
      <w:r w:rsidR="007072EE">
        <w:rPr>
          <w:sz w:val="20"/>
          <w:szCs w:val="20"/>
        </w:rPr>
        <w:t xml:space="preserve">research by </w:t>
      </w:r>
      <w:r w:rsidR="00961E7D">
        <w:rPr>
          <w:sz w:val="20"/>
          <w:szCs w:val="20"/>
        </w:rPr>
        <w:t>Nguyen (2009) which applies</w:t>
      </w:r>
      <w:r w:rsidR="000A18C8">
        <w:rPr>
          <w:sz w:val="20"/>
          <w:szCs w:val="20"/>
        </w:rPr>
        <w:t xml:space="preserve"> the Hausman-Taylor method </w:t>
      </w:r>
      <w:r w:rsidR="00240091">
        <w:rPr>
          <w:sz w:val="20"/>
          <w:szCs w:val="20"/>
        </w:rPr>
        <w:t>to examine the effect of AFTA on export flows using panel data.</w:t>
      </w:r>
      <w:r w:rsidR="000E573D">
        <w:rPr>
          <w:sz w:val="20"/>
          <w:szCs w:val="20"/>
        </w:rPr>
        <w:t xml:space="preserve"> But we differ from them in two main point</w:t>
      </w:r>
      <w:r w:rsidR="00591964">
        <w:rPr>
          <w:sz w:val="20"/>
          <w:szCs w:val="20"/>
        </w:rPr>
        <w:t>s</w:t>
      </w:r>
      <w:r w:rsidR="00F93E19">
        <w:rPr>
          <w:sz w:val="20"/>
          <w:szCs w:val="20"/>
        </w:rPr>
        <w:t xml:space="preserve">: first, </w:t>
      </w:r>
      <w:r w:rsidR="000E573D">
        <w:rPr>
          <w:sz w:val="20"/>
          <w:szCs w:val="20"/>
        </w:rPr>
        <w:t xml:space="preserve">we focus on the trade efficiency; second, we divide </w:t>
      </w:r>
      <w:r w:rsidR="00FD1876">
        <w:rPr>
          <w:sz w:val="20"/>
          <w:szCs w:val="20"/>
        </w:rPr>
        <w:t>trade barriers into natural and man-made</w:t>
      </w:r>
      <w:r w:rsidR="000E573D">
        <w:rPr>
          <w:sz w:val="20"/>
          <w:szCs w:val="20"/>
        </w:rPr>
        <w:t xml:space="preserve"> categories and </w:t>
      </w:r>
      <w:r w:rsidR="00D43C75">
        <w:rPr>
          <w:sz w:val="20"/>
          <w:szCs w:val="20"/>
        </w:rPr>
        <w:t>this lead</w:t>
      </w:r>
      <w:r w:rsidR="00014B2C">
        <w:rPr>
          <w:sz w:val="20"/>
          <w:szCs w:val="20"/>
        </w:rPr>
        <w:t>s</w:t>
      </w:r>
      <w:r w:rsidR="00D43C75">
        <w:rPr>
          <w:sz w:val="20"/>
          <w:szCs w:val="20"/>
        </w:rPr>
        <w:t xml:space="preserve"> to 2-step estimation.</w:t>
      </w:r>
    </w:p>
    <w:p w14:paraId="0922862D" w14:textId="7C51E7D4" w:rsidR="005400D6" w:rsidRPr="00D25F86" w:rsidRDefault="00410CDB" w:rsidP="009130ED">
      <w:pPr>
        <w:spacing w:after="80" w:line="240" w:lineRule="exact"/>
        <w:jc w:val="both"/>
        <w:outlineLvl w:val="0"/>
        <w:rPr>
          <w:b/>
          <w:sz w:val="20"/>
          <w:szCs w:val="20"/>
        </w:rPr>
      </w:pPr>
      <w:r>
        <w:rPr>
          <w:b/>
          <w:sz w:val="20"/>
          <w:szCs w:val="20"/>
        </w:rPr>
        <w:t>3</w:t>
      </w:r>
      <w:r w:rsidR="005400D6" w:rsidRPr="00D25F86">
        <w:rPr>
          <w:b/>
          <w:sz w:val="20"/>
          <w:szCs w:val="20"/>
        </w:rPr>
        <w:t>.</w:t>
      </w:r>
      <w:r w:rsidR="00FC4ADD" w:rsidRPr="00D25F86">
        <w:rPr>
          <w:b/>
          <w:sz w:val="20"/>
          <w:szCs w:val="20"/>
        </w:rPr>
        <w:t xml:space="preserve"> Methodology: Stochastic Frontier Gravity Model and Trade </w:t>
      </w:r>
      <w:r w:rsidR="005F443E" w:rsidRPr="00D25F86">
        <w:rPr>
          <w:b/>
          <w:sz w:val="20"/>
          <w:szCs w:val="20"/>
        </w:rPr>
        <w:t>Efficiency</w:t>
      </w:r>
    </w:p>
    <w:p w14:paraId="6D0E536F" w14:textId="412A5870" w:rsidR="003C60AB" w:rsidRPr="009A428B" w:rsidRDefault="005002A5" w:rsidP="009130ED">
      <w:pPr>
        <w:spacing w:after="80" w:line="240" w:lineRule="exact"/>
        <w:jc w:val="both"/>
        <w:rPr>
          <w:sz w:val="20"/>
          <w:szCs w:val="20"/>
        </w:rPr>
      </w:pPr>
      <w:r w:rsidRPr="009A428B">
        <w:rPr>
          <w:sz w:val="20"/>
          <w:szCs w:val="20"/>
        </w:rPr>
        <w:t xml:space="preserve">This paper </w:t>
      </w:r>
      <w:r w:rsidR="00417FA0" w:rsidRPr="009A428B">
        <w:rPr>
          <w:sz w:val="20"/>
          <w:szCs w:val="20"/>
        </w:rPr>
        <w:t xml:space="preserve">employs a modified version of gravity model that is </w:t>
      </w:r>
      <w:r w:rsidR="00883466" w:rsidRPr="009A428B">
        <w:rPr>
          <w:sz w:val="20"/>
          <w:szCs w:val="20"/>
        </w:rPr>
        <w:t>one of the main paradigm of numerical analysis on international trade and FTAs’ effects</w:t>
      </w:r>
      <w:r w:rsidR="00156CBE" w:rsidRPr="009A428B">
        <w:rPr>
          <w:sz w:val="20"/>
          <w:szCs w:val="20"/>
        </w:rPr>
        <w:t xml:space="preserve">. Canonical gravity models estimate the mean effects of driving factors of trade. </w:t>
      </w:r>
      <w:r w:rsidR="0084563F" w:rsidRPr="009A428B">
        <w:rPr>
          <w:sz w:val="20"/>
          <w:szCs w:val="20"/>
        </w:rPr>
        <w:t>Actual trade amounts are beneath the highest possibility levels due to the existence of both natural and man-made barriers.</w:t>
      </w:r>
      <w:r w:rsidR="00B32EF1" w:rsidRPr="009A428B">
        <w:rPr>
          <w:sz w:val="20"/>
          <w:szCs w:val="20"/>
        </w:rPr>
        <w:t xml:space="preserve"> As a consequence, </w:t>
      </w:r>
      <w:r w:rsidR="00FD7630" w:rsidRPr="009A428B">
        <w:rPr>
          <w:sz w:val="20"/>
          <w:szCs w:val="20"/>
        </w:rPr>
        <w:t xml:space="preserve">the gap between actual and </w:t>
      </w:r>
      <w:r w:rsidR="00D6708F" w:rsidRPr="009A428B">
        <w:rPr>
          <w:sz w:val="20"/>
          <w:szCs w:val="20"/>
        </w:rPr>
        <w:t>maximum</w:t>
      </w:r>
      <w:r w:rsidR="00FD7630" w:rsidRPr="009A428B">
        <w:rPr>
          <w:sz w:val="20"/>
          <w:szCs w:val="20"/>
        </w:rPr>
        <w:t xml:space="preserve"> trade always exists and </w:t>
      </w:r>
      <w:r w:rsidR="00D6708F" w:rsidRPr="009A428B">
        <w:rPr>
          <w:sz w:val="20"/>
          <w:szCs w:val="20"/>
        </w:rPr>
        <w:t xml:space="preserve">it could be </w:t>
      </w:r>
      <w:r w:rsidR="00FD7630" w:rsidRPr="009A428B">
        <w:rPr>
          <w:sz w:val="20"/>
          <w:szCs w:val="20"/>
        </w:rPr>
        <w:t>measure</w:t>
      </w:r>
      <w:r w:rsidR="00D6708F" w:rsidRPr="009A428B">
        <w:rPr>
          <w:sz w:val="20"/>
          <w:szCs w:val="20"/>
        </w:rPr>
        <w:t>d</w:t>
      </w:r>
      <w:r w:rsidR="00FD7630" w:rsidRPr="009A428B">
        <w:rPr>
          <w:sz w:val="20"/>
          <w:szCs w:val="20"/>
        </w:rPr>
        <w:t xml:space="preserve"> by using disturbances with non-zero and non-negative mean.</w:t>
      </w:r>
      <w:r w:rsidR="007234C4" w:rsidRPr="009A428B">
        <w:rPr>
          <w:sz w:val="20"/>
          <w:szCs w:val="20"/>
        </w:rPr>
        <w:t xml:space="preserve"> Kalirajan and Findlay (2005) proposed a method to estimate trade potential with gravity model motivated by the seminar works of</w:t>
      </w:r>
      <w:r w:rsidR="003C17D4" w:rsidRPr="009A428B">
        <w:rPr>
          <w:sz w:val="20"/>
          <w:szCs w:val="20"/>
        </w:rPr>
        <w:t xml:space="preserve"> measuring p</w:t>
      </w:r>
      <w:r w:rsidR="003E5E8E" w:rsidRPr="009A428B">
        <w:rPr>
          <w:sz w:val="20"/>
          <w:szCs w:val="20"/>
        </w:rPr>
        <w:t>roduction possibility frontiers.</w:t>
      </w:r>
      <w:r w:rsidR="002B7BBC" w:rsidRPr="009A428B">
        <w:rPr>
          <w:sz w:val="20"/>
          <w:szCs w:val="20"/>
        </w:rPr>
        <w:t xml:space="preserve"> Trade potential is defined as the highest feasible trade that can be reached without man-made barriers.</w:t>
      </w:r>
    </w:p>
    <w:p w14:paraId="27FA202C" w14:textId="4DBDF4D5" w:rsidR="009A4E94" w:rsidRDefault="004F4333" w:rsidP="009130ED">
      <w:pPr>
        <w:spacing w:after="80" w:line="240" w:lineRule="exact"/>
        <w:jc w:val="both"/>
        <w:rPr>
          <w:sz w:val="20"/>
          <w:szCs w:val="20"/>
        </w:rPr>
      </w:pPr>
      <w:r w:rsidRPr="009A428B">
        <w:rPr>
          <w:sz w:val="20"/>
          <w:szCs w:val="20"/>
        </w:rPr>
        <w:t>As in Armstrong (2007), the form of stochastic frontier gravity equation is given as follows:</w:t>
      </w:r>
    </w:p>
    <w:p w14:paraId="41B0F62D" w14:textId="5A42B09A" w:rsidR="009A4E94" w:rsidRPr="009A428B" w:rsidRDefault="00475315" w:rsidP="00475315">
      <w:pPr>
        <w:spacing w:after="80" w:line="240" w:lineRule="exact"/>
        <w:jc w:val="right"/>
        <w:rPr>
          <w:sz w:val="20"/>
          <w:szCs w:val="20"/>
        </w:rPr>
      </w:pPr>
      <w:r>
        <w:rPr>
          <w:sz w:val="20"/>
          <w:szCs w:val="20"/>
        </w:rPr>
        <w:t xml:space="preserve">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r>
              <m:rPr>
                <m:sty m:val="p"/>
              </m:rPr>
              <w:rPr>
                <w:rFonts w:ascii="Cambria Math" w:hAnsi="Cambria Math"/>
                <w:sz w:val="20"/>
                <w:szCs w:val="20"/>
              </w:rPr>
              <m:t>(</m:t>
            </m:r>
            <m:r>
              <w:rPr>
                <w:rFonts w:ascii="Cambria Math" w:hAnsi="Cambria Math"/>
                <w:sz w:val="20"/>
                <w:szCs w:val="20"/>
              </w:rPr>
              <m:t>Y</m:t>
            </m:r>
          </m:e>
          <m:sub>
            <m:r>
              <w:rPr>
                <w:rFonts w:ascii="Cambria Math" w:hAnsi="Cambria Math"/>
                <w:sz w:val="20"/>
                <w:szCs w:val="20"/>
              </w:rPr>
              <m:t>it</m:t>
            </m:r>
          </m:sub>
        </m:sSub>
        <m:r>
          <m:rPr>
            <m:sty m:val="p"/>
          </m:rPr>
          <w:rPr>
            <w:rFonts w:ascii="Cambria Math" w:hAnsi="Cambria Math"/>
            <w:sz w:val="20"/>
            <w:szCs w:val="20"/>
          </w:rPr>
          <m:t>;</m:t>
        </m:r>
        <m:r>
          <w:rPr>
            <w:rFonts w:ascii="Cambria Math" w:hAnsi="Cambria Math"/>
            <w:sz w:val="20"/>
            <w:szCs w:val="20"/>
          </w:rPr>
          <m:t>β</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exp</m:t>
            </m:r>
          </m:e>
          <m:sup>
            <m:sSub>
              <m:sSubPr>
                <m:ctrlPr>
                  <w:rPr>
                    <w:rFonts w:ascii="Cambria Math" w:hAnsi="Cambria Math"/>
                    <w:sz w:val="20"/>
                    <w:szCs w:val="20"/>
                  </w:rPr>
                </m:ctrlPr>
              </m:sSubPr>
              <m:e>
                <m:r>
                  <m:rPr>
                    <m:sty m:val="p"/>
                  </m:rPr>
                  <w:rPr>
                    <w:rFonts w:ascii="Cambria Math" w:hAnsi="Cambria Math"/>
                    <w:sz w:val="20"/>
                    <w:szCs w:val="20"/>
                  </w:rPr>
                  <m:t>(</m:t>
                </m:r>
                <m:r>
                  <w:rPr>
                    <w:rFonts w:ascii="Cambria Math" w:hAnsi="Cambria Math"/>
                    <w:sz w:val="20"/>
                    <w:szCs w:val="20"/>
                  </w:rPr>
                  <m:t>v</m:t>
                </m:r>
              </m:e>
              <m:sub>
                <m:r>
                  <w:rPr>
                    <w:rFonts w:ascii="Cambria Math" w:hAnsi="Cambria Math"/>
                    <w:sz w:val="20"/>
                    <w:szCs w:val="20"/>
                  </w:rPr>
                  <m:t>it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it</m:t>
                </m:r>
              </m:sub>
            </m:sSub>
            <m:r>
              <m:rPr>
                <m:sty m:val="p"/>
              </m:rPr>
              <w:rPr>
                <w:rFonts w:ascii="Cambria Math" w:hAnsi="Cambria Math"/>
                <w:sz w:val="20"/>
                <w:szCs w:val="20"/>
              </w:rPr>
              <m:t>)</m:t>
            </m:r>
          </m:sup>
        </m:sSup>
      </m:oMath>
      <w:r>
        <w:rPr>
          <w:sz w:val="20"/>
          <w:szCs w:val="20"/>
        </w:rPr>
        <w:tab/>
      </w:r>
      <w:r>
        <w:rPr>
          <w:sz w:val="20"/>
          <w:szCs w:val="20"/>
        </w:rPr>
        <w:tab/>
      </w:r>
      <w:r>
        <w:rPr>
          <w:sz w:val="20"/>
          <w:szCs w:val="20"/>
        </w:rPr>
        <w:tab/>
      </w:r>
      <w:r>
        <w:rPr>
          <w:sz w:val="20"/>
          <w:szCs w:val="20"/>
        </w:rPr>
        <w:tab/>
      </w:r>
      <w:r>
        <w:rPr>
          <w:sz w:val="20"/>
          <w:szCs w:val="20"/>
        </w:rPr>
        <w:tab/>
        <w:t xml:space="preserve">        </w:t>
      </w:r>
      <w:r w:rsidR="004F4333" w:rsidRPr="009A428B">
        <w:rPr>
          <w:sz w:val="20"/>
          <w:szCs w:val="20"/>
        </w:rPr>
        <w:t>(</w:t>
      </w:r>
      <w:r w:rsidR="009A4E94" w:rsidRPr="009A428B">
        <w:rPr>
          <w:sz w:val="20"/>
          <w:szCs w:val="20"/>
        </w:rPr>
        <w:t>1)</w:t>
      </w:r>
    </w:p>
    <w:p w14:paraId="1EBCC587" w14:textId="4DB64898" w:rsidR="00833AB5" w:rsidRPr="009A428B" w:rsidRDefault="009A4E94" w:rsidP="009130ED">
      <w:pPr>
        <w:spacing w:after="80" w:line="240" w:lineRule="exact"/>
        <w:jc w:val="both"/>
        <w:rPr>
          <w:sz w:val="20"/>
          <w:szCs w:val="20"/>
        </w:rPr>
      </w:pPr>
      <w:r w:rsidRPr="009A428B">
        <w:rPr>
          <w:sz w:val="20"/>
          <w:szCs w:val="20"/>
        </w:rPr>
        <w:t>where X</w:t>
      </w:r>
      <w:r w:rsidR="004F4333" w:rsidRPr="009A428B">
        <w:rPr>
          <w:sz w:val="20"/>
          <w:szCs w:val="20"/>
          <w:vertAlign w:val="subscript"/>
        </w:rPr>
        <w:t>i</w:t>
      </w:r>
      <w:r w:rsidRPr="009A428B">
        <w:rPr>
          <w:sz w:val="20"/>
          <w:szCs w:val="20"/>
          <w:vertAlign w:val="subscript"/>
        </w:rPr>
        <w:t>t</w:t>
      </w:r>
      <w:r w:rsidRPr="009A428B">
        <w:rPr>
          <w:sz w:val="20"/>
          <w:szCs w:val="20"/>
        </w:rPr>
        <w:t xml:space="preserve"> is the bilateral </w:t>
      </w:r>
      <w:r w:rsidR="005B056E" w:rsidRPr="009A428B">
        <w:rPr>
          <w:sz w:val="20"/>
          <w:szCs w:val="20"/>
        </w:rPr>
        <w:t>trade</w:t>
      </w:r>
      <w:r w:rsidRPr="009A428B">
        <w:rPr>
          <w:sz w:val="20"/>
          <w:szCs w:val="20"/>
        </w:rPr>
        <w:t xml:space="preserve"> </w:t>
      </w:r>
      <w:r w:rsidR="005B056E" w:rsidRPr="009A428B">
        <w:rPr>
          <w:sz w:val="20"/>
          <w:szCs w:val="20"/>
        </w:rPr>
        <w:t>between</w:t>
      </w:r>
      <w:r w:rsidRPr="009A428B">
        <w:rPr>
          <w:sz w:val="20"/>
          <w:szCs w:val="20"/>
        </w:rPr>
        <w:t xml:space="preserve"> </w:t>
      </w:r>
      <w:r w:rsidR="005B056E" w:rsidRPr="009A428B">
        <w:rPr>
          <w:sz w:val="20"/>
          <w:szCs w:val="20"/>
        </w:rPr>
        <w:t>Vietnam and country i</w:t>
      </w:r>
      <w:r w:rsidRPr="009A428B">
        <w:rPr>
          <w:sz w:val="20"/>
          <w:szCs w:val="20"/>
        </w:rPr>
        <w:t>, f(Y</w:t>
      </w:r>
      <w:r w:rsidR="0022773D" w:rsidRPr="009A428B">
        <w:rPr>
          <w:sz w:val="20"/>
          <w:szCs w:val="20"/>
          <w:vertAlign w:val="subscript"/>
        </w:rPr>
        <w:t>i</w:t>
      </w:r>
      <w:r w:rsidRPr="009A428B">
        <w:rPr>
          <w:sz w:val="20"/>
          <w:szCs w:val="20"/>
          <w:vertAlign w:val="subscript"/>
        </w:rPr>
        <w:t>t</w:t>
      </w:r>
      <w:r w:rsidRPr="009A428B">
        <w:rPr>
          <w:sz w:val="20"/>
          <w:szCs w:val="20"/>
        </w:rPr>
        <w:t>, β) captures factors which determine the potential trade (Y</w:t>
      </w:r>
      <w:r w:rsidR="0022773D" w:rsidRPr="009A428B">
        <w:rPr>
          <w:sz w:val="20"/>
          <w:szCs w:val="20"/>
          <w:vertAlign w:val="subscript"/>
        </w:rPr>
        <w:t>i</w:t>
      </w:r>
      <w:r w:rsidRPr="009A428B">
        <w:rPr>
          <w:sz w:val="20"/>
          <w:szCs w:val="20"/>
          <w:vertAlign w:val="subscript"/>
        </w:rPr>
        <w:t>t</w:t>
      </w:r>
      <w:r w:rsidRPr="009A428B">
        <w:rPr>
          <w:sz w:val="20"/>
          <w:szCs w:val="20"/>
        </w:rPr>
        <w:t xml:space="preserve">) </w:t>
      </w:r>
      <w:r w:rsidR="0022773D" w:rsidRPr="009A428B">
        <w:rPr>
          <w:sz w:val="20"/>
          <w:szCs w:val="20"/>
        </w:rPr>
        <w:t>without man-made</w:t>
      </w:r>
      <w:r w:rsidRPr="009A428B">
        <w:rPr>
          <w:sz w:val="20"/>
          <w:szCs w:val="20"/>
        </w:rPr>
        <w:t xml:space="preserve"> resistances – and β represents a vector of unknown parameters which will be estimated. Both u</w:t>
      </w:r>
      <w:r w:rsidR="00F3370E" w:rsidRPr="009A428B">
        <w:rPr>
          <w:sz w:val="20"/>
          <w:szCs w:val="20"/>
          <w:vertAlign w:val="subscript"/>
        </w:rPr>
        <w:t>i</w:t>
      </w:r>
      <w:r w:rsidRPr="009A428B">
        <w:rPr>
          <w:sz w:val="20"/>
          <w:szCs w:val="20"/>
          <w:vertAlign w:val="subscript"/>
        </w:rPr>
        <w:t xml:space="preserve">t </w:t>
      </w:r>
      <w:r w:rsidRPr="009A428B">
        <w:rPr>
          <w:sz w:val="20"/>
          <w:szCs w:val="20"/>
        </w:rPr>
        <w:t>and v</w:t>
      </w:r>
      <w:r w:rsidR="00F3370E" w:rsidRPr="009A428B">
        <w:rPr>
          <w:sz w:val="20"/>
          <w:szCs w:val="20"/>
          <w:vertAlign w:val="subscript"/>
        </w:rPr>
        <w:t>i</w:t>
      </w:r>
      <w:r w:rsidRPr="009A428B">
        <w:rPr>
          <w:sz w:val="20"/>
          <w:szCs w:val="20"/>
          <w:vertAlign w:val="subscript"/>
        </w:rPr>
        <w:t>t</w:t>
      </w:r>
      <w:r w:rsidRPr="009A428B">
        <w:rPr>
          <w:sz w:val="20"/>
          <w:szCs w:val="20"/>
        </w:rPr>
        <w:t xml:space="preserve"> are error terms. While the single-sided error term, u</w:t>
      </w:r>
      <w:r w:rsidR="00F3370E" w:rsidRPr="009A428B">
        <w:rPr>
          <w:sz w:val="20"/>
          <w:szCs w:val="20"/>
          <w:vertAlign w:val="subscript"/>
        </w:rPr>
        <w:t>i</w:t>
      </w:r>
      <w:r w:rsidRPr="009A428B">
        <w:rPr>
          <w:sz w:val="20"/>
          <w:szCs w:val="20"/>
          <w:vertAlign w:val="subscript"/>
        </w:rPr>
        <w:t>t</w:t>
      </w:r>
      <w:r w:rsidRPr="009A428B">
        <w:rPr>
          <w:sz w:val="20"/>
          <w:szCs w:val="20"/>
        </w:rPr>
        <w:t xml:space="preserve"> is technical in</w:t>
      </w:r>
      <w:r w:rsidR="005F443E" w:rsidRPr="009A428B">
        <w:rPr>
          <w:sz w:val="20"/>
          <w:szCs w:val="20"/>
        </w:rPr>
        <w:t>efficiency</w:t>
      </w:r>
      <w:r w:rsidRPr="009A428B">
        <w:rPr>
          <w:sz w:val="20"/>
          <w:szCs w:val="20"/>
        </w:rPr>
        <w:t xml:space="preserve"> that captures the man-made resistances, v</w:t>
      </w:r>
      <w:r w:rsidR="00F3370E" w:rsidRPr="009A428B">
        <w:rPr>
          <w:sz w:val="20"/>
          <w:szCs w:val="20"/>
          <w:vertAlign w:val="subscript"/>
        </w:rPr>
        <w:t>i</w:t>
      </w:r>
      <w:r w:rsidRPr="009A428B">
        <w:rPr>
          <w:sz w:val="20"/>
          <w:szCs w:val="20"/>
          <w:vertAlign w:val="subscript"/>
        </w:rPr>
        <w:t>t</w:t>
      </w:r>
      <w:r w:rsidRPr="009A428B">
        <w:rPr>
          <w:sz w:val="20"/>
          <w:szCs w:val="20"/>
        </w:rPr>
        <w:t xml:space="preserve"> represents the impact on trade of the rest of variables. u</w:t>
      </w:r>
      <w:r w:rsidR="0057176F" w:rsidRPr="009A428B">
        <w:rPr>
          <w:sz w:val="20"/>
          <w:szCs w:val="20"/>
          <w:vertAlign w:val="subscript"/>
        </w:rPr>
        <w:t>i</w:t>
      </w:r>
      <w:r w:rsidRPr="009A428B">
        <w:rPr>
          <w:sz w:val="20"/>
          <w:szCs w:val="20"/>
          <w:vertAlign w:val="subscript"/>
        </w:rPr>
        <w:t>t</w:t>
      </w:r>
      <w:r w:rsidRPr="009A428B">
        <w:rPr>
          <w:sz w:val="20"/>
          <w:szCs w:val="20"/>
        </w:rPr>
        <w:t xml:space="preserve"> lies between 0 and 1 and it is assumed to have a non-negative truncated normal distribution with</w:t>
      </w:r>
      <w:r w:rsidR="002F352E" w:rsidRPr="009A428B">
        <w:rPr>
          <w:sz w:val="20"/>
          <w:szCs w:val="20"/>
        </w:rPr>
        <w:t xml:space="preserve"> a</w:t>
      </w:r>
      <w:r w:rsidRPr="009A428B">
        <w:rPr>
          <w:sz w:val="20"/>
          <w:szCs w:val="20"/>
        </w:rPr>
        <w:t xml:space="preserve"> mean </w:t>
      </w:r>
      <w:r w:rsidR="002F352E" w:rsidRPr="009A428B">
        <w:rPr>
          <w:sz w:val="20"/>
          <w:szCs w:val="20"/>
        </w:rPr>
        <w:t xml:space="preserve">of </w:t>
      </w:r>
      <w:r w:rsidRPr="009A428B">
        <w:rPr>
          <w:sz w:val="20"/>
          <w:szCs w:val="20"/>
        </w:rPr>
        <w:t xml:space="preserve">μ </w:t>
      </w:r>
      <w:r w:rsidR="002F352E" w:rsidRPr="009A428B">
        <w:rPr>
          <w:sz w:val="20"/>
          <w:szCs w:val="20"/>
        </w:rPr>
        <w:t xml:space="preserve">at a </w:t>
      </w:r>
      <m:oMath>
        <m:sSubSup>
          <m:sSubSupPr>
            <m:ctrlPr>
              <w:rPr>
                <w:rFonts w:ascii="Cambria Math" w:hAnsi="Cambria Math"/>
                <w:sz w:val="20"/>
                <w:szCs w:val="20"/>
              </w:rPr>
            </m:ctrlPr>
          </m:sSubSupPr>
          <m:e>
            <m:r>
              <w:rPr>
                <w:rFonts w:ascii="Cambria Math" w:hAnsi="Cambria Math"/>
                <w:sz w:val="20"/>
                <w:szCs w:val="20"/>
              </w:rPr>
              <m:t>σ</m:t>
            </m:r>
          </m:e>
          <m:sub>
            <m:r>
              <w:rPr>
                <w:rFonts w:ascii="Cambria Math" w:hAnsi="Cambria Math"/>
                <w:sz w:val="20"/>
                <w:szCs w:val="20"/>
              </w:rPr>
              <m:t>u</m:t>
            </m:r>
          </m:sub>
          <m:sup>
            <m:r>
              <m:rPr>
                <m:sty m:val="p"/>
              </m:rPr>
              <w:rPr>
                <w:rFonts w:ascii="Cambria Math" w:hAnsi="Cambria Math"/>
                <w:sz w:val="20"/>
                <w:szCs w:val="20"/>
              </w:rPr>
              <m:t>2</m:t>
            </m:r>
          </m:sup>
        </m:sSubSup>
      </m:oMath>
      <w:r w:rsidRPr="009A428B">
        <w:rPr>
          <w:sz w:val="20"/>
          <w:szCs w:val="20"/>
        </w:rPr>
        <w:t>. The double-sided error term v</w:t>
      </w:r>
      <w:r w:rsidRPr="009A428B">
        <w:rPr>
          <w:sz w:val="20"/>
          <w:szCs w:val="20"/>
          <w:vertAlign w:val="subscript"/>
        </w:rPr>
        <w:t>it</w:t>
      </w:r>
      <w:r w:rsidRPr="009A428B">
        <w:rPr>
          <w:sz w:val="20"/>
          <w:szCs w:val="20"/>
        </w:rPr>
        <w:t>, that is assumed to be normal</w:t>
      </w:r>
      <w:r w:rsidR="002F352E" w:rsidRPr="009A428B">
        <w:rPr>
          <w:sz w:val="20"/>
          <w:szCs w:val="20"/>
        </w:rPr>
        <w:t>ly</w:t>
      </w:r>
      <w:r w:rsidRPr="009A428B">
        <w:rPr>
          <w:sz w:val="20"/>
          <w:szCs w:val="20"/>
        </w:rPr>
        <w:t xml:space="preserve"> distribut</w:t>
      </w:r>
      <w:r w:rsidR="002F352E" w:rsidRPr="009A428B">
        <w:rPr>
          <w:sz w:val="20"/>
          <w:szCs w:val="20"/>
        </w:rPr>
        <w:t>ed</w:t>
      </w:r>
      <w:r w:rsidRPr="009A428B">
        <w:rPr>
          <w:sz w:val="20"/>
          <w:szCs w:val="20"/>
        </w:rPr>
        <w:t xml:space="preserve"> with </w:t>
      </w:r>
      <w:r w:rsidR="002F352E" w:rsidRPr="009A428B">
        <w:rPr>
          <w:sz w:val="20"/>
          <w:szCs w:val="20"/>
        </w:rPr>
        <w:t>a</w:t>
      </w:r>
      <w:r w:rsidR="00015D33" w:rsidRPr="009A428B">
        <w:rPr>
          <w:sz w:val="20"/>
          <w:szCs w:val="20"/>
        </w:rPr>
        <w:t xml:space="preserve"> </w:t>
      </w:r>
      <w:r w:rsidRPr="009A428B">
        <w:rPr>
          <w:sz w:val="20"/>
          <w:szCs w:val="20"/>
        </w:rPr>
        <w:t xml:space="preserve">mean </w:t>
      </w:r>
      <w:r w:rsidR="002F352E" w:rsidRPr="009A428B">
        <w:rPr>
          <w:sz w:val="20"/>
          <w:szCs w:val="20"/>
        </w:rPr>
        <w:t xml:space="preserve">of zero </w:t>
      </w:r>
      <w:r w:rsidRPr="009A428B">
        <w:rPr>
          <w:sz w:val="20"/>
          <w:szCs w:val="20"/>
        </w:rPr>
        <w:t xml:space="preserve">and </w:t>
      </w:r>
      <m:oMath>
        <m:sSubSup>
          <m:sSubSupPr>
            <m:ctrlPr>
              <w:rPr>
                <w:rFonts w:ascii="Cambria Math" w:hAnsi="Cambria Math"/>
                <w:sz w:val="20"/>
                <w:szCs w:val="20"/>
              </w:rPr>
            </m:ctrlPr>
          </m:sSubSupPr>
          <m:e>
            <m:r>
              <w:rPr>
                <w:rFonts w:ascii="Cambria Math" w:hAnsi="Cambria Math"/>
                <w:sz w:val="20"/>
                <w:szCs w:val="20"/>
              </w:rPr>
              <m:t>σ</m:t>
            </m:r>
          </m:e>
          <m:sub>
            <m:r>
              <w:rPr>
                <w:rFonts w:ascii="Cambria Math" w:hAnsi="Cambria Math"/>
                <w:sz w:val="20"/>
                <w:szCs w:val="20"/>
              </w:rPr>
              <m:t>v</m:t>
            </m:r>
          </m:sub>
          <m:sup>
            <m:r>
              <m:rPr>
                <m:sty m:val="p"/>
              </m:rPr>
              <w:rPr>
                <w:rFonts w:ascii="Cambria Math" w:hAnsi="Cambria Math"/>
                <w:sz w:val="20"/>
                <w:szCs w:val="20"/>
              </w:rPr>
              <m:t>2</m:t>
            </m:r>
          </m:sup>
        </m:sSubSup>
      </m:oMath>
      <w:r w:rsidRPr="009A428B">
        <w:rPr>
          <w:sz w:val="20"/>
          <w:szCs w:val="20"/>
        </w:rPr>
        <w:t>, captures the measurement and specification error.</w:t>
      </w:r>
    </w:p>
    <w:p w14:paraId="56FC4C5F" w14:textId="4AF285F6" w:rsidR="00F3370E" w:rsidRPr="009A428B" w:rsidRDefault="00F3370E" w:rsidP="009130ED">
      <w:pPr>
        <w:spacing w:after="80" w:line="240" w:lineRule="exact"/>
        <w:jc w:val="both"/>
        <w:rPr>
          <w:sz w:val="20"/>
          <w:szCs w:val="20"/>
        </w:rPr>
      </w:pPr>
      <w:r w:rsidRPr="009A428B">
        <w:rPr>
          <w:sz w:val="20"/>
          <w:szCs w:val="20"/>
        </w:rPr>
        <w:t>Specifically, we assign the model as follows:</w:t>
      </w:r>
    </w:p>
    <w:p w14:paraId="2F38A4F3" w14:textId="218623B0" w:rsidR="00354BE7" w:rsidRDefault="00D15B2D" w:rsidP="00D15B2D">
      <w:pPr>
        <w:spacing w:after="80" w:line="240" w:lineRule="exact"/>
        <w:jc w:val="right"/>
        <w:rPr>
          <w:sz w:val="20"/>
          <w:szCs w:val="20"/>
        </w:rPr>
      </w:pPr>
      <w:r>
        <w:rPr>
          <w:sz w:val="20"/>
          <w:szCs w:val="20"/>
        </w:rPr>
        <w:t xml:space="preserve">         </w:t>
      </w:r>
      <w:r w:rsidR="00F3370E" w:rsidRPr="009A428B">
        <w:rPr>
          <w:sz w:val="20"/>
          <w:szCs w:val="20"/>
        </w:rPr>
        <w:t>LnEX</w:t>
      </w:r>
      <w:r w:rsidR="005825BE" w:rsidRPr="009A428B">
        <w:rPr>
          <w:sz w:val="20"/>
          <w:szCs w:val="20"/>
          <w:vertAlign w:val="subscript"/>
        </w:rPr>
        <w:t>i</w:t>
      </w:r>
      <w:r w:rsidR="00F3370E" w:rsidRPr="009A428B">
        <w:rPr>
          <w:sz w:val="20"/>
          <w:szCs w:val="20"/>
          <w:vertAlign w:val="subscript"/>
        </w:rPr>
        <w:t>t</w:t>
      </w:r>
      <w:r w:rsidR="00F3370E" w:rsidRPr="009A428B">
        <w:rPr>
          <w:sz w:val="20"/>
          <w:szCs w:val="20"/>
        </w:rPr>
        <w:t xml:space="preserve"> = β</w:t>
      </w:r>
      <w:r w:rsidR="00F3370E" w:rsidRPr="009A428B">
        <w:rPr>
          <w:sz w:val="20"/>
          <w:szCs w:val="20"/>
          <w:vertAlign w:val="subscript"/>
        </w:rPr>
        <w:t>0</w:t>
      </w:r>
      <w:r w:rsidR="00F3370E" w:rsidRPr="009A428B">
        <w:rPr>
          <w:sz w:val="20"/>
          <w:szCs w:val="20"/>
        </w:rPr>
        <w:t xml:space="preserve"> + β</w:t>
      </w:r>
      <w:r w:rsidR="00F3370E" w:rsidRPr="009A428B">
        <w:rPr>
          <w:sz w:val="20"/>
          <w:szCs w:val="20"/>
          <w:vertAlign w:val="subscript"/>
        </w:rPr>
        <w:t>1</w:t>
      </w:r>
      <w:r w:rsidR="00F3370E" w:rsidRPr="009A428B">
        <w:rPr>
          <w:sz w:val="20"/>
          <w:szCs w:val="20"/>
        </w:rPr>
        <w:t>LnGDP</w:t>
      </w:r>
      <w:r w:rsidR="005825BE" w:rsidRPr="009A428B">
        <w:rPr>
          <w:sz w:val="20"/>
          <w:szCs w:val="20"/>
          <w:vertAlign w:val="subscript"/>
        </w:rPr>
        <w:t>i</w:t>
      </w:r>
      <w:r w:rsidR="00F3370E" w:rsidRPr="009A428B">
        <w:rPr>
          <w:sz w:val="20"/>
          <w:szCs w:val="20"/>
          <w:vertAlign w:val="subscript"/>
        </w:rPr>
        <w:t>t</w:t>
      </w:r>
      <w:r w:rsidR="00F3370E" w:rsidRPr="009A428B">
        <w:rPr>
          <w:sz w:val="20"/>
          <w:szCs w:val="20"/>
        </w:rPr>
        <w:t xml:space="preserve"> +β</w:t>
      </w:r>
      <w:r w:rsidR="00F3370E" w:rsidRPr="009A428B">
        <w:rPr>
          <w:sz w:val="20"/>
          <w:szCs w:val="20"/>
          <w:vertAlign w:val="subscript"/>
        </w:rPr>
        <w:t>2</w:t>
      </w:r>
      <w:r w:rsidR="00F3370E" w:rsidRPr="009A428B">
        <w:rPr>
          <w:sz w:val="20"/>
          <w:szCs w:val="20"/>
        </w:rPr>
        <w:t>LnGDPVN</w:t>
      </w:r>
      <w:r w:rsidR="00F3370E" w:rsidRPr="009A428B">
        <w:rPr>
          <w:sz w:val="20"/>
          <w:szCs w:val="20"/>
          <w:vertAlign w:val="subscript"/>
        </w:rPr>
        <w:t>t</w:t>
      </w:r>
      <w:r w:rsidR="00F3370E" w:rsidRPr="009A428B">
        <w:rPr>
          <w:sz w:val="20"/>
          <w:szCs w:val="20"/>
        </w:rPr>
        <w:t xml:space="preserve"> + β</w:t>
      </w:r>
      <w:r w:rsidR="00F3370E" w:rsidRPr="009A428B">
        <w:rPr>
          <w:sz w:val="20"/>
          <w:szCs w:val="20"/>
          <w:vertAlign w:val="subscript"/>
        </w:rPr>
        <w:t>3</w:t>
      </w:r>
      <w:r w:rsidR="00F3370E" w:rsidRPr="009A428B">
        <w:rPr>
          <w:sz w:val="20"/>
          <w:szCs w:val="20"/>
        </w:rPr>
        <w:t>Ln</w:t>
      </w:r>
      <w:r w:rsidR="005825BE" w:rsidRPr="009A428B">
        <w:rPr>
          <w:sz w:val="20"/>
          <w:szCs w:val="20"/>
        </w:rPr>
        <w:t>D</w:t>
      </w:r>
      <w:r w:rsidR="005825BE" w:rsidRPr="009A428B">
        <w:rPr>
          <w:sz w:val="20"/>
          <w:szCs w:val="20"/>
          <w:vertAlign w:val="subscript"/>
        </w:rPr>
        <w:t>i</w:t>
      </w:r>
      <w:r w:rsidR="00F3370E" w:rsidRPr="009A428B">
        <w:rPr>
          <w:sz w:val="20"/>
          <w:szCs w:val="20"/>
        </w:rPr>
        <w:t xml:space="preserve"> + β</w:t>
      </w:r>
      <w:r w:rsidR="00F3370E" w:rsidRPr="009A428B">
        <w:rPr>
          <w:sz w:val="20"/>
          <w:szCs w:val="20"/>
          <w:vertAlign w:val="subscript"/>
        </w:rPr>
        <w:t>4</w:t>
      </w:r>
      <w:r w:rsidR="005825BE" w:rsidRPr="009A428B">
        <w:rPr>
          <w:sz w:val="20"/>
          <w:szCs w:val="20"/>
        </w:rPr>
        <w:t>LL</w:t>
      </w:r>
      <w:r w:rsidR="005825BE" w:rsidRPr="009A428B">
        <w:rPr>
          <w:sz w:val="20"/>
          <w:szCs w:val="20"/>
          <w:vertAlign w:val="subscript"/>
        </w:rPr>
        <w:t>i</w:t>
      </w:r>
      <w:r w:rsidR="003D1BC1">
        <w:rPr>
          <w:sz w:val="20"/>
          <w:szCs w:val="20"/>
        </w:rPr>
        <w:t xml:space="preserve"> </w:t>
      </w:r>
      <w:r w:rsidR="00F3370E" w:rsidRPr="009A428B">
        <w:rPr>
          <w:sz w:val="20"/>
          <w:szCs w:val="20"/>
        </w:rPr>
        <w:t>+ β</w:t>
      </w:r>
      <w:r w:rsidR="00F3370E" w:rsidRPr="009A428B">
        <w:rPr>
          <w:sz w:val="20"/>
          <w:szCs w:val="20"/>
          <w:vertAlign w:val="subscript"/>
        </w:rPr>
        <w:t>5</w:t>
      </w:r>
      <w:r w:rsidR="005825BE" w:rsidRPr="009A428B">
        <w:rPr>
          <w:sz w:val="20"/>
          <w:szCs w:val="20"/>
        </w:rPr>
        <w:t>RA</w:t>
      </w:r>
      <w:r w:rsidR="00F3370E" w:rsidRPr="009A428B">
        <w:rPr>
          <w:sz w:val="20"/>
          <w:szCs w:val="20"/>
          <w:vertAlign w:val="subscript"/>
        </w:rPr>
        <w:t>i</w:t>
      </w:r>
      <w:r w:rsidR="00F3370E" w:rsidRPr="009A428B">
        <w:rPr>
          <w:sz w:val="20"/>
          <w:szCs w:val="20"/>
        </w:rPr>
        <w:t xml:space="preserve"> + β</w:t>
      </w:r>
      <w:r w:rsidR="00F3370E" w:rsidRPr="009A428B">
        <w:rPr>
          <w:sz w:val="20"/>
          <w:szCs w:val="20"/>
          <w:vertAlign w:val="subscript"/>
        </w:rPr>
        <w:t>6</w:t>
      </w:r>
      <w:r w:rsidR="00A112B7" w:rsidRPr="009A428B">
        <w:rPr>
          <w:sz w:val="20"/>
          <w:szCs w:val="20"/>
        </w:rPr>
        <w:t>P</w:t>
      </w:r>
      <w:r w:rsidR="00A112B7" w:rsidRPr="009A428B">
        <w:rPr>
          <w:sz w:val="20"/>
          <w:szCs w:val="20"/>
          <w:vertAlign w:val="subscript"/>
        </w:rPr>
        <w:t>it</w:t>
      </w:r>
      <w:r w:rsidR="00F3370E" w:rsidRPr="009A428B">
        <w:rPr>
          <w:sz w:val="20"/>
          <w:szCs w:val="20"/>
        </w:rPr>
        <w:t xml:space="preserve"> + β</w:t>
      </w:r>
      <w:r w:rsidR="00F3370E" w:rsidRPr="009A428B">
        <w:rPr>
          <w:sz w:val="20"/>
          <w:szCs w:val="20"/>
          <w:vertAlign w:val="subscript"/>
        </w:rPr>
        <w:t>7</w:t>
      </w:r>
      <w:r w:rsidR="00A112B7" w:rsidRPr="009A428B">
        <w:rPr>
          <w:sz w:val="20"/>
          <w:szCs w:val="20"/>
        </w:rPr>
        <w:t>P</w:t>
      </w:r>
      <w:r w:rsidR="00F3370E" w:rsidRPr="009A428B">
        <w:rPr>
          <w:sz w:val="20"/>
          <w:szCs w:val="20"/>
        </w:rPr>
        <w:t>VN</w:t>
      </w:r>
      <w:r w:rsidR="00F3370E" w:rsidRPr="009A428B">
        <w:rPr>
          <w:sz w:val="20"/>
          <w:szCs w:val="20"/>
          <w:vertAlign w:val="subscript"/>
        </w:rPr>
        <w:t>t</w:t>
      </w:r>
      <w:r w:rsidR="00F3370E" w:rsidRPr="009A428B">
        <w:rPr>
          <w:sz w:val="20"/>
          <w:szCs w:val="20"/>
        </w:rPr>
        <w:t xml:space="preserve"> + β</w:t>
      </w:r>
      <w:r w:rsidR="00F3370E" w:rsidRPr="009A428B">
        <w:rPr>
          <w:sz w:val="20"/>
          <w:szCs w:val="20"/>
          <w:vertAlign w:val="subscript"/>
        </w:rPr>
        <w:t>8</w:t>
      </w:r>
      <w:r w:rsidR="00F3370E" w:rsidRPr="009A428B">
        <w:rPr>
          <w:sz w:val="20"/>
          <w:szCs w:val="20"/>
        </w:rPr>
        <w:t>T + v</w:t>
      </w:r>
      <w:r w:rsidR="00A112B7" w:rsidRPr="009A428B">
        <w:rPr>
          <w:sz w:val="20"/>
          <w:szCs w:val="20"/>
          <w:vertAlign w:val="subscript"/>
        </w:rPr>
        <w:t>i</w:t>
      </w:r>
      <w:r w:rsidR="00F3370E" w:rsidRPr="009A428B">
        <w:rPr>
          <w:sz w:val="20"/>
          <w:szCs w:val="20"/>
          <w:vertAlign w:val="subscript"/>
        </w:rPr>
        <w:t xml:space="preserve">t </w:t>
      </w:r>
      <w:r w:rsidR="00F3370E" w:rsidRPr="009A428B">
        <w:rPr>
          <w:sz w:val="20"/>
          <w:szCs w:val="20"/>
        </w:rPr>
        <w:t>– u</w:t>
      </w:r>
      <w:r w:rsidR="00A112B7" w:rsidRPr="009A428B">
        <w:rPr>
          <w:sz w:val="20"/>
          <w:szCs w:val="20"/>
          <w:vertAlign w:val="subscript"/>
        </w:rPr>
        <w:t>i</w:t>
      </w:r>
      <w:r w:rsidR="00F3370E" w:rsidRPr="009A428B">
        <w:rPr>
          <w:sz w:val="20"/>
          <w:szCs w:val="20"/>
          <w:vertAlign w:val="subscript"/>
        </w:rPr>
        <w:t>t</w:t>
      </w:r>
      <w:r w:rsidR="00354BE7" w:rsidRPr="009A428B">
        <w:rPr>
          <w:sz w:val="20"/>
          <w:szCs w:val="20"/>
          <w:vertAlign w:val="subscript"/>
        </w:rPr>
        <w:t xml:space="preserve"> </w:t>
      </w:r>
      <w:r w:rsidR="00354BE7" w:rsidRPr="009A428B">
        <w:rPr>
          <w:sz w:val="20"/>
          <w:szCs w:val="20"/>
          <w:vertAlign w:val="subscript"/>
        </w:rPr>
        <w:tab/>
      </w:r>
      <w:r w:rsidR="00B57472">
        <w:rPr>
          <w:sz w:val="20"/>
          <w:szCs w:val="20"/>
        </w:rPr>
        <w:t xml:space="preserve">        </w:t>
      </w:r>
      <w:r w:rsidR="00354BE7" w:rsidRPr="009A428B">
        <w:rPr>
          <w:sz w:val="20"/>
          <w:szCs w:val="20"/>
        </w:rPr>
        <w:t>(2)</w:t>
      </w:r>
    </w:p>
    <w:p w14:paraId="14BE019D" w14:textId="532701D4" w:rsidR="002F352E" w:rsidRPr="00B57472" w:rsidRDefault="00D15B2D" w:rsidP="00D15B2D">
      <w:pPr>
        <w:spacing w:after="80" w:line="240" w:lineRule="exact"/>
        <w:rPr>
          <w:sz w:val="20"/>
          <w:szCs w:val="20"/>
        </w:rPr>
      </w:pPr>
      <w:r>
        <w:rPr>
          <w:sz w:val="20"/>
          <w:szCs w:val="20"/>
        </w:rPr>
        <w:t xml:space="preserve">           </w:t>
      </w:r>
      <w:r w:rsidR="003D1BC1">
        <w:rPr>
          <w:sz w:val="20"/>
          <w:szCs w:val="20"/>
        </w:rPr>
        <w:t>LnIM</w:t>
      </w:r>
      <w:r w:rsidR="003D1BC1">
        <w:rPr>
          <w:sz w:val="20"/>
          <w:szCs w:val="20"/>
          <w:vertAlign w:val="subscript"/>
        </w:rPr>
        <w:t>it</w:t>
      </w:r>
      <w:r w:rsidR="003D1BC1">
        <w:rPr>
          <w:sz w:val="20"/>
          <w:szCs w:val="20"/>
        </w:rPr>
        <w:t xml:space="preserve"> = </w:t>
      </w:r>
      <w:r w:rsidR="003D1BC1" w:rsidRPr="009A428B">
        <w:rPr>
          <w:sz w:val="20"/>
          <w:szCs w:val="20"/>
        </w:rPr>
        <w:t>β</w:t>
      </w:r>
      <w:r w:rsidR="003D1BC1" w:rsidRPr="009A428B">
        <w:rPr>
          <w:sz w:val="20"/>
          <w:szCs w:val="20"/>
          <w:vertAlign w:val="subscript"/>
        </w:rPr>
        <w:t>0</w:t>
      </w:r>
      <w:r w:rsidR="003D1BC1" w:rsidRPr="009A428B">
        <w:rPr>
          <w:sz w:val="20"/>
          <w:szCs w:val="20"/>
        </w:rPr>
        <w:t xml:space="preserve"> + β</w:t>
      </w:r>
      <w:r w:rsidR="003D1BC1" w:rsidRPr="009A428B">
        <w:rPr>
          <w:sz w:val="20"/>
          <w:szCs w:val="20"/>
          <w:vertAlign w:val="subscript"/>
        </w:rPr>
        <w:t>1</w:t>
      </w:r>
      <w:r w:rsidR="003D1BC1" w:rsidRPr="009A428B">
        <w:rPr>
          <w:sz w:val="20"/>
          <w:szCs w:val="20"/>
        </w:rPr>
        <w:t>LnGDP</w:t>
      </w:r>
      <w:r w:rsidR="003D1BC1" w:rsidRPr="009A428B">
        <w:rPr>
          <w:sz w:val="20"/>
          <w:szCs w:val="20"/>
          <w:vertAlign w:val="subscript"/>
        </w:rPr>
        <w:t>it</w:t>
      </w:r>
      <w:r w:rsidR="003D1BC1" w:rsidRPr="009A428B">
        <w:rPr>
          <w:sz w:val="20"/>
          <w:szCs w:val="20"/>
        </w:rPr>
        <w:t xml:space="preserve"> +β</w:t>
      </w:r>
      <w:r w:rsidR="003D1BC1" w:rsidRPr="009A428B">
        <w:rPr>
          <w:sz w:val="20"/>
          <w:szCs w:val="20"/>
          <w:vertAlign w:val="subscript"/>
        </w:rPr>
        <w:t>2</w:t>
      </w:r>
      <w:r w:rsidR="003D1BC1" w:rsidRPr="009A428B">
        <w:rPr>
          <w:sz w:val="20"/>
          <w:szCs w:val="20"/>
        </w:rPr>
        <w:t>LnGDPVN</w:t>
      </w:r>
      <w:r w:rsidR="003D1BC1" w:rsidRPr="009A428B">
        <w:rPr>
          <w:sz w:val="20"/>
          <w:szCs w:val="20"/>
          <w:vertAlign w:val="subscript"/>
        </w:rPr>
        <w:t>t</w:t>
      </w:r>
      <w:r w:rsidR="003D1BC1" w:rsidRPr="009A428B">
        <w:rPr>
          <w:sz w:val="20"/>
          <w:szCs w:val="20"/>
        </w:rPr>
        <w:t xml:space="preserve"> + β</w:t>
      </w:r>
      <w:r w:rsidR="003D1BC1" w:rsidRPr="009A428B">
        <w:rPr>
          <w:sz w:val="20"/>
          <w:szCs w:val="20"/>
          <w:vertAlign w:val="subscript"/>
        </w:rPr>
        <w:t>3</w:t>
      </w:r>
      <w:r w:rsidR="003D1BC1" w:rsidRPr="009A428B">
        <w:rPr>
          <w:sz w:val="20"/>
          <w:szCs w:val="20"/>
        </w:rPr>
        <w:t>LnD</w:t>
      </w:r>
      <w:r w:rsidR="003D1BC1" w:rsidRPr="009A428B">
        <w:rPr>
          <w:sz w:val="20"/>
          <w:szCs w:val="20"/>
          <w:vertAlign w:val="subscript"/>
        </w:rPr>
        <w:t>i</w:t>
      </w:r>
      <w:r w:rsidR="003D1BC1" w:rsidRPr="009A428B">
        <w:rPr>
          <w:sz w:val="20"/>
          <w:szCs w:val="20"/>
        </w:rPr>
        <w:t xml:space="preserve"> + β</w:t>
      </w:r>
      <w:r w:rsidR="003D1BC1" w:rsidRPr="009A428B">
        <w:rPr>
          <w:sz w:val="20"/>
          <w:szCs w:val="20"/>
          <w:vertAlign w:val="subscript"/>
        </w:rPr>
        <w:t>4</w:t>
      </w:r>
      <w:r w:rsidR="003D1BC1" w:rsidRPr="009A428B">
        <w:rPr>
          <w:sz w:val="20"/>
          <w:szCs w:val="20"/>
        </w:rPr>
        <w:t>LL</w:t>
      </w:r>
      <w:r w:rsidR="003D1BC1" w:rsidRPr="009A428B">
        <w:rPr>
          <w:sz w:val="20"/>
          <w:szCs w:val="20"/>
          <w:vertAlign w:val="subscript"/>
        </w:rPr>
        <w:t>i</w:t>
      </w:r>
      <w:r w:rsidR="003D1BC1">
        <w:rPr>
          <w:sz w:val="20"/>
          <w:szCs w:val="20"/>
        </w:rPr>
        <w:t xml:space="preserve"> </w:t>
      </w:r>
      <w:r w:rsidR="003D1BC1" w:rsidRPr="009A428B">
        <w:rPr>
          <w:sz w:val="20"/>
          <w:szCs w:val="20"/>
        </w:rPr>
        <w:t>+ β</w:t>
      </w:r>
      <w:r w:rsidR="003D1BC1" w:rsidRPr="009A428B">
        <w:rPr>
          <w:sz w:val="20"/>
          <w:szCs w:val="20"/>
          <w:vertAlign w:val="subscript"/>
        </w:rPr>
        <w:t>5</w:t>
      </w:r>
      <w:r w:rsidR="003D1BC1" w:rsidRPr="009A428B">
        <w:rPr>
          <w:sz w:val="20"/>
          <w:szCs w:val="20"/>
        </w:rPr>
        <w:t>RA</w:t>
      </w:r>
      <w:r w:rsidR="003D1BC1" w:rsidRPr="009A428B">
        <w:rPr>
          <w:sz w:val="20"/>
          <w:szCs w:val="20"/>
          <w:vertAlign w:val="subscript"/>
        </w:rPr>
        <w:t>i</w:t>
      </w:r>
      <w:r w:rsidR="003D1BC1" w:rsidRPr="009A428B">
        <w:rPr>
          <w:sz w:val="20"/>
          <w:szCs w:val="20"/>
        </w:rPr>
        <w:t xml:space="preserve"> + β</w:t>
      </w:r>
      <w:r w:rsidR="003D1BC1" w:rsidRPr="009A428B">
        <w:rPr>
          <w:sz w:val="20"/>
          <w:szCs w:val="20"/>
          <w:vertAlign w:val="subscript"/>
        </w:rPr>
        <w:t>6</w:t>
      </w:r>
      <w:r w:rsidR="003D1BC1" w:rsidRPr="009A428B">
        <w:rPr>
          <w:sz w:val="20"/>
          <w:szCs w:val="20"/>
        </w:rPr>
        <w:t>P</w:t>
      </w:r>
      <w:r w:rsidR="003D1BC1" w:rsidRPr="009A428B">
        <w:rPr>
          <w:sz w:val="20"/>
          <w:szCs w:val="20"/>
          <w:vertAlign w:val="subscript"/>
        </w:rPr>
        <w:t>it</w:t>
      </w:r>
      <w:r w:rsidR="003D1BC1" w:rsidRPr="009A428B">
        <w:rPr>
          <w:sz w:val="20"/>
          <w:szCs w:val="20"/>
        </w:rPr>
        <w:t xml:space="preserve"> + β</w:t>
      </w:r>
      <w:r w:rsidR="003D1BC1" w:rsidRPr="009A428B">
        <w:rPr>
          <w:sz w:val="20"/>
          <w:szCs w:val="20"/>
          <w:vertAlign w:val="subscript"/>
        </w:rPr>
        <w:t>7</w:t>
      </w:r>
      <w:r w:rsidR="003D1BC1" w:rsidRPr="009A428B">
        <w:rPr>
          <w:sz w:val="20"/>
          <w:szCs w:val="20"/>
        </w:rPr>
        <w:t>PVN</w:t>
      </w:r>
      <w:r w:rsidR="003D1BC1" w:rsidRPr="009A428B">
        <w:rPr>
          <w:sz w:val="20"/>
          <w:szCs w:val="20"/>
          <w:vertAlign w:val="subscript"/>
        </w:rPr>
        <w:t>t</w:t>
      </w:r>
      <w:r w:rsidR="003D1BC1" w:rsidRPr="009A428B">
        <w:rPr>
          <w:sz w:val="20"/>
          <w:szCs w:val="20"/>
        </w:rPr>
        <w:t xml:space="preserve"> + β</w:t>
      </w:r>
      <w:r w:rsidR="003D1BC1" w:rsidRPr="009A428B">
        <w:rPr>
          <w:sz w:val="20"/>
          <w:szCs w:val="20"/>
          <w:vertAlign w:val="subscript"/>
        </w:rPr>
        <w:t>8</w:t>
      </w:r>
      <w:r w:rsidR="003D1BC1" w:rsidRPr="009A428B">
        <w:rPr>
          <w:sz w:val="20"/>
          <w:szCs w:val="20"/>
        </w:rPr>
        <w:t>T + v</w:t>
      </w:r>
      <w:r w:rsidR="003D1BC1" w:rsidRPr="009A428B">
        <w:rPr>
          <w:sz w:val="20"/>
          <w:szCs w:val="20"/>
          <w:vertAlign w:val="subscript"/>
        </w:rPr>
        <w:t xml:space="preserve">it </w:t>
      </w:r>
      <w:r w:rsidR="003D1BC1" w:rsidRPr="009A428B">
        <w:rPr>
          <w:sz w:val="20"/>
          <w:szCs w:val="20"/>
        </w:rPr>
        <w:t>– u</w:t>
      </w:r>
      <w:r w:rsidR="003D1BC1" w:rsidRPr="009A428B">
        <w:rPr>
          <w:sz w:val="20"/>
          <w:szCs w:val="20"/>
          <w:vertAlign w:val="subscript"/>
        </w:rPr>
        <w:t>it</w:t>
      </w:r>
      <w:r>
        <w:rPr>
          <w:sz w:val="20"/>
          <w:szCs w:val="20"/>
        </w:rPr>
        <w:t xml:space="preserve">           </w:t>
      </w:r>
      <w:r w:rsidR="00B57472">
        <w:rPr>
          <w:sz w:val="20"/>
          <w:szCs w:val="20"/>
        </w:rPr>
        <w:t>(3)</w:t>
      </w:r>
    </w:p>
    <w:p w14:paraId="2293DF00" w14:textId="2A504D6C" w:rsidR="00354BE7" w:rsidRPr="009A428B" w:rsidRDefault="008D7E53" w:rsidP="009130ED">
      <w:pPr>
        <w:spacing w:after="80" w:line="240" w:lineRule="exact"/>
        <w:jc w:val="both"/>
        <w:rPr>
          <w:sz w:val="20"/>
          <w:szCs w:val="20"/>
        </w:rPr>
      </w:pPr>
      <w:r w:rsidRPr="009A428B">
        <w:rPr>
          <w:color w:val="222222"/>
          <w:sz w:val="20"/>
          <w:szCs w:val="20"/>
        </w:rPr>
        <w:t>Where EX</w:t>
      </w:r>
      <w:r w:rsidRPr="009A428B">
        <w:rPr>
          <w:color w:val="222222"/>
          <w:sz w:val="20"/>
          <w:szCs w:val="20"/>
          <w:vertAlign w:val="subscript"/>
        </w:rPr>
        <w:t xml:space="preserve">it </w:t>
      </w:r>
      <w:r w:rsidRPr="009A428B">
        <w:rPr>
          <w:sz w:val="20"/>
          <w:szCs w:val="20"/>
        </w:rPr>
        <w:t>and IM</w:t>
      </w:r>
      <w:r w:rsidRPr="009A428B">
        <w:rPr>
          <w:sz w:val="20"/>
          <w:szCs w:val="20"/>
          <w:vertAlign w:val="subscript"/>
        </w:rPr>
        <w:t>it</w:t>
      </w:r>
      <w:r w:rsidRPr="009A428B">
        <w:rPr>
          <w:sz w:val="20"/>
          <w:szCs w:val="20"/>
        </w:rPr>
        <w:t xml:space="preserve"> are the actual export and import value of Vietnam with country i at year t respectively</w:t>
      </w:r>
      <w:r w:rsidR="001C3A40" w:rsidRPr="009A428B">
        <w:rPr>
          <w:sz w:val="20"/>
          <w:szCs w:val="20"/>
        </w:rPr>
        <w:t>; GDP</w:t>
      </w:r>
      <w:r w:rsidR="001C3A40" w:rsidRPr="009A428B">
        <w:rPr>
          <w:sz w:val="20"/>
          <w:szCs w:val="20"/>
        </w:rPr>
        <w:softHyphen/>
      </w:r>
      <w:r w:rsidR="001C3A40" w:rsidRPr="009A428B">
        <w:rPr>
          <w:sz w:val="20"/>
          <w:szCs w:val="20"/>
          <w:vertAlign w:val="subscript"/>
        </w:rPr>
        <w:t>it</w:t>
      </w:r>
      <w:r w:rsidR="001C3A40" w:rsidRPr="009A428B">
        <w:rPr>
          <w:sz w:val="20"/>
          <w:szCs w:val="20"/>
        </w:rPr>
        <w:t xml:space="preserve"> and GDPVN</w:t>
      </w:r>
      <w:r w:rsidR="001C3A40" w:rsidRPr="009A428B">
        <w:rPr>
          <w:sz w:val="20"/>
          <w:szCs w:val="20"/>
          <w:vertAlign w:val="subscript"/>
        </w:rPr>
        <w:t xml:space="preserve">t </w:t>
      </w:r>
      <w:r w:rsidR="001C3A40" w:rsidRPr="009A428B">
        <w:rPr>
          <w:sz w:val="20"/>
          <w:szCs w:val="20"/>
        </w:rPr>
        <w:t>are the gro</w:t>
      </w:r>
      <w:r w:rsidR="00FF47EF">
        <w:rPr>
          <w:sz w:val="20"/>
          <w:szCs w:val="20"/>
        </w:rPr>
        <w:t>ss domestic product of country i</w:t>
      </w:r>
      <w:r w:rsidR="001C3A40" w:rsidRPr="009A428B">
        <w:rPr>
          <w:sz w:val="20"/>
          <w:szCs w:val="20"/>
        </w:rPr>
        <w:t xml:space="preserve"> and Vietnam at year t; GDP is used as a proxy for economic size; </w:t>
      </w:r>
      <w:r w:rsidR="00631B71" w:rsidRPr="009A428B">
        <w:rPr>
          <w:sz w:val="20"/>
          <w:szCs w:val="20"/>
        </w:rPr>
        <w:t>D</w:t>
      </w:r>
      <w:r w:rsidR="00631B71" w:rsidRPr="009A428B">
        <w:rPr>
          <w:sz w:val="20"/>
          <w:szCs w:val="20"/>
          <w:vertAlign w:val="subscript"/>
        </w:rPr>
        <w:t>i</w:t>
      </w:r>
      <w:r w:rsidR="00631B71" w:rsidRPr="009A428B">
        <w:rPr>
          <w:sz w:val="20"/>
          <w:szCs w:val="20"/>
        </w:rPr>
        <w:t xml:space="preserve"> is the weighted distance between Vietnam a</w:t>
      </w:r>
      <w:r w:rsidR="00C26F8F">
        <w:rPr>
          <w:sz w:val="20"/>
          <w:szCs w:val="20"/>
        </w:rPr>
        <w:t>nd country i (Head &amp; Mayer, 2010</w:t>
      </w:r>
      <w:r w:rsidR="00631B71" w:rsidRPr="009A428B">
        <w:rPr>
          <w:sz w:val="20"/>
          <w:szCs w:val="20"/>
        </w:rPr>
        <w:t>)</w:t>
      </w:r>
      <w:r w:rsidR="00FB1029" w:rsidRPr="009A428B">
        <w:rPr>
          <w:sz w:val="20"/>
          <w:szCs w:val="20"/>
        </w:rPr>
        <w:t>; LL</w:t>
      </w:r>
      <w:r w:rsidR="00FB1029" w:rsidRPr="009A428B">
        <w:rPr>
          <w:sz w:val="20"/>
          <w:szCs w:val="20"/>
          <w:vertAlign w:val="subscript"/>
        </w:rPr>
        <w:t>i</w:t>
      </w:r>
      <w:r w:rsidR="00FB1029" w:rsidRPr="009A428B">
        <w:rPr>
          <w:sz w:val="20"/>
          <w:szCs w:val="20"/>
        </w:rPr>
        <w:t xml:space="preserve"> is a dummy variable, taking value 1 if country I is landlocked, 0 otherwise; RA</w:t>
      </w:r>
      <w:r w:rsidR="00FB1029" w:rsidRPr="009A428B">
        <w:rPr>
          <w:sz w:val="20"/>
          <w:szCs w:val="20"/>
          <w:vertAlign w:val="subscript"/>
        </w:rPr>
        <w:t>i</w:t>
      </w:r>
      <w:r w:rsidR="00FB1029" w:rsidRPr="009A428B">
        <w:rPr>
          <w:sz w:val="20"/>
          <w:szCs w:val="20"/>
        </w:rPr>
        <w:t xml:space="preserve"> is defined as the relative land area between country i</w:t>
      </w:r>
      <w:r w:rsidR="006255F9" w:rsidRPr="009A428B">
        <w:rPr>
          <w:sz w:val="20"/>
          <w:szCs w:val="20"/>
        </w:rPr>
        <w:t xml:space="preserve"> and Vietnam;</w:t>
      </w:r>
      <w:r w:rsidR="00AB5628" w:rsidRPr="009A428B">
        <w:rPr>
          <w:sz w:val="20"/>
          <w:szCs w:val="20"/>
        </w:rPr>
        <w:t xml:space="preserve"> P</w:t>
      </w:r>
      <w:r w:rsidR="00AB5628" w:rsidRPr="009A428B">
        <w:rPr>
          <w:sz w:val="20"/>
          <w:szCs w:val="20"/>
          <w:vertAlign w:val="subscript"/>
        </w:rPr>
        <w:t xml:space="preserve">it </w:t>
      </w:r>
      <w:r w:rsidR="00AB5628" w:rsidRPr="009A428B">
        <w:rPr>
          <w:sz w:val="20"/>
          <w:szCs w:val="20"/>
        </w:rPr>
        <w:t>and PVN</w:t>
      </w:r>
      <w:r w:rsidR="00AB5628" w:rsidRPr="009A428B">
        <w:rPr>
          <w:sz w:val="20"/>
          <w:szCs w:val="20"/>
          <w:vertAlign w:val="subscript"/>
        </w:rPr>
        <w:t xml:space="preserve">t </w:t>
      </w:r>
      <w:r w:rsidR="00AB5628" w:rsidRPr="009A428B">
        <w:rPr>
          <w:sz w:val="20"/>
          <w:szCs w:val="20"/>
        </w:rPr>
        <w:t>capture the population of country i and Vietnam respectively.</w:t>
      </w:r>
      <w:r w:rsidR="003769F1" w:rsidRPr="009A428B">
        <w:rPr>
          <w:sz w:val="20"/>
          <w:szCs w:val="20"/>
        </w:rPr>
        <w:t xml:space="preserve"> T is a time trend variable used to reflect macro</w:t>
      </w:r>
      <w:r w:rsidR="008C47FC" w:rsidRPr="009A428B">
        <w:rPr>
          <w:sz w:val="20"/>
          <w:szCs w:val="20"/>
        </w:rPr>
        <w:t>-</w:t>
      </w:r>
      <w:r w:rsidR="003769F1" w:rsidRPr="009A428B">
        <w:rPr>
          <w:sz w:val="20"/>
          <w:szCs w:val="20"/>
        </w:rPr>
        <w:t>dynamic</w:t>
      </w:r>
      <w:r w:rsidR="00C56784" w:rsidRPr="009A428B">
        <w:rPr>
          <w:sz w:val="20"/>
          <w:szCs w:val="20"/>
        </w:rPr>
        <w:t xml:space="preserve"> </w:t>
      </w:r>
      <w:r w:rsidR="000D35BA" w:rsidRPr="009A428B">
        <w:rPr>
          <w:sz w:val="20"/>
          <w:szCs w:val="20"/>
        </w:rPr>
        <w:t>distresses</w:t>
      </w:r>
      <w:r w:rsidR="00C56784" w:rsidRPr="009A428B">
        <w:rPr>
          <w:sz w:val="20"/>
          <w:szCs w:val="20"/>
        </w:rPr>
        <w:t>.</w:t>
      </w:r>
      <w:r w:rsidR="00006469" w:rsidRPr="009A428B">
        <w:rPr>
          <w:sz w:val="20"/>
          <w:szCs w:val="20"/>
        </w:rPr>
        <w:t xml:space="preserve"> Error term v</w:t>
      </w:r>
      <w:r w:rsidR="00006469" w:rsidRPr="009A428B">
        <w:rPr>
          <w:sz w:val="20"/>
          <w:szCs w:val="20"/>
          <w:vertAlign w:val="subscript"/>
        </w:rPr>
        <w:t>it</w:t>
      </w:r>
      <w:r w:rsidR="00006469" w:rsidRPr="009A428B">
        <w:rPr>
          <w:sz w:val="20"/>
          <w:szCs w:val="20"/>
        </w:rPr>
        <w:t xml:space="preserve"> is the measurement and specification error.</w:t>
      </w:r>
      <w:r w:rsidR="003E0315" w:rsidRPr="009A428B">
        <w:rPr>
          <w:sz w:val="20"/>
          <w:szCs w:val="20"/>
        </w:rPr>
        <w:t xml:space="preserve"> Error term u</w:t>
      </w:r>
      <w:r w:rsidR="003E0315" w:rsidRPr="009A428B">
        <w:rPr>
          <w:sz w:val="20"/>
          <w:szCs w:val="20"/>
          <w:vertAlign w:val="subscript"/>
        </w:rPr>
        <w:t>it</w:t>
      </w:r>
      <w:r w:rsidR="003E0315" w:rsidRPr="009A428B">
        <w:rPr>
          <w:sz w:val="20"/>
          <w:szCs w:val="20"/>
        </w:rPr>
        <w:t xml:space="preserve"> represents </w:t>
      </w:r>
      <w:r w:rsidR="002F352E" w:rsidRPr="009A428B">
        <w:rPr>
          <w:sz w:val="20"/>
          <w:szCs w:val="20"/>
        </w:rPr>
        <w:t xml:space="preserve">negative effects on the </w:t>
      </w:r>
      <w:r w:rsidR="003E0315" w:rsidRPr="009A428B">
        <w:rPr>
          <w:sz w:val="20"/>
          <w:szCs w:val="20"/>
        </w:rPr>
        <w:t>trade volume because of man-made trade barriers and measure the size of in</w:t>
      </w:r>
      <w:r w:rsidR="005F443E" w:rsidRPr="009A428B">
        <w:rPr>
          <w:sz w:val="20"/>
          <w:szCs w:val="20"/>
        </w:rPr>
        <w:t>efficiency</w:t>
      </w:r>
      <w:r w:rsidR="003E0315" w:rsidRPr="009A428B">
        <w:rPr>
          <w:sz w:val="20"/>
          <w:szCs w:val="20"/>
        </w:rPr>
        <w:t xml:space="preserve"> of Vietnam trade with country i.</w:t>
      </w:r>
    </w:p>
    <w:p w14:paraId="5F228130" w14:textId="4443DC0F" w:rsidR="00E34CB1" w:rsidRPr="009A428B" w:rsidRDefault="00E34CB1" w:rsidP="009130ED">
      <w:pPr>
        <w:spacing w:after="80" w:line="240" w:lineRule="exact"/>
        <w:jc w:val="both"/>
        <w:rPr>
          <w:sz w:val="20"/>
          <w:szCs w:val="20"/>
        </w:rPr>
      </w:pPr>
      <w:r w:rsidRPr="009A428B">
        <w:rPr>
          <w:sz w:val="20"/>
          <w:szCs w:val="20"/>
        </w:rPr>
        <w:t xml:space="preserve">Based on the model assignment, we can now define both the export and import </w:t>
      </w:r>
      <w:r w:rsidR="005F443E" w:rsidRPr="009A428B">
        <w:rPr>
          <w:sz w:val="20"/>
          <w:szCs w:val="20"/>
        </w:rPr>
        <w:t>efficiency</w:t>
      </w:r>
      <w:r w:rsidRPr="009A428B">
        <w:rPr>
          <w:sz w:val="20"/>
          <w:szCs w:val="20"/>
        </w:rPr>
        <w:t xml:space="preserve"> with a specific trading partner i as follows:</w:t>
      </w:r>
    </w:p>
    <w:p w14:paraId="595A0706" w14:textId="579C9E1E" w:rsidR="002F352E" w:rsidRPr="009A428B" w:rsidRDefault="004C7652" w:rsidP="00B14E7D">
      <w:pPr>
        <w:spacing w:after="80" w:line="240" w:lineRule="exact"/>
        <w:ind w:firstLine="720"/>
        <w:jc w:val="both"/>
        <w:rPr>
          <w:sz w:val="20"/>
          <w:szCs w:val="20"/>
        </w:rPr>
      </w:pPr>
      <w:r>
        <w:rPr>
          <w:sz w:val="20"/>
          <w:szCs w:val="20"/>
        </w:rPr>
        <w:t xml:space="preserve">                       </w:t>
      </w:r>
      <m:oMath>
        <m:sSub>
          <m:sSubPr>
            <m:ctrlPr>
              <w:rPr>
                <w:rFonts w:ascii="Cambria Math" w:hAnsi="Cambria Math"/>
                <w:sz w:val="20"/>
                <w:szCs w:val="20"/>
              </w:rPr>
            </m:ctrlPr>
          </m:sSubPr>
          <m:e>
            <m:r>
              <w:rPr>
                <w:rFonts w:ascii="Cambria Math" w:hAnsi="Cambria Math"/>
                <w:sz w:val="20"/>
                <w:szCs w:val="20"/>
              </w:rPr>
              <m:t>TRE</m:t>
            </m:r>
          </m:e>
          <m:sub>
            <m:r>
              <w:rPr>
                <w:rFonts w:ascii="Cambria Math" w:hAnsi="Cambria Math"/>
                <w:sz w:val="20"/>
                <w:szCs w:val="20"/>
              </w:rPr>
              <m:t>it</m:t>
            </m:r>
          </m:sub>
        </m:sSub>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exp</m:t>
            </m:r>
            <m:r>
              <m:rPr>
                <m:sty m:val="p"/>
              </m:rPr>
              <w:rPr>
                <w:rFonts w:ascii="Cambria Math" w:hAnsi="Cambria Math"/>
                <w:sz w:val="20"/>
                <w:szCs w:val="20"/>
              </w:rPr>
              <m:t>[</m:t>
            </m:r>
            <m:r>
              <w:rPr>
                <w:rFonts w:ascii="Cambria Math" w:hAnsi="Cambria Math"/>
                <w:sz w:val="20"/>
                <w:szCs w:val="20"/>
              </w:rPr>
              <m:t>Ln</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it</m:t>
                </m:r>
              </m:sub>
            </m:sSub>
            <m:r>
              <m:rPr>
                <m:sty m:val="p"/>
              </m:rPr>
              <w:rPr>
                <w:rFonts w:ascii="Cambria Math" w:hAnsi="Cambria Math"/>
                <w:sz w:val="20"/>
                <w:szCs w:val="20"/>
              </w:rPr>
              <m:t>]</m:t>
            </m:r>
          </m:num>
          <m:den>
            <m:r>
              <m:rPr>
                <m:sty m:val="p"/>
              </m:rPr>
              <w:rPr>
                <w:rFonts w:ascii="Cambria Math" w:hAnsi="Cambria Math"/>
                <w:sz w:val="20"/>
                <w:szCs w:val="20"/>
              </w:rPr>
              <m:t>exp⁡[</m:t>
            </m:r>
            <m:r>
              <w:rPr>
                <w:rFonts w:ascii="Cambria Math" w:hAnsi="Cambria Math"/>
                <w:sz w:val="20"/>
                <w:szCs w:val="20"/>
              </w:rPr>
              <m:t>Lnf</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it</m:t>
                    </m:r>
                  </m:sub>
                </m:sSub>
                <m:r>
                  <m:rPr>
                    <m:sty m:val="p"/>
                  </m:rPr>
                  <w:rPr>
                    <w:rFonts w:ascii="Cambria Math" w:hAnsi="Cambria Math"/>
                    <w:sz w:val="20"/>
                    <w:szCs w:val="20"/>
                  </w:rPr>
                  <m:t>;</m:t>
                </m:r>
                <m:r>
                  <w:rPr>
                    <w:rFonts w:ascii="Cambria Math" w:hAnsi="Cambria Math"/>
                    <w:sz w:val="20"/>
                    <w:szCs w:val="20"/>
                  </w:rPr>
                  <m:t>β</m:t>
                </m:r>
              </m:e>
            </m:d>
            <m:func>
              <m:funcPr>
                <m:ctrlPr>
                  <w:rPr>
                    <w:rFonts w:ascii="Cambria Math" w:hAnsi="Cambria Math"/>
                    <w:sz w:val="20"/>
                    <w:szCs w:val="20"/>
                  </w:rPr>
                </m:ctrlPr>
              </m:funcPr>
              <m:fName>
                <m:r>
                  <m:rPr>
                    <m:sty m:val="p"/>
                  </m:rPr>
                  <w:rPr>
                    <w:rFonts w:ascii="Cambria Math" w:hAnsi="Cambria Math"/>
                    <w:sz w:val="20"/>
                    <w:szCs w:val="20"/>
                  </w:rPr>
                  <m:t>+</m:t>
                </m:r>
              </m:fName>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it</m:t>
                    </m:r>
                  </m:sub>
                </m:sSub>
                <m:r>
                  <m:rPr>
                    <m:sty m:val="p"/>
                  </m:rPr>
                  <w:rPr>
                    <w:rFonts w:ascii="Cambria Math" w:hAnsi="Cambria Math"/>
                    <w:sz w:val="20"/>
                    <w:szCs w:val="20"/>
                  </w:rPr>
                  <m:t xml:space="preserve">] </m:t>
                </m:r>
              </m:e>
            </m:func>
          </m:den>
        </m:f>
        <m:r>
          <m:rPr>
            <m:sty m:val="p"/>
          </m:rPr>
          <w:rPr>
            <w:rFonts w:ascii="Cambria Math" w:hAnsi="Cambria Math"/>
            <w:sz w:val="20"/>
            <w:szCs w:val="20"/>
          </w:rPr>
          <m:t xml:space="preserve">= </m:t>
        </m:r>
        <m:f>
          <m:fPr>
            <m:ctrlPr>
              <w:rPr>
                <w:rFonts w:ascii="Cambria Math" w:hAnsi="Cambria Math"/>
                <w:sz w:val="20"/>
                <w:szCs w:val="20"/>
              </w:rPr>
            </m:ctrlPr>
          </m:fPr>
          <m:num>
            <m:r>
              <w:rPr>
                <w:rFonts w:ascii="Cambria Math" w:hAnsi="Cambria Math"/>
                <w:sz w:val="20"/>
                <w:szCs w:val="20"/>
              </w:rPr>
              <m:t>f</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it</m:t>
                    </m:r>
                  </m:sub>
                </m:sSub>
                <m:r>
                  <m:rPr>
                    <m:sty m:val="p"/>
                  </m:rPr>
                  <w:rPr>
                    <w:rFonts w:ascii="Cambria Math" w:hAnsi="Cambria Math"/>
                    <w:sz w:val="20"/>
                    <w:szCs w:val="20"/>
                  </w:rPr>
                  <m:t>;</m:t>
                </m:r>
                <m:r>
                  <w:rPr>
                    <w:rFonts w:ascii="Cambria Math" w:hAnsi="Cambria Math"/>
                    <w:sz w:val="20"/>
                    <w:szCs w:val="20"/>
                  </w:rPr>
                  <m:t>β</m:t>
                </m:r>
              </m:e>
            </m:d>
            <m:func>
              <m:funcPr>
                <m:ctrlPr>
                  <w:rPr>
                    <w:rFonts w:ascii="Cambria Math" w:hAnsi="Cambria Math"/>
                    <w:sz w:val="20"/>
                    <w:szCs w:val="20"/>
                  </w:rPr>
                </m:ctrlPr>
              </m:funcPr>
              <m:fName>
                <m:r>
                  <m:rPr>
                    <m:sty m:val="p"/>
                  </m:rPr>
                  <w:rPr>
                    <w:rFonts w:ascii="Cambria Math" w:hAnsi="Cambria Math"/>
                    <w:sz w:val="20"/>
                    <w:szCs w:val="20"/>
                  </w:rPr>
                  <m:t>exp</m:t>
                </m:r>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it</m:t>
                        </m:r>
                      </m:sub>
                    </m:sSub>
                  </m:e>
                </m:d>
              </m:e>
            </m:func>
          </m:num>
          <m:den>
            <m:r>
              <w:rPr>
                <w:rFonts w:ascii="Cambria Math" w:hAnsi="Cambria Math"/>
                <w:sz w:val="20"/>
                <w:szCs w:val="20"/>
              </w:rPr>
              <m:t>f</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it</m:t>
                    </m:r>
                  </m:sub>
                </m:sSub>
                <m:r>
                  <m:rPr>
                    <m:sty m:val="p"/>
                  </m:rPr>
                  <w:rPr>
                    <w:rFonts w:ascii="Cambria Math" w:hAnsi="Cambria Math"/>
                    <w:sz w:val="20"/>
                    <w:szCs w:val="20"/>
                  </w:rPr>
                  <m:t>;</m:t>
                </m:r>
                <m:r>
                  <w:rPr>
                    <w:rFonts w:ascii="Cambria Math" w:hAnsi="Cambria Math"/>
                    <w:sz w:val="20"/>
                    <w:szCs w:val="20"/>
                  </w:rPr>
                  <m:t>β</m:t>
                </m:r>
              </m:e>
            </m:d>
            <m:func>
              <m:funcPr>
                <m:ctrlPr>
                  <w:rPr>
                    <w:rFonts w:ascii="Cambria Math" w:hAnsi="Cambria Math"/>
                    <w:sz w:val="20"/>
                    <w:szCs w:val="20"/>
                  </w:rPr>
                </m:ctrlPr>
              </m:funcPr>
              <m:fName>
                <m:r>
                  <m:rPr>
                    <m:sty m:val="p"/>
                  </m:rPr>
                  <w:rPr>
                    <w:rFonts w:ascii="Cambria Math" w:hAnsi="Cambria Math"/>
                    <w:sz w:val="20"/>
                    <w:szCs w:val="20"/>
                  </w:rPr>
                  <m:t>exp</m:t>
                </m:r>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it</m:t>
                        </m:r>
                      </m:sub>
                    </m:sSub>
                  </m:e>
                </m:d>
              </m:e>
            </m:func>
          </m:den>
        </m:f>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exp</m:t>
            </m:r>
          </m:fName>
          <m:e>
            <m:d>
              <m:dPr>
                <m:ctrlPr>
                  <w:rPr>
                    <w:rFonts w:ascii="Cambria Math" w:hAnsi="Cambria Math"/>
                    <w:sz w:val="20"/>
                    <w:szCs w:val="20"/>
                  </w:rPr>
                </m:ctrlPr>
              </m:dPr>
              <m:e>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it</m:t>
                    </m:r>
                  </m:sub>
                </m:sSub>
              </m:e>
            </m:d>
          </m:e>
        </m:func>
      </m:oMath>
      <w:r w:rsidR="00E34CB1" w:rsidRPr="009A428B">
        <w:rPr>
          <w:sz w:val="20"/>
          <w:szCs w:val="20"/>
        </w:rPr>
        <w:t xml:space="preserve">          </w:t>
      </w:r>
      <w:r w:rsidR="00475315">
        <w:rPr>
          <w:sz w:val="20"/>
          <w:szCs w:val="20"/>
        </w:rPr>
        <w:t xml:space="preserve">                                  </w:t>
      </w:r>
      <w:r w:rsidR="00E34CB1" w:rsidRPr="009A428B">
        <w:rPr>
          <w:sz w:val="20"/>
          <w:szCs w:val="20"/>
        </w:rPr>
        <w:t>(4)</w:t>
      </w:r>
    </w:p>
    <w:p w14:paraId="36B905B7" w14:textId="0E0B216E" w:rsidR="002F352E" w:rsidRPr="009A428B" w:rsidRDefault="00317771" w:rsidP="009130ED">
      <w:pPr>
        <w:autoSpaceDE w:val="0"/>
        <w:autoSpaceDN w:val="0"/>
        <w:adjustRightInd w:val="0"/>
        <w:spacing w:after="80" w:line="240" w:lineRule="exact"/>
        <w:jc w:val="both"/>
        <w:rPr>
          <w:sz w:val="20"/>
          <w:szCs w:val="20"/>
        </w:rPr>
      </w:pPr>
      <w:r w:rsidRPr="009A428B">
        <w:rPr>
          <w:sz w:val="20"/>
          <w:szCs w:val="20"/>
        </w:rPr>
        <w:t>where exp(LnX</w:t>
      </w:r>
      <w:r w:rsidRPr="009A428B">
        <w:rPr>
          <w:sz w:val="20"/>
          <w:szCs w:val="20"/>
          <w:vertAlign w:val="subscript"/>
        </w:rPr>
        <w:t>it</w:t>
      </w:r>
      <w:r w:rsidRPr="009A428B">
        <w:rPr>
          <w:sz w:val="20"/>
          <w:szCs w:val="20"/>
        </w:rPr>
        <w:t>) is actual exports or imports and exp(Lnf(Y</w:t>
      </w:r>
      <w:r w:rsidRPr="009A428B">
        <w:rPr>
          <w:sz w:val="20"/>
          <w:szCs w:val="20"/>
          <w:vertAlign w:val="subscript"/>
        </w:rPr>
        <w:t>it</w:t>
      </w:r>
      <w:r w:rsidRPr="009A428B">
        <w:rPr>
          <w:sz w:val="20"/>
          <w:szCs w:val="20"/>
        </w:rPr>
        <w:t>;</w:t>
      </w:r>
      <w:r w:rsidRPr="009A428B">
        <w:rPr>
          <w:sz w:val="20"/>
          <w:szCs w:val="20"/>
        </w:rPr>
        <w:sym w:font="Symbol" w:char="F062"/>
      </w:r>
      <w:r w:rsidRPr="009A428B">
        <w:rPr>
          <w:sz w:val="20"/>
          <w:szCs w:val="20"/>
        </w:rPr>
        <w:t>)+</w:t>
      </w:r>
      <w:r w:rsidRPr="009A428B">
        <w:rPr>
          <w:sz w:val="20"/>
          <w:szCs w:val="20"/>
        </w:rPr>
        <w:sym w:font="Symbol" w:char="F065"/>
      </w:r>
      <w:r w:rsidRPr="009A428B">
        <w:rPr>
          <w:sz w:val="20"/>
          <w:szCs w:val="20"/>
          <w:vertAlign w:val="subscript"/>
        </w:rPr>
        <w:t>it</w:t>
      </w:r>
      <w:r w:rsidRPr="009A428B">
        <w:rPr>
          <w:sz w:val="20"/>
          <w:szCs w:val="20"/>
        </w:rPr>
        <w:t>) prox</w:t>
      </w:r>
      <w:r w:rsidR="008C7230" w:rsidRPr="009A428B">
        <w:rPr>
          <w:sz w:val="20"/>
          <w:szCs w:val="20"/>
        </w:rPr>
        <w:t>ies the highest feasible exports to or imports from country i respectively.</w:t>
      </w:r>
      <w:r w:rsidR="00ED0A9B" w:rsidRPr="009A428B">
        <w:rPr>
          <w:sz w:val="20"/>
          <w:szCs w:val="20"/>
        </w:rPr>
        <w:t xml:space="preserve"> </w:t>
      </w:r>
      <w:r w:rsidR="00F51C4A" w:rsidRPr="009A428B">
        <w:rPr>
          <w:sz w:val="20"/>
          <w:szCs w:val="20"/>
        </w:rPr>
        <w:t>The higher the TRE</w:t>
      </w:r>
      <w:r w:rsidR="00F51C4A" w:rsidRPr="009A428B">
        <w:rPr>
          <w:sz w:val="20"/>
          <w:szCs w:val="20"/>
          <w:vertAlign w:val="subscript"/>
        </w:rPr>
        <w:t>it</w:t>
      </w:r>
      <w:r w:rsidR="00F51C4A" w:rsidRPr="009A428B">
        <w:rPr>
          <w:sz w:val="20"/>
          <w:szCs w:val="20"/>
        </w:rPr>
        <w:t xml:space="preserve"> is, the more efficient the exports/imports are, or closer to the frontier of exports/imports.</w:t>
      </w:r>
      <w:r w:rsidR="00964271" w:rsidRPr="009A428B">
        <w:rPr>
          <w:sz w:val="20"/>
          <w:szCs w:val="20"/>
        </w:rPr>
        <w:t xml:space="preserve"> The stochastic frontier gravity model</w:t>
      </w:r>
      <w:r w:rsidR="00E9426A" w:rsidRPr="009A428B">
        <w:rPr>
          <w:sz w:val="20"/>
          <w:szCs w:val="20"/>
        </w:rPr>
        <w:t>s</w:t>
      </w:r>
      <w:r w:rsidR="00964271" w:rsidRPr="009A428B">
        <w:rPr>
          <w:sz w:val="20"/>
          <w:szCs w:val="20"/>
        </w:rPr>
        <w:t xml:space="preserve"> are estima</w:t>
      </w:r>
      <w:r w:rsidR="00A55509" w:rsidRPr="009A428B">
        <w:rPr>
          <w:sz w:val="20"/>
          <w:szCs w:val="20"/>
        </w:rPr>
        <w:t xml:space="preserve">ted by employing </w:t>
      </w:r>
      <w:r w:rsidR="00964271" w:rsidRPr="009A428B">
        <w:rPr>
          <w:sz w:val="20"/>
          <w:szCs w:val="20"/>
        </w:rPr>
        <w:t>S</w:t>
      </w:r>
      <w:r w:rsidR="00A55509" w:rsidRPr="009A428B">
        <w:rPr>
          <w:sz w:val="20"/>
          <w:szCs w:val="20"/>
        </w:rPr>
        <w:t xml:space="preserve">TATA version 13. </w:t>
      </w:r>
      <w:r w:rsidR="00E9426A" w:rsidRPr="009A428B">
        <w:rPr>
          <w:sz w:val="20"/>
          <w:szCs w:val="20"/>
        </w:rPr>
        <w:t>In detail, this study used the time decay in</w:t>
      </w:r>
      <w:r w:rsidR="005F443E" w:rsidRPr="009A428B">
        <w:rPr>
          <w:sz w:val="20"/>
          <w:szCs w:val="20"/>
        </w:rPr>
        <w:t>efficiency</w:t>
      </w:r>
      <w:r w:rsidR="00E9426A" w:rsidRPr="009A428B">
        <w:rPr>
          <w:sz w:val="20"/>
          <w:szCs w:val="20"/>
        </w:rPr>
        <w:t xml:space="preserve"> built-in option (Battese &amp; Coelli, 1992) </w:t>
      </w:r>
      <w:r w:rsidR="00FE647A" w:rsidRPr="009A428B">
        <w:rPr>
          <w:sz w:val="20"/>
          <w:szCs w:val="20"/>
        </w:rPr>
        <w:t>to estimate u</w:t>
      </w:r>
      <w:r w:rsidR="00FE647A" w:rsidRPr="009A428B">
        <w:rPr>
          <w:sz w:val="20"/>
          <w:szCs w:val="20"/>
          <w:vertAlign w:val="subscript"/>
        </w:rPr>
        <w:t>it</w:t>
      </w:r>
      <w:r w:rsidR="00FE647A" w:rsidRPr="009A428B">
        <w:rPr>
          <w:sz w:val="20"/>
          <w:szCs w:val="20"/>
        </w:rPr>
        <w:t>:</w:t>
      </w:r>
      <w:r w:rsidR="00E9426A" w:rsidRPr="009A428B">
        <w:rPr>
          <w:sz w:val="20"/>
          <w:szCs w:val="20"/>
        </w:rPr>
        <w:t xml:space="preserve"> </w:t>
      </w:r>
      <w:r w:rsidR="00E9426A" w:rsidRPr="009A428B">
        <w:rPr>
          <w:sz w:val="20"/>
          <w:szCs w:val="20"/>
        </w:rPr>
        <w:tab/>
      </w:r>
    </w:p>
    <w:p w14:paraId="5FBAF0A4" w14:textId="3CE1D6C3" w:rsidR="002F352E" w:rsidRPr="009A428B" w:rsidRDefault="0067464D" w:rsidP="009130ED">
      <w:pPr>
        <w:autoSpaceDE w:val="0"/>
        <w:autoSpaceDN w:val="0"/>
        <w:adjustRightInd w:val="0"/>
        <w:spacing w:after="80" w:line="240" w:lineRule="exact"/>
        <w:jc w:val="both"/>
        <w:rPr>
          <w:sz w:val="20"/>
          <w:szCs w:val="20"/>
        </w:rPr>
      </w:pPr>
      <w:r>
        <w:rPr>
          <w:sz w:val="20"/>
          <w:szCs w:val="20"/>
        </w:rPr>
        <w:t xml:space="preserve">                                                               </w:t>
      </w:r>
      <m:oMath>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it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η</m:t>
            </m:r>
          </m:e>
          <m:sub>
            <m:r>
              <w:rPr>
                <w:rFonts w:ascii="Cambria Math" w:hAnsi="Cambria Math"/>
                <w:sz w:val="20"/>
                <w:szCs w:val="20"/>
              </w:rPr>
              <m:t>it</m:t>
            </m:r>
          </m:sub>
        </m:sSub>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i</m:t>
            </m:r>
          </m:sub>
        </m:sSub>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exp</m:t>
            </m:r>
          </m:fName>
          <m:e>
            <m:d>
              <m:dPr>
                <m:begChr m:val="["/>
                <m:endChr m:val="]"/>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η</m:t>
                </m:r>
                <m:d>
                  <m:dPr>
                    <m:ctrlPr>
                      <w:rPr>
                        <w:rFonts w:ascii="Cambria Math" w:hAnsi="Cambria Math"/>
                        <w:sz w:val="20"/>
                        <w:szCs w:val="20"/>
                      </w:rPr>
                    </m:ctrlPr>
                  </m:dPr>
                  <m:e>
                    <m:r>
                      <w:rPr>
                        <w:rFonts w:ascii="Cambria Math" w:hAnsi="Cambria Math"/>
                        <w:sz w:val="20"/>
                        <w:szCs w:val="20"/>
                      </w:rPr>
                      <m:t>t</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e>
                </m:d>
              </m:e>
            </m:d>
          </m:e>
        </m:fun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i</m:t>
            </m:r>
          </m:sub>
        </m:sSub>
      </m:oMath>
      <w:r w:rsidR="00E9426A" w:rsidRPr="009A428B">
        <w:rPr>
          <w:sz w:val="20"/>
          <w:szCs w:val="20"/>
        </w:rPr>
        <w:tab/>
      </w:r>
      <w:r w:rsidR="00E9426A" w:rsidRPr="009A428B">
        <w:rPr>
          <w:sz w:val="20"/>
          <w:szCs w:val="20"/>
        </w:rPr>
        <w:tab/>
      </w:r>
      <w:r w:rsidR="00E9426A" w:rsidRPr="009A428B">
        <w:rPr>
          <w:sz w:val="20"/>
          <w:szCs w:val="20"/>
        </w:rPr>
        <w:tab/>
      </w:r>
      <w:r w:rsidR="00E9426A" w:rsidRPr="009A428B">
        <w:rPr>
          <w:sz w:val="20"/>
          <w:szCs w:val="20"/>
        </w:rPr>
        <w:tab/>
      </w:r>
      <w:r>
        <w:rPr>
          <w:sz w:val="20"/>
          <w:szCs w:val="20"/>
        </w:rPr>
        <w:t xml:space="preserve">        </w:t>
      </w:r>
      <w:r w:rsidR="00FE647A" w:rsidRPr="009A428B">
        <w:rPr>
          <w:sz w:val="20"/>
          <w:szCs w:val="20"/>
        </w:rPr>
        <w:t>(</w:t>
      </w:r>
      <w:r w:rsidR="00E9426A" w:rsidRPr="009A428B">
        <w:rPr>
          <w:sz w:val="20"/>
          <w:szCs w:val="20"/>
        </w:rPr>
        <w:t>5)</w:t>
      </w:r>
    </w:p>
    <w:p w14:paraId="52E7F849" w14:textId="292FDAD1" w:rsidR="002F352E" w:rsidRPr="009A428B" w:rsidRDefault="00E9426A" w:rsidP="009130ED">
      <w:pPr>
        <w:spacing w:after="80" w:line="240" w:lineRule="exact"/>
        <w:jc w:val="both"/>
        <w:rPr>
          <w:sz w:val="20"/>
          <w:szCs w:val="20"/>
        </w:rPr>
      </w:pPr>
      <w:r w:rsidRPr="009A428B">
        <w:rPr>
          <w:sz w:val="20"/>
          <w:szCs w:val="20"/>
        </w:rPr>
        <w:lastRenderedPageBreak/>
        <w:t xml:space="preserve">η is a scalar parameter to be estimated and can be used to determine whether the </w:t>
      </w:r>
      <w:r w:rsidR="005F443E" w:rsidRPr="009A428B">
        <w:rPr>
          <w:sz w:val="20"/>
          <w:szCs w:val="20"/>
        </w:rPr>
        <w:t>efficiency</w:t>
      </w:r>
      <w:r w:rsidRPr="009A428B">
        <w:rPr>
          <w:sz w:val="20"/>
          <w:szCs w:val="20"/>
        </w:rPr>
        <w:t xml:space="preserve"> increases, is constant or decreases. The last period (t=T) for trade </w:t>
      </w:r>
      <w:r w:rsidR="00DF5F10" w:rsidRPr="009A428B">
        <w:rPr>
          <w:sz w:val="20"/>
          <w:szCs w:val="20"/>
        </w:rPr>
        <w:t xml:space="preserve">between Vietnam and country i </w:t>
      </w:r>
      <w:r w:rsidRPr="009A428B">
        <w:rPr>
          <w:sz w:val="20"/>
          <w:szCs w:val="20"/>
        </w:rPr>
        <w:t xml:space="preserve">contains the </w:t>
      </w:r>
      <w:r w:rsidR="00DF5F10" w:rsidRPr="009A428B">
        <w:rPr>
          <w:sz w:val="20"/>
          <w:szCs w:val="20"/>
        </w:rPr>
        <w:t>benchmark</w:t>
      </w:r>
      <w:r w:rsidRPr="009A428B">
        <w:rPr>
          <w:sz w:val="20"/>
          <w:szCs w:val="20"/>
        </w:rPr>
        <w:t xml:space="preserve"> level of </w:t>
      </w:r>
      <w:r w:rsidR="005F443E" w:rsidRPr="009A428B">
        <w:rPr>
          <w:sz w:val="20"/>
          <w:szCs w:val="20"/>
        </w:rPr>
        <w:t>efficiency</w:t>
      </w:r>
      <w:r w:rsidRPr="009A428B">
        <w:rPr>
          <w:sz w:val="20"/>
          <w:szCs w:val="20"/>
        </w:rPr>
        <w:t xml:space="preserve">. If η&gt;0, the level of </w:t>
      </w:r>
      <w:r w:rsidR="005F443E" w:rsidRPr="009A428B">
        <w:rPr>
          <w:sz w:val="20"/>
          <w:szCs w:val="20"/>
        </w:rPr>
        <w:t>efficiency</w:t>
      </w:r>
      <w:r w:rsidRPr="009A428B">
        <w:rPr>
          <w:sz w:val="20"/>
          <w:szCs w:val="20"/>
        </w:rPr>
        <w:t xml:space="preserve"> increases towards the </w:t>
      </w:r>
      <w:r w:rsidR="00464EE9" w:rsidRPr="009A428B">
        <w:rPr>
          <w:sz w:val="20"/>
          <w:szCs w:val="20"/>
        </w:rPr>
        <w:t xml:space="preserve">benchmark </w:t>
      </w:r>
      <w:r w:rsidRPr="009A428B">
        <w:rPr>
          <w:sz w:val="20"/>
          <w:szCs w:val="20"/>
        </w:rPr>
        <w:t>level or the impact of country-specific man-made policy constraint to export</w:t>
      </w:r>
      <w:r w:rsidR="001D2C07" w:rsidRPr="009A428B">
        <w:rPr>
          <w:sz w:val="20"/>
          <w:szCs w:val="20"/>
        </w:rPr>
        <w:t>s/imports</w:t>
      </w:r>
      <w:r w:rsidRPr="009A428B">
        <w:rPr>
          <w:sz w:val="20"/>
          <w:szCs w:val="20"/>
        </w:rPr>
        <w:t xml:space="preserve"> increases over time; If η=0 or is insignificant, the level of </w:t>
      </w:r>
      <w:r w:rsidR="005F443E" w:rsidRPr="009A428B">
        <w:rPr>
          <w:sz w:val="20"/>
          <w:szCs w:val="20"/>
        </w:rPr>
        <w:t>efficiency</w:t>
      </w:r>
      <w:r w:rsidRPr="009A428B">
        <w:rPr>
          <w:sz w:val="20"/>
          <w:szCs w:val="20"/>
        </w:rPr>
        <w:t xml:space="preserve"> remain</w:t>
      </w:r>
      <w:r w:rsidR="00C1298C" w:rsidRPr="009A428B">
        <w:rPr>
          <w:sz w:val="20"/>
          <w:szCs w:val="20"/>
        </w:rPr>
        <w:t>s</w:t>
      </w:r>
      <w:r w:rsidRPr="009A428B">
        <w:rPr>
          <w:sz w:val="20"/>
          <w:szCs w:val="20"/>
        </w:rPr>
        <w:t xml:space="preserve"> constant or the impact of country-specific man-made policy constraint to export</w:t>
      </w:r>
      <w:r w:rsidR="001D2C07" w:rsidRPr="009A428B">
        <w:rPr>
          <w:sz w:val="20"/>
          <w:szCs w:val="20"/>
        </w:rPr>
        <w:t>s/imports</w:t>
      </w:r>
      <w:r w:rsidRPr="009A428B">
        <w:rPr>
          <w:sz w:val="20"/>
          <w:szCs w:val="20"/>
        </w:rPr>
        <w:t xml:space="preserve"> stays unchanged over time.</w:t>
      </w:r>
    </w:p>
    <w:p w14:paraId="74ECA96D" w14:textId="35A34056" w:rsidR="00E9426A" w:rsidRPr="009A428B" w:rsidRDefault="00E9426A" w:rsidP="009130ED">
      <w:pPr>
        <w:spacing w:after="80" w:line="240" w:lineRule="exact"/>
        <w:jc w:val="both"/>
        <w:rPr>
          <w:sz w:val="20"/>
          <w:szCs w:val="20"/>
        </w:rPr>
      </w:pPr>
      <w:r w:rsidRPr="009A428B">
        <w:rPr>
          <w:sz w:val="20"/>
          <w:szCs w:val="20"/>
        </w:rPr>
        <w:t xml:space="preserve">This method also applies to the parameterization of Battese and Corra (1977), who replaced </w:t>
      </w:r>
      <w:r w:rsidRPr="009A428B">
        <w:rPr>
          <w:sz w:val="20"/>
          <w:szCs w:val="20"/>
        </w:rPr>
        <w:sym w:font="Symbol" w:char="F073"/>
      </w:r>
      <w:r w:rsidRPr="009A428B">
        <w:rPr>
          <w:sz w:val="20"/>
          <w:szCs w:val="20"/>
          <w:vertAlign w:val="subscript"/>
        </w:rPr>
        <w:t>u</w:t>
      </w:r>
      <w:r w:rsidRPr="009A428B">
        <w:rPr>
          <w:sz w:val="20"/>
          <w:szCs w:val="20"/>
          <w:vertAlign w:val="superscript"/>
        </w:rPr>
        <w:t>2</w:t>
      </w:r>
      <w:r w:rsidRPr="009A428B">
        <w:rPr>
          <w:sz w:val="20"/>
          <w:szCs w:val="20"/>
        </w:rPr>
        <w:t xml:space="preserve"> and </w:t>
      </w:r>
      <w:r w:rsidRPr="009A428B">
        <w:rPr>
          <w:sz w:val="20"/>
          <w:szCs w:val="20"/>
        </w:rPr>
        <w:sym w:font="Symbol" w:char="F073"/>
      </w:r>
      <w:r w:rsidRPr="009A428B">
        <w:rPr>
          <w:sz w:val="20"/>
          <w:szCs w:val="20"/>
          <w:vertAlign w:val="subscript"/>
        </w:rPr>
        <w:t>v</w:t>
      </w:r>
      <w:r w:rsidRPr="009A428B">
        <w:rPr>
          <w:sz w:val="20"/>
          <w:szCs w:val="20"/>
          <w:vertAlign w:val="superscript"/>
        </w:rPr>
        <w:t>2</w:t>
      </w:r>
      <w:r w:rsidRPr="009A428B">
        <w:rPr>
          <w:sz w:val="20"/>
          <w:szCs w:val="20"/>
        </w:rPr>
        <w:t xml:space="preserve"> with </w:t>
      </w:r>
      <w:r w:rsidRPr="009A428B">
        <w:rPr>
          <w:sz w:val="20"/>
          <w:szCs w:val="20"/>
        </w:rPr>
        <w:sym w:font="Symbol" w:char="F073"/>
      </w:r>
      <w:r w:rsidRPr="009A428B">
        <w:rPr>
          <w:sz w:val="20"/>
          <w:szCs w:val="20"/>
          <w:vertAlign w:val="superscript"/>
        </w:rPr>
        <w:t>2</w:t>
      </w:r>
      <w:r w:rsidRPr="009A428B">
        <w:rPr>
          <w:sz w:val="20"/>
          <w:szCs w:val="20"/>
        </w:rPr>
        <w:t>=</w:t>
      </w:r>
      <w:r w:rsidRPr="009A428B">
        <w:rPr>
          <w:sz w:val="20"/>
          <w:szCs w:val="20"/>
        </w:rPr>
        <w:sym w:font="Symbol" w:char="F073"/>
      </w:r>
      <w:r w:rsidRPr="009A428B">
        <w:rPr>
          <w:sz w:val="20"/>
          <w:szCs w:val="20"/>
          <w:vertAlign w:val="subscript"/>
        </w:rPr>
        <w:t>u</w:t>
      </w:r>
      <w:r w:rsidRPr="009A428B">
        <w:rPr>
          <w:sz w:val="20"/>
          <w:szCs w:val="20"/>
          <w:vertAlign w:val="superscript"/>
        </w:rPr>
        <w:t>2</w:t>
      </w:r>
      <w:r w:rsidRPr="009A428B">
        <w:rPr>
          <w:sz w:val="20"/>
          <w:szCs w:val="20"/>
        </w:rPr>
        <w:t>+</w:t>
      </w:r>
      <w:r w:rsidRPr="009A428B">
        <w:rPr>
          <w:sz w:val="20"/>
          <w:szCs w:val="20"/>
        </w:rPr>
        <w:sym w:font="Symbol" w:char="F073"/>
      </w:r>
      <w:r w:rsidRPr="009A428B">
        <w:rPr>
          <w:sz w:val="20"/>
          <w:szCs w:val="20"/>
          <w:vertAlign w:val="subscript"/>
        </w:rPr>
        <w:t>v</w:t>
      </w:r>
      <w:r w:rsidRPr="009A428B">
        <w:rPr>
          <w:sz w:val="20"/>
          <w:szCs w:val="20"/>
          <w:vertAlign w:val="superscript"/>
        </w:rPr>
        <w:t>2</w:t>
      </w:r>
      <w:r w:rsidRPr="009A428B">
        <w:rPr>
          <w:sz w:val="20"/>
          <w:szCs w:val="20"/>
        </w:rPr>
        <w:t xml:space="preserve"> and </w:t>
      </w:r>
      <w:r w:rsidRPr="009A428B">
        <w:rPr>
          <w:sz w:val="20"/>
          <w:szCs w:val="20"/>
        </w:rPr>
        <w:sym w:font="Symbol" w:char="F067"/>
      </w:r>
      <w:r w:rsidRPr="009A428B">
        <w:rPr>
          <w:sz w:val="20"/>
          <w:szCs w:val="20"/>
        </w:rPr>
        <w:t>=</w:t>
      </w:r>
      <w:r w:rsidRPr="009A428B">
        <w:rPr>
          <w:sz w:val="20"/>
          <w:szCs w:val="20"/>
        </w:rPr>
        <w:sym w:font="Symbol" w:char="F073"/>
      </w:r>
      <w:r w:rsidRPr="009A428B">
        <w:rPr>
          <w:sz w:val="20"/>
          <w:szCs w:val="20"/>
          <w:vertAlign w:val="subscript"/>
        </w:rPr>
        <w:t>u</w:t>
      </w:r>
      <w:r w:rsidRPr="009A428B">
        <w:rPr>
          <w:sz w:val="20"/>
          <w:szCs w:val="20"/>
          <w:vertAlign w:val="superscript"/>
        </w:rPr>
        <w:t>2</w:t>
      </w:r>
      <w:r w:rsidRPr="009A428B">
        <w:rPr>
          <w:sz w:val="20"/>
          <w:szCs w:val="20"/>
        </w:rPr>
        <w:t>/(</w:t>
      </w:r>
      <w:r w:rsidRPr="009A428B">
        <w:rPr>
          <w:sz w:val="20"/>
          <w:szCs w:val="20"/>
        </w:rPr>
        <w:sym w:font="Symbol" w:char="F073"/>
      </w:r>
      <w:r w:rsidRPr="009A428B">
        <w:rPr>
          <w:sz w:val="20"/>
          <w:szCs w:val="20"/>
          <w:vertAlign w:val="subscript"/>
        </w:rPr>
        <w:t>u</w:t>
      </w:r>
      <w:r w:rsidRPr="009A428B">
        <w:rPr>
          <w:sz w:val="20"/>
          <w:szCs w:val="20"/>
          <w:vertAlign w:val="superscript"/>
        </w:rPr>
        <w:t>2</w:t>
      </w:r>
      <w:r w:rsidRPr="009A428B">
        <w:rPr>
          <w:sz w:val="20"/>
          <w:szCs w:val="20"/>
        </w:rPr>
        <w:t>+</w:t>
      </w:r>
      <w:r w:rsidRPr="009A428B">
        <w:rPr>
          <w:sz w:val="20"/>
          <w:szCs w:val="20"/>
        </w:rPr>
        <w:sym w:font="Symbol" w:char="F073"/>
      </w:r>
      <w:r w:rsidRPr="009A428B">
        <w:rPr>
          <w:sz w:val="20"/>
          <w:szCs w:val="20"/>
          <w:vertAlign w:val="subscript"/>
        </w:rPr>
        <w:t>v</w:t>
      </w:r>
      <w:r w:rsidRPr="009A428B">
        <w:rPr>
          <w:sz w:val="20"/>
          <w:szCs w:val="20"/>
          <w:vertAlign w:val="superscript"/>
        </w:rPr>
        <w:t>2</w:t>
      </w:r>
      <w:r w:rsidRPr="009A428B">
        <w:rPr>
          <w:sz w:val="20"/>
          <w:szCs w:val="20"/>
        </w:rPr>
        <w:t xml:space="preserve">). It can be said that </w:t>
      </w:r>
      <w:r w:rsidRPr="009A428B">
        <w:rPr>
          <w:sz w:val="20"/>
          <w:szCs w:val="20"/>
        </w:rPr>
        <w:sym w:font="Symbol" w:char="F067"/>
      </w:r>
      <w:r w:rsidRPr="009A428B">
        <w:rPr>
          <w:sz w:val="20"/>
          <w:szCs w:val="20"/>
        </w:rPr>
        <w:t xml:space="preserve"> must take the value between 0 and 1. We can test whether we should put the error term u in the form of stochastic frontier function, or not, by testing the significance of the </w:t>
      </w:r>
      <w:r w:rsidRPr="009A428B">
        <w:rPr>
          <w:sz w:val="20"/>
          <w:szCs w:val="20"/>
        </w:rPr>
        <w:sym w:font="Symbol" w:char="F067"/>
      </w:r>
      <w:r w:rsidRPr="009A428B">
        <w:rPr>
          <w:sz w:val="20"/>
          <w:szCs w:val="20"/>
        </w:rPr>
        <w:t xml:space="preserve"> parameter. If the null hypothesis, that </w:t>
      </w:r>
      <w:r w:rsidRPr="009A428B">
        <w:rPr>
          <w:sz w:val="20"/>
          <w:szCs w:val="20"/>
        </w:rPr>
        <w:sym w:font="Symbol" w:char="F067"/>
      </w:r>
      <w:r w:rsidRPr="009A428B">
        <w:rPr>
          <w:sz w:val="20"/>
          <w:szCs w:val="20"/>
        </w:rPr>
        <w:t xml:space="preserve"> equals zero, is rejected, this would mean that </w:t>
      </w:r>
      <w:r w:rsidRPr="009A428B">
        <w:rPr>
          <w:sz w:val="20"/>
          <w:szCs w:val="20"/>
        </w:rPr>
        <w:sym w:font="Symbol" w:char="F073"/>
      </w:r>
      <w:r w:rsidRPr="009A428B">
        <w:rPr>
          <w:sz w:val="20"/>
          <w:szCs w:val="20"/>
          <w:vertAlign w:val="subscript"/>
        </w:rPr>
        <w:t>u</w:t>
      </w:r>
      <w:r w:rsidRPr="009A428B">
        <w:rPr>
          <w:sz w:val="20"/>
          <w:szCs w:val="20"/>
          <w:vertAlign w:val="superscript"/>
        </w:rPr>
        <w:t>2</w:t>
      </w:r>
      <w:r w:rsidRPr="009A428B">
        <w:rPr>
          <w:sz w:val="20"/>
          <w:szCs w:val="20"/>
        </w:rPr>
        <w:t xml:space="preserve"> is non-zero and therefore the u term should be added into the model, leading to a specification with parameters that should be consistently estimated using the stochastic frontier approach.</w:t>
      </w:r>
    </w:p>
    <w:p w14:paraId="269F5FA1" w14:textId="72ABEC30" w:rsidR="005430F9" w:rsidRDefault="000C1B7C" w:rsidP="005430F9">
      <w:pPr>
        <w:autoSpaceDE w:val="0"/>
        <w:autoSpaceDN w:val="0"/>
        <w:adjustRightInd w:val="0"/>
        <w:spacing w:after="80" w:line="240" w:lineRule="exact"/>
        <w:jc w:val="both"/>
        <w:rPr>
          <w:sz w:val="20"/>
          <w:szCs w:val="20"/>
        </w:rPr>
      </w:pPr>
      <w:r w:rsidRPr="009A428B">
        <w:rPr>
          <w:sz w:val="20"/>
          <w:szCs w:val="20"/>
        </w:rPr>
        <w:t>This study utilize</w:t>
      </w:r>
      <w:r w:rsidR="00E82C78" w:rsidRPr="009A428B">
        <w:rPr>
          <w:sz w:val="20"/>
          <w:szCs w:val="20"/>
        </w:rPr>
        <w:t>s</w:t>
      </w:r>
      <w:r w:rsidRPr="009A428B">
        <w:rPr>
          <w:sz w:val="20"/>
          <w:szCs w:val="20"/>
        </w:rPr>
        <w:t xml:space="preserve"> panel data consisti</w:t>
      </w:r>
      <w:r w:rsidR="00D97633" w:rsidRPr="009A428B">
        <w:rPr>
          <w:sz w:val="20"/>
          <w:szCs w:val="20"/>
        </w:rPr>
        <w:t>ng of 30</w:t>
      </w:r>
      <w:r w:rsidRPr="009A428B">
        <w:rPr>
          <w:sz w:val="20"/>
          <w:szCs w:val="20"/>
        </w:rPr>
        <w:t xml:space="preserve"> Vietnam’s </w:t>
      </w:r>
      <w:r w:rsidR="00E82C78" w:rsidRPr="009A428B">
        <w:rPr>
          <w:sz w:val="20"/>
          <w:szCs w:val="20"/>
        </w:rPr>
        <w:t xml:space="preserve">bilateral trading </w:t>
      </w:r>
      <w:r w:rsidR="00DC5961">
        <w:rPr>
          <w:sz w:val="20"/>
          <w:szCs w:val="20"/>
        </w:rPr>
        <w:t>partner</w:t>
      </w:r>
      <w:r w:rsidR="00AD325C">
        <w:rPr>
          <w:sz w:val="20"/>
          <w:szCs w:val="20"/>
        </w:rPr>
        <w:t>s</w:t>
      </w:r>
      <w:r w:rsidRPr="009A428B">
        <w:rPr>
          <w:sz w:val="20"/>
          <w:szCs w:val="20"/>
        </w:rPr>
        <w:t xml:space="preserve"> period 1995-</w:t>
      </w:r>
      <w:r w:rsidR="00F51091" w:rsidRPr="009A428B">
        <w:rPr>
          <w:sz w:val="20"/>
          <w:szCs w:val="20"/>
        </w:rPr>
        <w:t>2015</w:t>
      </w:r>
      <w:r w:rsidR="00E82C78" w:rsidRPr="009A428B">
        <w:rPr>
          <w:sz w:val="20"/>
          <w:szCs w:val="20"/>
        </w:rPr>
        <w:t xml:space="preserve">, that </w:t>
      </w:r>
      <w:r w:rsidRPr="009A428B">
        <w:rPr>
          <w:sz w:val="20"/>
          <w:szCs w:val="20"/>
        </w:rPr>
        <w:t xml:space="preserve">account for an </w:t>
      </w:r>
      <w:r w:rsidR="00D97633" w:rsidRPr="009A428B">
        <w:rPr>
          <w:sz w:val="20"/>
          <w:szCs w:val="20"/>
        </w:rPr>
        <w:t xml:space="preserve">average </w:t>
      </w:r>
      <w:r w:rsidR="002F352E" w:rsidRPr="009A428B">
        <w:rPr>
          <w:sz w:val="20"/>
          <w:szCs w:val="20"/>
        </w:rPr>
        <w:t xml:space="preserve">of </w:t>
      </w:r>
      <w:r w:rsidR="00D97633" w:rsidRPr="009A428B">
        <w:rPr>
          <w:sz w:val="20"/>
          <w:szCs w:val="20"/>
        </w:rPr>
        <w:t>85</w:t>
      </w:r>
      <w:r w:rsidRPr="009A428B">
        <w:rPr>
          <w:sz w:val="20"/>
          <w:szCs w:val="20"/>
        </w:rPr>
        <w:t xml:space="preserve">% total </w:t>
      </w:r>
      <w:r w:rsidR="00D97633" w:rsidRPr="009A428B">
        <w:rPr>
          <w:sz w:val="20"/>
          <w:szCs w:val="20"/>
        </w:rPr>
        <w:t>international trade</w:t>
      </w:r>
      <w:r w:rsidRPr="009A428B">
        <w:rPr>
          <w:sz w:val="20"/>
          <w:szCs w:val="20"/>
        </w:rPr>
        <w:t xml:space="preserve"> </w:t>
      </w:r>
      <w:r w:rsidR="00E82C78" w:rsidRPr="009A428B">
        <w:rPr>
          <w:sz w:val="20"/>
          <w:szCs w:val="20"/>
        </w:rPr>
        <w:t>with</w:t>
      </w:r>
      <w:r w:rsidRPr="009A428B">
        <w:rPr>
          <w:sz w:val="20"/>
          <w:szCs w:val="20"/>
        </w:rPr>
        <w:t xml:space="preserve"> the world. </w:t>
      </w:r>
      <w:r w:rsidR="000E01EB">
        <w:rPr>
          <w:sz w:val="20"/>
          <w:szCs w:val="20"/>
        </w:rPr>
        <w:t xml:space="preserve">Table 4 shows the list of countries included in this study </w:t>
      </w:r>
      <w:r w:rsidRPr="009A428B">
        <w:rPr>
          <w:sz w:val="20"/>
          <w:szCs w:val="20"/>
        </w:rPr>
        <w:t xml:space="preserve">which </w:t>
      </w:r>
      <w:r w:rsidR="000E01EB">
        <w:rPr>
          <w:sz w:val="20"/>
          <w:szCs w:val="20"/>
        </w:rPr>
        <w:t>were</w:t>
      </w:r>
      <w:r w:rsidRPr="009A428B">
        <w:rPr>
          <w:sz w:val="20"/>
          <w:szCs w:val="20"/>
        </w:rPr>
        <w:t xml:space="preserve"> selected based on their relative importance to Vietnam exports in different regions including ASEAN, ASEAN+3, NAFTA, the European Union, and </w:t>
      </w:r>
      <w:r w:rsidR="000D31D9" w:rsidRPr="009A428B">
        <w:rPr>
          <w:sz w:val="20"/>
          <w:szCs w:val="20"/>
        </w:rPr>
        <w:t xml:space="preserve">Others (Australia, </w:t>
      </w:r>
      <w:r w:rsidRPr="009A428B">
        <w:rPr>
          <w:sz w:val="20"/>
          <w:szCs w:val="20"/>
        </w:rPr>
        <w:t>New Zealand</w:t>
      </w:r>
      <w:r w:rsidR="000D31D9" w:rsidRPr="009A428B">
        <w:rPr>
          <w:sz w:val="20"/>
          <w:szCs w:val="20"/>
        </w:rPr>
        <w:t>, India, and Russia</w:t>
      </w:r>
      <w:r w:rsidRPr="009A428B">
        <w:rPr>
          <w:sz w:val="20"/>
          <w:szCs w:val="20"/>
        </w:rPr>
        <w:t>). The main reason this study takes this period is because Vietnam joined ASEAN in 1995.</w:t>
      </w:r>
      <w:r w:rsidR="00D30514" w:rsidRPr="009A428B">
        <w:rPr>
          <w:sz w:val="20"/>
          <w:szCs w:val="20"/>
        </w:rPr>
        <w:t xml:space="preserve"> We</w:t>
      </w:r>
      <w:r w:rsidR="00F505A4" w:rsidRPr="009A428B">
        <w:rPr>
          <w:sz w:val="20"/>
          <w:szCs w:val="20"/>
        </w:rPr>
        <w:t xml:space="preserve"> use </w:t>
      </w:r>
      <w:r w:rsidRPr="009A428B">
        <w:rPr>
          <w:sz w:val="20"/>
          <w:szCs w:val="20"/>
        </w:rPr>
        <w:t>a variety of data sources. Exports</w:t>
      </w:r>
      <w:r w:rsidR="00B96AD7" w:rsidRPr="009A428B">
        <w:rPr>
          <w:sz w:val="20"/>
          <w:szCs w:val="20"/>
        </w:rPr>
        <w:t>/imports</w:t>
      </w:r>
      <w:r w:rsidRPr="009A428B">
        <w:rPr>
          <w:sz w:val="20"/>
          <w:szCs w:val="20"/>
        </w:rPr>
        <w:t xml:space="preserve"> data is taken from the International Monetary Fund (Direction of Trade Statistics-DOTS). Gross Domestic Products (GDP), Population (POP),</w:t>
      </w:r>
      <w:r w:rsidR="00545522" w:rsidRPr="009A428B">
        <w:rPr>
          <w:sz w:val="20"/>
          <w:szCs w:val="20"/>
        </w:rPr>
        <w:t xml:space="preserve"> Real Effective Exchange Rate,</w:t>
      </w:r>
      <w:r w:rsidRPr="009A428B">
        <w:rPr>
          <w:sz w:val="20"/>
          <w:szCs w:val="20"/>
        </w:rPr>
        <w:t xml:space="preserve"> and all product tariff rates are taken from the </w:t>
      </w:r>
      <w:r w:rsidR="00F505A4" w:rsidRPr="009A428B">
        <w:rPr>
          <w:sz w:val="20"/>
          <w:szCs w:val="20"/>
        </w:rPr>
        <w:t>World Bank database</w:t>
      </w:r>
      <w:r w:rsidRPr="009A428B">
        <w:rPr>
          <w:sz w:val="20"/>
          <w:szCs w:val="20"/>
        </w:rPr>
        <w:t>. Data on the weighted distance measured in kilometers</w:t>
      </w:r>
      <w:r w:rsidR="00B96AD7" w:rsidRPr="009A428B">
        <w:rPr>
          <w:sz w:val="20"/>
          <w:szCs w:val="20"/>
        </w:rPr>
        <w:t xml:space="preserve"> (D</w:t>
      </w:r>
      <w:r w:rsidRPr="009A428B">
        <w:rPr>
          <w:sz w:val="20"/>
          <w:szCs w:val="20"/>
        </w:rPr>
        <w:t>) and land area (Area) are taken from the Centre d'Etudes Prospectives et d'Infor</w:t>
      </w:r>
      <w:r w:rsidR="00022131" w:rsidRPr="009A428B">
        <w:rPr>
          <w:sz w:val="20"/>
          <w:szCs w:val="20"/>
        </w:rPr>
        <w:t>mations Internationales (CEPII)</w:t>
      </w:r>
      <w:r w:rsidRPr="009A428B">
        <w:rPr>
          <w:sz w:val="20"/>
          <w:szCs w:val="20"/>
        </w:rPr>
        <w:t xml:space="preserve">. The </w:t>
      </w:r>
      <w:r w:rsidR="00803C44" w:rsidRPr="009A428B">
        <w:rPr>
          <w:sz w:val="20"/>
          <w:szCs w:val="20"/>
        </w:rPr>
        <w:t>economic</w:t>
      </w:r>
      <w:r w:rsidRPr="009A428B">
        <w:rPr>
          <w:sz w:val="20"/>
          <w:szCs w:val="20"/>
        </w:rPr>
        <w:t xml:space="preserve"> freedom index (</w:t>
      </w:r>
      <w:r w:rsidR="005936E8" w:rsidRPr="009A428B">
        <w:rPr>
          <w:sz w:val="20"/>
          <w:szCs w:val="20"/>
        </w:rPr>
        <w:t>EF</w:t>
      </w:r>
      <w:r w:rsidRPr="009A428B">
        <w:rPr>
          <w:sz w:val="20"/>
          <w:szCs w:val="20"/>
        </w:rPr>
        <w:t>) is taken from the Heritage Foundation. The list of ASEAN member countries was taken from official website</w:t>
      </w:r>
      <w:r w:rsidR="00545522" w:rsidRPr="009A428B">
        <w:rPr>
          <w:sz w:val="20"/>
          <w:szCs w:val="20"/>
        </w:rPr>
        <w:t xml:space="preserve"> asean.org</w:t>
      </w:r>
      <w:r w:rsidRPr="009A428B">
        <w:rPr>
          <w:sz w:val="20"/>
          <w:szCs w:val="20"/>
        </w:rPr>
        <w:t>. Export</w:t>
      </w:r>
      <w:r w:rsidR="00D27441" w:rsidRPr="009A428B">
        <w:rPr>
          <w:sz w:val="20"/>
          <w:szCs w:val="20"/>
        </w:rPr>
        <w:t>/import</w:t>
      </w:r>
      <w:r w:rsidRPr="009A428B">
        <w:rPr>
          <w:sz w:val="20"/>
          <w:szCs w:val="20"/>
        </w:rPr>
        <w:t xml:space="preserve">, gross domestic products, </w:t>
      </w:r>
      <w:r w:rsidR="00D27441" w:rsidRPr="009A428B">
        <w:rPr>
          <w:sz w:val="20"/>
          <w:szCs w:val="20"/>
        </w:rPr>
        <w:t xml:space="preserve">Real Effective Exchange Rate, </w:t>
      </w:r>
      <w:r w:rsidRPr="009A428B">
        <w:rPr>
          <w:sz w:val="20"/>
          <w:szCs w:val="20"/>
        </w:rPr>
        <w:t>and distance are transformed to logarithms.</w:t>
      </w:r>
      <w:r w:rsidR="00F3208C">
        <w:rPr>
          <w:sz w:val="20"/>
          <w:szCs w:val="20"/>
        </w:rPr>
        <w:t xml:space="preserve"> Table 6</w:t>
      </w:r>
      <w:r w:rsidR="00930F01" w:rsidRPr="009A428B">
        <w:rPr>
          <w:sz w:val="20"/>
          <w:szCs w:val="20"/>
        </w:rPr>
        <w:t xml:space="preserve"> in the appendix shows the estimation results of stochastic frontier gravity model</w:t>
      </w:r>
      <w:r w:rsidR="00DC5748" w:rsidRPr="009A428B">
        <w:rPr>
          <w:sz w:val="20"/>
          <w:szCs w:val="20"/>
        </w:rPr>
        <w:t xml:space="preserve">. In general, the estimators are </w:t>
      </w:r>
      <w:r w:rsidR="00AC44DF" w:rsidRPr="009A428B">
        <w:rPr>
          <w:sz w:val="20"/>
          <w:szCs w:val="20"/>
        </w:rPr>
        <w:t>analogous to</w:t>
      </w:r>
      <w:r w:rsidR="00DC5748" w:rsidRPr="009A428B">
        <w:rPr>
          <w:sz w:val="20"/>
          <w:szCs w:val="20"/>
        </w:rPr>
        <w:t xml:space="preserve"> our expectation.</w:t>
      </w:r>
    </w:p>
    <w:p w14:paraId="654204DF" w14:textId="4A7B7E8B" w:rsidR="003357AE" w:rsidRPr="005430F9" w:rsidRDefault="008C6A80" w:rsidP="005430F9">
      <w:pPr>
        <w:autoSpaceDE w:val="0"/>
        <w:autoSpaceDN w:val="0"/>
        <w:adjustRightInd w:val="0"/>
        <w:spacing w:after="80" w:line="240" w:lineRule="exact"/>
        <w:jc w:val="both"/>
        <w:rPr>
          <w:sz w:val="20"/>
          <w:szCs w:val="20"/>
        </w:rPr>
      </w:pPr>
      <w:r>
        <w:rPr>
          <w:b/>
          <w:sz w:val="20"/>
          <w:szCs w:val="20"/>
        </w:rPr>
        <w:t>4</w:t>
      </w:r>
      <w:r w:rsidR="003357AE" w:rsidRPr="004B2477">
        <w:rPr>
          <w:b/>
          <w:sz w:val="20"/>
          <w:szCs w:val="20"/>
        </w:rPr>
        <w:t xml:space="preserve">. Estimated Trade </w:t>
      </w:r>
      <w:r w:rsidR="005F443E" w:rsidRPr="004B2477">
        <w:rPr>
          <w:b/>
          <w:sz w:val="20"/>
          <w:szCs w:val="20"/>
        </w:rPr>
        <w:t>Efficiency</w:t>
      </w:r>
    </w:p>
    <w:p w14:paraId="5DCEE3E7" w14:textId="4037C347" w:rsidR="0057176F" w:rsidRDefault="001E5045" w:rsidP="009130ED">
      <w:pPr>
        <w:spacing w:after="80" w:line="240" w:lineRule="exact"/>
        <w:jc w:val="both"/>
        <w:rPr>
          <w:sz w:val="20"/>
          <w:szCs w:val="20"/>
        </w:rPr>
      </w:pPr>
      <w:r w:rsidRPr="009A428B">
        <w:rPr>
          <w:sz w:val="20"/>
          <w:szCs w:val="20"/>
        </w:rPr>
        <w:t xml:space="preserve">Estimated trade </w:t>
      </w:r>
      <w:r w:rsidR="001B3B01" w:rsidRPr="009A428B">
        <w:rPr>
          <w:sz w:val="20"/>
          <w:szCs w:val="20"/>
        </w:rPr>
        <w:t>efficiencies</w:t>
      </w:r>
      <w:r w:rsidRPr="009A428B">
        <w:rPr>
          <w:sz w:val="20"/>
          <w:szCs w:val="20"/>
        </w:rPr>
        <w:t xml:space="preserve"> are show</w:t>
      </w:r>
      <w:r w:rsidR="002F352E" w:rsidRPr="009A428B">
        <w:rPr>
          <w:sz w:val="20"/>
          <w:szCs w:val="20"/>
        </w:rPr>
        <w:t>n</w:t>
      </w:r>
      <w:r w:rsidRPr="009A428B">
        <w:rPr>
          <w:sz w:val="20"/>
          <w:szCs w:val="20"/>
        </w:rPr>
        <w:t xml:space="preserve"> in Table 1 and 2</w:t>
      </w:r>
      <w:r w:rsidR="00BA34C0" w:rsidRPr="009A428B">
        <w:rPr>
          <w:sz w:val="20"/>
          <w:szCs w:val="20"/>
        </w:rPr>
        <w:t>, whereas Figure 1 plots the trend</w:t>
      </w:r>
      <w:r w:rsidRPr="009A428B">
        <w:rPr>
          <w:sz w:val="20"/>
          <w:szCs w:val="20"/>
        </w:rPr>
        <w:t>. Table 1 describes the estimation with Asian pacific countries, consisting of eight ASEAN countries, China, Japan, Korea, and Russian plus India.</w:t>
      </w:r>
      <w:r w:rsidR="00985C5B" w:rsidRPr="009A428B">
        <w:rPr>
          <w:sz w:val="20"/>
          <w:szCs w:val="20"/>
        </w:rPr>
        <w:t xml:space="preserve"> Acc</w:t>
      </w:r>
      <w:r w:rsidR="00DA1ADD" w:rsidRPr="009A428B">
        <w:rPr>
          <w:sz w:val="20"/>
          <w:szCs w:val="20"/>
        </w:rPr>
        <w:t xml:space="preserve">ording to the definition, the estimated trade </w:t>
      </w:r>
      <w:r w:rsidR="001B3B01" w:rsidRPr="009A428B">
        <w:rPr>
          <w:sz w:val="20"/>
          <w:szCs w:val="20"/>
        </w:rPr>
        <w:t>efficiencies</w:t>
      </w:r>
      <w:r w:rsidR="00DA1ADD" w:rsidRPr="009A428B">
        <w:rPr>
          <w:sz w:val="20"/>
          <w:szCs w:val="20"/>
        </w:rPr>
        <w:t xml:space="preserve"> should lie between 0% and 100%, where 100% implies that trade takes place at the frontier, the maximum </w:t>
      </w:r>
      <w:r w:rsidR="00015D33" w:rsidRPr="009A428B">
        <w:rPr>
          <w:sz w:val="20"/>
          <w:szCs w:val="20"/>
        </w:rPr>
        <w:t>possibility</w:t>
      </w:r>
      <w:r w:rsidR="00DA1ADD" w:rsidRPr="009A428B">
        <w:rPr>
          <w:sz w:val="20"/>
          <w:szCs w:val="20"/>
        </w:rPr>
        <w:t>.</w:t>
      </w:r>
      <w:r w:rsidR="009E6D3E" w:rsidRPr="009A428B">
        <w:rPr>
          <w:sz w:val="20"/>
          <w:szCs w:val="20"/>
        </w:rPr>
        <w:t xml:space="preserve"> </w:t>
      </w:r>
      <w:r w:rsidR="0027176C" w:rsidRPr="009A428B">
        <w:rPr>
          <w:sz w:val="20"/>
          <w:szCs w:val="20"/>
        </w:rPr>
        <w:t xml:space="preserve">In general, the empirical results infer that both export and import </w:t>
      </w:r>
      <w:r w:rsidR="001B3B01" w:rsidRPr="009A428B">
        <w:rPr>
          <w:sz w:val="20"/>
          <w:szCs w:val="20"/>
        </w:rPr>
        <w:t>efficiencies</w:t>
      </w:r>
      <w:r w:rsidR="0027176C" w:rsidRPr="009A428B">
        <w:rPr>
          <w:sz w:val="20"/>
          <w:szCs w:val="20"/>
        </w:rPr>
        <w:t xml:space="preserve"> of Vietnam </w:t>
      </w:r>
      <w:r w:rsidR="008E7634">
        <w:rPr>
          <w:sz w:val="20"/>
          <w:szCs w:val="20"/>
        </w:rPr>
        <w:t>improved</w:t>
      </w:r>
      <w:r w:rsidR="0027176C" w:rsidRPr="009A428B">
        <w:rPr>
          <w:sz w:val="20"/>
          <w:szCs w:val="20"/>
        </w:rPr>
        <w:t xml:space="preserve"> considerab</w:t>
      </w:r>
      <w:r w:rsidR="00C17BFF" w:rsidRPr="009A428B">
        <w:rPr>
          <w:sz w:val="20"/>
          <w:szCs w:val="20"/>
        </w:rPr>
        <w:t xml:space="preserve">ly in period surveyed 1995-2015. Exports </w:t>
      </w:r>
      <w:r w:rsidR="00D63383" w:rsidRPr="009A428B">
        <w:rPr>
          <w:sz w:val="20"/>
          <w:szCs w:val="20"/>
        </w:rPr>
        <w:t>perform</w:t>
      </w:r>
      <w:r w:rsidR="00C17BFF" w:rsidRPr="009A428B">
        <w:rPr>
          <w:sz w:val="20"/>
          <w:szCs w:val="20"/>
        </w:rPr>
        <w:t xml:space="preserve"> </w:t>
      </w:r>
      <w:r w:rsidR="006715AB" w:rsidRPr="009A428B">
        <w:rPr>
          <w:sz w:val="20"/>
          <w:szCs w:val="20"/>
        </w:rPr>
        <w:t xml:space="preserve">much </w:t>
      </w:r>
      <w:r w:rsidR="00C17BFF" w:rsidRPr="009A428B">
        <w:rPr>
          <w:sz w:val="20"/>
          <w:szCs w:val="20"/>
        </w:rPr>
        <w:t>more efficient</w:t>
      </w:r>
      <w:r w:rsidR="00264800" w:rsidRPr="009A428B">
        <w:rPr>
          <w:sz w:val="20"/>
          <w:szCs w:val="20"/>
        </w:rPr>
        <w:t>ly</w:t>
      </w:r>
      <w:r w:rsidR="00C17BFF" w:rsidRPr="009A428B">
        <w:rPr>
          <w:sz w:val="20"/>
          <w:szCs w:val="20"/>
        </w:rPr>
        <w:t xml:space="preserve"> than </w:t>
      </w:r>
      <w:r w:rsidR="00276BF5" w:rsidRPr="009A428B">
        <w:rPr>
          <w:sz w:val="20"/>
          <w:szCs w:val="20"/>
        </w:rPr>
        <w:t>imports</w:t>
      </w:r>
      <w:r w:rsidR="00084B08" w:rsidRPr="009A428B">
        <w:rPr>
          <w:sz w:val="20"/>
          <w:szCs w:val="20"/>
        </w:rPr>
        <w:t xml:space="preserve"> do</w:t>
      </w:r>
      <w:r w:rsidR="00276BF5" w:rsidRPr="009A428B">
        <w:rPr>
          <w:sz w:val="20"/>
          <w:szCs w:val="20"/>
        </w:rPr>
        <w:t>.</w:t>
      </w:r>
      <w:r w:rsidR="00A20E82" w:rsidRPr="009A428B">
        <w:rPr>
          <w:sz w:val="20"/>
          <w:szCs w:val="20"/>
        </w:rPr>
        <w:t xml:space="preserve"> The average e</w:t>
      </w:r>
      <w:r w:rsidR="002B0E3D" w:rsidRPr="009A428B">
        <w:rPr>
          <w:sz w:val="20"/>
          <w:szCs w:val="20"/>
        </w:rPr>
        <w:t xml:space="preserve">xport </w:t>
      </w:r>
      <w:r w:rsidR="005F443E" w:rsidRPr="009A428B">
        <w:rPr>
          <w:sz w:val="20"/>
          <w:szCs w:val="20"/>
        </w:rPr>
        <w:t>efficiency</w:t>
      </w:r>
      <w:r w:rsidR="002B0E3D" w:rsidRPr="009A428B">
        <w:rPr>
          <w:sz w:val="20"/>
          <w:szCs w:val="20"/>
        </w:rPr>
        <w:t xml:space="preserve"> with ASEAN countries grew from 37.54% in </w:t>
      </w:r>
      <w:r w:rsidR="008A7C16" w:rsidRPr="009A428B">
        <w:rPr>
          <w:sz w:val="20"/>
          <w:szCs w:val="20"/>
        </w:rPr>
        <w:t xml:space="preserve">the </w:t>
      </w:r>
      <w:r w:rsidR="00DA6941" w:rsidRPr="009A428B">
        <w:rPr>
          <w:sz w:val="20"/>
          <w:szCs w:val="20"/>
        </w:rPr>
        <w:t>year</w:t>
      </w:r>
      <w:r w:rsidR="00356CE2" w:rsidRPr="009A428B">
        <w:rPr>
          <w:sz w:val="20"/>
          <w:szCs w:val="20"/>
        </w:rPr>
        <w:t>s</w:t>
      </w:r>
      <w:r w:rsidR="00DA6941" w:rsidRPr="009A428B">
        <w:rPr>
          <w:sz w:val="20"/>
          <w:szCs w:val="20"/>
        </w:rPr>
        <w:t xml:space="preserve"> between 1995 and </w:t>
      </w:r>
      <w:r w:rsidR="002B0E3D" w:rsidRPr="009A428B">
        <w:rPr>
          <w:sz w:val="20"/>
          <w:szCs w:val="20"/>
        </w:rPr>
        <w:t>1999 to 48.73% in the period 2010-2015</w:t>
      </w:r>
      <w:r w:rsidR="0000208C" w:rsidRPr="009A428B">
        <w:rPr>
          <w:sz w:val="20"/>
          <w:szCs w:val="20"/>
        </w:rPr>
        <w:t>, while</w:t>
      </w:r>
      <w:r w:rsidR="00C33872" w:rsidRPr="009A428B">
        <w:rPr>
          <w:sz w:val="20"/>
          <w:szCs w:val="20"/>
        </w:rPr>
        <w:t xml:space="preserve"> imports from ASEAN rose about one and a half times, from 19.94% to 33</w:t>
      </w:r>
      <w:r w:rsidR="009D0565" w:rsidRPr="009A428B">
        <w:rPr>
          <w:sz w:val="20"/>
          <w:szCs w:val="20"/>
        </w:rPr>
        <w:t>.41% in the same periods.</w:t>
      </w:r>
      <w:r w:rsidR="009770D9" w:rsidRPr="009A428B">
        <w:rPr>
          <w:sz w:val="20"/>
          <w:szCs w:val="20"/>
        </w:rPr>
        <w:t xml:space="preserve"> In particular, the trade of Vietnam with Singapore outweighed 90%, </w:t>
      </w:r>
      <w:r w:rsidR="00007596">
        <w:rPr>
          <w:sz w:val="20"/>
          <w:szCs w:val="20"/>
        </w:rPr>
        <w:t xml:space="preserve">which is </w:t>
      </w:r>
      <w:r w:rsidR="009770D9" w:rsidRPr="009A428B">
        <w:rPr>
          <w:sz w:val="20"/>
          <w:szCs w:val="20"/>
        </w:rPr>
        <w:t>very near to the highest potential.</w:t>
      </w:r>
      <w:r w:rsidR="001D40B6" w:rsidRPr="009A428B">
        <w:rPr>
          <w:sz w:val="20"/>
          <w:szCs w:val="20"/>
        </w:rPr>
        <w:t xml:space="preserve"> </w:t>
      </w:r>
      <w:r w:rsidR="00A27DB7" w:rsidRPr="009A428B">
        <w:rPr>
          <w:sz w:val="20"/>
          <w:szCs w:val="20"/>
        </w:rPr>
        <w:t xml:space="preserve">On the other side, the trade </w:t>
      </w:r>
      <w:r w:rsidR="001B3B01" w:rsidRPr="009A428B">
        <w:rPr>
          <w:sz w:val="20"/>
          <w:szCs w:val="20"/>
        </w:rPr>
        <w:t>efficiencies</w:t>
      </w:r>
      <w:r w:rsidR="00A27DB7" w:rsidRPr="009A428B">
        <w:rPr>
          <w:sz w:val="20"/>
          <w:szCs w:val="20"/>
        </w:rPr>
        <w:t xml:space="preserve"> with Thailand and Indonesia </w:t>
      </w:r>
      <w:r w:rsidR="00D157F1" w:rsidRPr="009A428B">
        <w:rPr>
          <w:sz w:val="20"/>
          <w:szCs w:val="20"/>
        </w:rPr>
        <w:t>were</w:t>
      </w:r>
      <w:r w:rsidR="00A27DB7" w:rsidRPr="009A428B">
        <w:rPr>
          <w:sz w:val="20"/>
          <w:szCs w:val="20"/>
        </w:rPr>
        <w:t xml:space="preserve"> still less than 30%, indicating that actual trade with these nations</w:t>
      </w:r>
      <w:r w:rsidR="00EA02EB" w:rsidRPr="009A428B">
        <w:rPr>
          <w:sz w:val="20"/>
          <w:szCs w:val="20"/>
        </w:rPr>
        <w:t xml:space="preserve"> were far from the maximum likelihoods.</w:t>
      </w:r>
      <w:r w:rsidR="00D157F1" w:rsidRPr="009A428B">
        <w:rPr>
          <w:sz w:val="20"/>
          <w:szCs w:val="20"/>
        </w:rPr>
        <w:t xml:space="preserve"> </w:t>
      </w:r>
      <w:r w:rsidR="00733E53" w:rsidRPr="009A428B">
        <w:rPr>
          <w:sz w:val="20"/>
          <w:szCs w:val="20"/>
        </w:rPr>
        <w:t xml:space="preserve">The space for </w:t>
      </w:r>
      <w:r w:rsidR="001828CA" w:rsidRPr="009A428B">
        <w:rPr>
          <w:sz w:val="20"/>
          <w:szCs w:val="20"/>
        </w:rPr>
        <w:t xml:space="preserve">trade’s </w:t>
      </w:r>
      <w:r w:rsidR="00733E53" w:rsidRPr="009A428B">
        <w:rPr>
          <w:sz w:val="20"/>
          <w:szCs w:val="20"/>
        </w:rPr>
        <w:t xml:space="preserve">growth are </w:t>
      </w:r>
      <w:r w:rsidR="001828CA" w:rsidRPr="009A428B">
        <w:rPr>
          <w:sz w:val="20"/>
          <w:szCs w:val="20"/>
        </w:rPr>
        <w:t>enormous.</w:t>
      </w:r>
      <w:r w:rsidR="00415797" w:rsidRPr="009A428B">
        <w:rPr>
          <w:sz w:val="20"/>
          <w:szCs w:val="20"/>
        </w:rPr>
        <w:t xml:space="preserve"> </w:t>
      </w:r>
      <w:r w:rsidR="0014471F" w:rsidRPr="009A428B">
        <w:rPr>
          <w:sz w:val="20"/>
          <w:szCs w:val="20"/>
        </w:rPr>
        <w:t xml:space="preserve">Due to the adverse effects of economic sanction imposed on Myanmar by the US, its trade </w:t>
      </w:r>
      <w:r w:rsidR="005F443E" w:rsidRPr="009A428B">
        <w:rPr>
          <w:sz w:val="20"/>
          <w:szCs w:val="20"/>
        </w:rPr>
        <w:t>efficiency</w:t>
      </w:r>
      <w:r w:rsidR="0014471F" w:rsidRPr="009A428B">
        <w:rPr>
          <w:sz w:val="20"/>
          <w:szCs w:val="20"/>
        </w:rPr>
        <w:t xml:space="preserve"> with Vietnam was the least among ASEAN members, only below 5%.</w:t>
      </w:r>
    </w:p>
    <w:p w14:paraId="5BB8E0D1" w14:textId="77777777" w:rsidR="00552025" w:rsidRPr="009A428B" w:rsidRDefault="00552025" w:rsidP="009130ED">
      <w:pPr>
        <w:spacing w:after="80" w:line="240" w:lineRule="exact"/>
        <w:jc w:val="both"/>
        <w:rPr>
          <w:sz w:val="20"/>
          <w:szCs w:val="20"/>
        </w:rPr>
      </w:pPr>
    </w:p>
    <w:p w14:paraId="372C68E8" w14:textId="4BC85B3D" w:rsidR="00663827" w:rsidRPr="009A428B" w:rsidRDefault="00BA3DF4" w:rsidP="00777F97">
      <w:pPr>
        <w:spacing w:after="80"/>
        <w:jc w:val="center"/>
        <w:rPr>
          <w:sz w:val="20"/>
          <w:szCs w:val="20"/>
        </w:rPr>
      </w:pPr>
      <w:r w:rsidRPr="009A428B">
        <w:rPr>
          <w:noProof/>
          <w:sz w:val="20"/>
          <w:szCs w:val="20"/>
        </w:rPr>
        <w:lastRenderedPageBreak/>
        <w:drawing>
          <wp:inline distT="0" distB="0" distL="0" distR="0" wp14:anchorId="1DF4A709" wp14:editId="71E876A8">
            <wp:extent cx="4572000" cy="2921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20E0D1" w14:textId="4B1C12C7" w:rsidR="007F3F33" w:rsidRPr="009A428B" w:rsidRDefault="00376CBF" w:rsidP="005D4D6A">
      <w:pPr>
        <w:spacing w:after="80" w:line="240" w:lineRule="exact"/>
        <w:ind w:firstLine="720"/>
        <w:jc w:val="both"/>
        <w:rPr>
          <w:sz w:val="20"/>
          <w:szCs w:val="20"/>
        </w:rPr>
      </w:pPr>
      <w:r>
        <w:rPr>
          <w:sz w:val="20"/>
          <w:szCs w:val="20"/>
        </w:rPr>
        <w:t>Figure 1.</w:t>
      </w:r>
      <w:r w:rsidR="007F3F33" w:rsidRPr="009A428B">
        <w:rPr>
          <w:sz w:val="20"/>
          <w:szCs w:val="20"/>
        </w:rPr>
        <w:t xml:space="preserve"> Trend of Vietnam’s trade efficiencies (%)</w:t>
      </w:r>
    </w:p>
    <w:p w14:paraId="6783D9AC" w14:textId="4742DD7A" w:rsidR="00F96675" w:rsidRPr="009A428B" w:rsidRDefault="00376CBF" w:rsidP="009130ED">
      <w:pPr>
        <w:spacing w:after="80" w:line="240" w:lineRule="exact"/>
        <w:jc w:val="both"/>
        <w:rPr>
          <w:sz w:val="20"/>
          <w:szCs w:val="20"/>
        </w:rPr>
      </w:pPr>
      <w:r>
        <w:rPr>
          <w:sz w:val="20"/>
          <w:szCs w:val="20"/>
        </w:rPr>
        <w:t>Table 1.</w:t>
      </w:r>
      <w:r w:rsidR="00EE2CAD" w:rsidRPr="009A428B">
        <w:rPr>
          <w:sz w:val="20"/>
          <w:szCs w:val="20"/>
        </w:rPr>
        <w:t xml:space="preserve"> Estimated </w:t>
      </w:r>
      <w:r w:rsidR="001B3B01" w:rsidRPr="009A428B">
        <w:rPr>
          <w:sz w:val="20"/>
          <w:szCs w:val="20"/>
        </w:rPr>
        <w:t>Efficiencies</w:t>
      </w:r>
      <w:r w:rsidR="00EE2CAD" w:rsidRPr="009A428B">
        <w:rPr>
          <w:sz w:val="20"/>
          <w:szCs w:val="20"/>
        </w:rPr>
        <w:t xml:space="preserve"> of Vietnam’s </w:t>
      </w:r>
      <w:r w:rsidR="00EC2963" w:rsidRPr="009A428B">
        <w:rPr>
          <w:sz w:val="20"/>
          <w:szCs w:val="20"/>
        </w:rPr>
        <w:t>trade to Asia Pacific Countries</w:t>
      </w:r>
      <w:r w:rsidR="001A4BE6" w:rsidRPr="009A428B">
        <w:rPr>
          <w:sz w:val="20"/>
          <w:szCs w:val="20"/>
        </w:rPr>
        <w:t xml:space="preserve"> </w:t>
      </w:r>
      <w:r w:rsidR="00EC2963" w:rsidRPr="009A428B">
        <w:rPr>
          <w:sz w:val="20"/>
          <w:szCs w:val="20"/>
        </w:rPr>
        <w:t>+</w:t>
      </w:r>
      <w:r w:rsidR="001A4BE6" w:rsidRPr="009A428B">
        <w:rPr>
          <w:sz w:val="20"/>
          <w:szCs w:val="20"/>
        </w:rPr>
        <w:t xml:space="preserve"> </w:t>
      </w:r>
      <w:r w:rsidR="00EE2CAD" w:rsidRPr="009A428B">
        <w:rPr>
          <w:sz w:val="20"/>
          <w:szCs w:val="20"/>
        </w:rPr>
        <w:t>India</w:t>
      </w:r>
      <w:r w:rsidR="00EC2963" w:rsidRPr="009A428B">
        <w:rPr>
          <w:sz w:val="20"/>
          <w:szCs w:val="20"/>
        </w:rPr>
        <w:t xml:space="preserve"> (%)</w:t>
      </w:r>
    </w:p>
    <w:tbl>
      <w:tblPr>
        <w:tblW w:w="9076" w:type="dxa"/>
        <w:jc w:val="center"/>
        <w:tblBorders>
          <w:top w:val="single" w:sz="4" w:space="0" w:color="auto"/>
          <w:bottom w:val="single" w:sz="4" w:space="0" w:color="auto"/>
        </w:tblBorders>
        <w:tblLook w:val="04A0" w:firstRow="1" w:lastRow="0" w:firstColumn="1" w:lastColumn="0" w:noHBand="0" w:noVBand="1"/>
      </w:tblPr>
      <w:tblGrid>
        <w:gridCol w:w="1764"/>
        <w:gridCol w:w="914"/>
        <w:gridCol w:w="914"/>
        <w:gridCol w:w="914"/>
        <w:gridCol w:w="914"/>
        <w:gridCol w:w="914"/>
        <w:gridCol w:w="914"/>
        <w:gridCol w:w="914"/>
        <w:gridCol w:w="914"/>
      </w:tblGrid>
      <w:tr w:rsidR="00F421BC" w:rsidRPr="009A428B" w14:paraId="570C0C27" w14:textId="77777777" w:rsidTr="001B56DE">
        <w:trPr>
          <w:trHeight w:val="344"/>
          <w:jc w:val="center"/>
        </w:trPr>
        <w:tc>
          <w:tcPr>
            <w:tcW w:w="1764" w:type="dxa"/>
            <w:shd w:val="clear" w:color="auto" w:fill="auto"/>
            <w:noWrap/>
            <w:vAlign w:val="bottom"/>
            <w:hideMark/>
          </w:tcPr>
          <w:p w14:paraId="5F0888FE" w14:textId="77777777" w:rsidR="007968C7" w:rsidRPr="009A428B" w:rsidRDefault="007968C7" w:rsidP="009130ED">
            <w:pPr>
              <w:spacing w:after="80" w:line="240" w:lineRule="exact"/>
              <w:rPr>
                <w:sz w:val="20"/>
                <w:szCs w:val="20"/>
              </w:rPr>
            </w:pPr>
          </w:p>
        </w:tc>
        <w:tc>
          <w:tcPr>
            <w:tcW w:w="1828" w:type="dxa"/>
            <w:gridSpan w:val="2"/>
            <w:tcBorders>
              <w:bottom w:val="nil"/>
            </w:tcBorders>
            <w:shd w:val="clear" w:color="auto" w:fill="auto"/>
            <w:noWrap/>
            <w:vAlign w:val="bottom"/>
            <w:hideMark/>
          </w:tcPr>
          <w:p w14:paraId="657C501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1995-99</w:t>
            </w:r>
          </w:p>
        </w:tc>
        <w:tc>
          <w:tcPr>
            <w:tcW w:w="1828" w:type="dxa"/>
            <w:gridSpan w:val="2"/>
            <w:tcBorders>
              <w:bottom w:val="nil"/>
            </w:tcBorders>
            <w:shd w:val="clear" w:color="auto" w:fill="auto"/>
            <w:noWrap/>
            <w:vAlign w:val="bottom"/>
            <w:hideMark/>
          </w:tcPr>
          <w:p w14:paraId="6D1957B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2000-04</w:t>
            </w:r>
          </w:p>
        </w:tc>
        <w:tc>
          <w:tcPr>
            <w:tcW w:w="1828" w:type="dxa"/>
            <w:gridSpan w:val="2"/>
            <w:tcBorders>
              <w:bottom w:val="nil"/>
            </w:tcBorders>
            <w:shd w:val="clear" w:color="auto" w:fill="auto"/>
            <w:noWrap/>
            <w:vAlign w:val="bottom"/>
            <w:hideMark/>
          </w:tcPr>
          <w:p w14:paraId="0046439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2005-09</w:t>
            </w:r>
          </w:p>
        </w:tc>
        <w:tc>
          <w:tcPr>
            <w:tcW w:w="1828" w:type="dxa"/>
            <w:gridSpan w:val="2"/>
            <w:tcBorders>
              <w:bottom w:val="nil"/>
            </w:tcBorders>
            <w:shd w:val="clear" w:color="auto" w:fill="auto"/>
            <w:noWrap/>
            <w:vAlign w:val="bottom"/>
            <w:hideMark/>
          </w:tcPr>
          <w:p w14:paraId="229C08D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2010-15</w:t>
            </w:r>
          </w:p>
        </w:tc>
      </w:tr>
      <w:tr w:rsidR="00F421BC" w:rsidRPr="009A428B" w14:paraId="6F1A1C9B" w14:textId="77777777" w:rsidTr="001B56DE">
        <w:trPr>
          <w:trHeight w:val="324"/>
          <w:jc w:val="center"/>
        </w:trPr>
        <w:tc>
          <w:tcPr>
            <w:tcW w:w="1764" w:type="dxa"/>
            <w:shd w:val="clear" w:color="auto" w:fill="auto"/>
            <w:noWrap/>
            <w:vAlign w:val="bottom"/>
            <w:hideMark/>
          </w:tcPr>
          <w:p w14:paraId="043B198D" w14:textId="77777777" w:rsidR="007968C7" w:rsidRPr="009A428B" w:rsidRDefault="007968C7" w:rsidP="009130ED">
            <w:pPr>
              <w:spacing w:after="80" w:line="240" w:lineRule="exact"/>
              <w:rPr>
                <w:rFonts w:eastAsia="Times New Roman"/>
                <w:color w:val="000000"/>
                <w:sz w:val="20"/>
                <w:szCs w:val="20"/>
              </w:rPr>
            </w:pPr>
            <w:r w:rsidRPr="009A428B">
              <w:rPr>
                <w:rFonts w:eastAsia="Times New Roman"/>
                <w:color w:val="000000"/>
                <w:sz w:val="20"/>
                <w:szCs w:val="20"/>
              </w:rPr>
              <w:t> </w:t>
            </w:r>
          </w:p>
        </w:tc>
        <w:tc>
          <w:tcPr>
            <w:tcW w:w="914" w:type="dxa"/>
            <w:tcBorders>
              <w:top w:val="nil"/>
              <w:bottom w:val="single" w:sz="4" w:space="0" w:color="auto"/>
            </w:tcBorders>
            <w:shd w:val="clear" w:color="auto" w:fill="auto"/>
            <w:noWrap/>
            <w:vAlign w:val="bottom"/>
            <w:hideMark/>
          </w:tcPr>
          <w:p w14:paraId="6A4FE07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14" w:type="dxa"/>
            <w:tcBorders>
              <w:top w:val="nil"/>
              <w:bottom w:val="single" w:sz="4" w:space="0" w:color="auto"/>
            </w:tcBorders>
            <w:shd w:val="clear" w:color="auto" w:fill="auto"/>
            <w:noWrap/>
            <w:vAlign w:val="bottom"/>
            <w:hideMark/>
          </w:tcPr>
          <w:p w14:paraId="1563B99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c>
          <w:tcPr>
            <w:tcW w:w="914" w:type="dxa"/>
            <w:tcBorders>
              <w:top w:val="nil"/>
              <w:bottom w:val="single" w:sz="4" w:space="0" w:color="auto"/>
            </w:tcBorders>
            <w:shd w:val="clear" w:color="auto" w:fill="auto"/>
            <w:noWrap/>
            <w:vAlign w:val="bottom"/>
            <w:hideMark/>
          </w:tcPr>
          <w:p w14:paraId="2DD450D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14" w:type="dxa"/>
            <w:tcBorders>
              <w:top w:val="nil"/>
              <w:bottom w:val="single" w:sz="4" w:space="0" w:color="auto"/>
            </w:tcBorders>
            <w:shd w:val="clear" w:color="auto" w:fill="auto"/>
            <w:noWrap/>
            <w:vAlign w:val="bottom"/>
            <w:hideMark/>
          </w:tcPr>
          <w:p w14:paraId="452F1B2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c>
          <w:tcPr>
            <w:tcW w:w="914" w:type="dxa"/>
            <w:tcBorders>
              <w:top w:val="nil"/>
              <w:bottom w:val="single" w:sz="4" w:space="0" w:color="auto"/>
            </w:tcBorders>
            <w:shd w:val="clear" w:color="auto" w:fill="auto"/>
            <w:noWrap/>
            <w:vAlign w:val="bottom"/>
            <w:hideMark/>
          </w:tcPr>
          <w:p w14:paraId="3B31A47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14" w:type="dxa"/>
            <w:tcBorders>
              <w:top w:val="nil"/>
              <w:bottom w:val="single" w:sz="4" w:space="0" w:color="auto"/>
            </w:tcBorders>
            <w:shd w:val="clear" w:color="auto" w:fill="auto"/>
            <w:noWrap/>
            <w:vAlign w:val="bottom"/>
            <w:hideMark/>
          </w:tcPr>
          <w:p w14:paraId="7A7E9E3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c>
          <w:tcPr>
            <w:tcW w:w="914" w:type="dxa"/>
            <w:tcBorders>
              <w:top w:val="nil"/>
              <w:bottom w:val="single" w:sz="4" w:space="0" w:color="auto"/>
            </w:tcBorders>
            <w:shd w:val="clear" w:color="auto" w:fill="auto"/>
            <w:noWrap/>
            <w:vAlign w:val="bottom"/>
            <w:hideMark/>
          </w:tcPr>
          <w:p w14:paraId="6688F7B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14" w:type="dxa"/>
            <w:tcBorders>
              <w:top w:val="nil"/>
              <w:bottom w:val="single" w:sz="4" w:space="0" w:color="auto"/>
            </w:tcBorders>
            <w:shd w:val="clear" w:color="auto" w:fill="auto"/>
            <w:noWrap/>
            <w:vAlign w:val="bottom"/>
            <w:hideMark/>
          </w:tcPr>
          <w:p w14:paraId="2F9480B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r>
      <w:tr w:rsidR="00F421BC" w:rsidRPr="009A428B" w14:paraId="7DE92F8E" w14:textId="77777777" w:rsidTr="001B56DE">
        <w:trPr>
          <w:trHeight w:val="324"/>
          <w:jc w:val="center"/>
        </w:trPr>
        <w:tc>
          <w:tcPr>
            <w:tcW w:w="1764" w:type="dxa"/>
            <w:shd w:val="clear" w:color="auto" w:fill="auto"/>
            <w:noWrap/>
            <w:vAlign w:val="bottom"/>
            <w:hideMark/>
          </w:tcPr>
          <w:p w14:paraId="57C84E6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Singapore</w:t>
            </w:r>
          </w:p>
        </w:tc>
        <w:tc>
          <w:tcPr>
            <w:tcW w:w="914" w:type="dxa"/>
            <w:tcBorders>
              <w:top w:val="single" w:sz="4" w:space="0" w:color="auto"/>
            </w:tcBorders>
            <w:shd w:val="clear" w:color="auto" w:fill="auto"/>
            <w:noWrap/>
            <w:vAlign w:val="bottom"/>
            <w:hideMark/>
          </w:tcPr>
          <w:p w14:paraId="3A73EAF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86.95</w:t>
            </w:r>
          </w:p>
        </w:tc>
        <w:tc>
          <w:tcPr>
            <w:tcW w:w="914" w:type="dxa"/>
            <w:tcBorders>
              <w:top w:val="single" w:sz="4" w:space="0" w:color="auto"/>
            </w:tcBorders>
            <w:shd w:val="clear" w:color="auto" w:fill="auto"/>
            <w:noWrap/>
            <w:vAlign w:val="bottom"/>
            <w:hideMark/>
          </w:tcPr>
          <w:p w14:paraId="0C0A6FCF"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85.44</w:t>
            </w:r>
          </w:p>
        </w:tc>
        <w:tc>
          <w:tcPr>
            <w:tcW w:w="914" w:type="dxa"/>
            <w:tcBorders>
              <w:top w:val="single" w:sz="4" w:space="0" w:color="auto"/>
            </w:tcBorders>
            <w:shd w:val="clear" w:color="auto" w:fill="auto"/>
            <w:noWrap/>
            <w:vAlign w:val="bottom"/>
            <w:hideMark/>
          </w:tcPr>
          <w:p w14:paraId="07701CC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88.57</w:t>
            </w:r>
          </w:p>
        </w:tc>
        <w:tc>
          <w:tcPr>
            <w:tcW w:w="914" w:type="dxa"/>
            <w:tcBorders>
              <w:top w:val="single" w:sz="4" w:space="0" w:color="auto"/>
            </w:tcBorders>
            <w:shd w:val="clear" w:color="auto" w:fill="auto"/>
            <w:noWrap/>
            <w:vAlign w:val="bottom"/>
            <w:hideMark/>
          </w:tcPr>
          <w:p w14:paraId="730C200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87.74</w:t>
            </w:r>
          </w:p>
        </w:tc>
        <w:tc>
          <w:tcPr>
            <w:tcW w:w="914" w:type="dxa"/>
            <w:tcBorders>
              <w:top w:val="single" w:sz="4" w:space="0" w:color="auto"/>
            </w:tcBorders>
            <w:shd w:val="clear" w:color="auto" w:fill="auto"/>
            <w:noWrap/>
            <w:vAlign w:val="bottom"/>
            <w:hideMark/>
          </w:tcPr>
          <w:p w14:paraId="3335BFC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89.99</w:t>
            </w:r>
          </w:p>
        </w:tc>
        <w:tc>
          <w:tcPr>
            <w:tcW w:w="914" w:type="dxa"/>
            <w:tcBorders>
              <w:top w:val="single" w:sz="4" w:space="0" w:color="auto"/>
            </w:tcBorders>
            <w:shd w:val="clear" w:color="auto" w:fill="auto"/>
            <w:noWrap/>
            <w:vAlign w:val="bottom"/>
            <w:hideMark/>
          </w:tcPr>
          <w:p w14:paraId="300B0C4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89.70</w:t>
            </w:r>
          </w:p>
        </w:tc>
        <w:tc>
          <w:tcPr>
            <w:tcW w:w="914" w:type="dxa"/>
            <w:tcBorders>
              <w:top w:val="single" w:sz="4" w:space="0" w:color="auto"/>
            </w:tcBorders>
            <w:shd w:val="clear" w:color="auto" w:fill="auto"/>
            <w:noWrap/>
            <w:vAlign w:val="bottom"/>
            <w:hideMark/>
          </w:tcPr>
          <w:p w14:paraId="32E321F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91.36</w:t>
            </w:r>
          </w:p>
        </w:tc>
        <w:tc>
          <w:tcPr>
            <w:tcW w:w="914" w:type="dxa"/>
            <w:tcBorders>
              <w:top w:val="single" w:sz="4" w:space="0" w:color="auto"/>
            </w:tcBorders>
            <w:shd w:val="clear" w:color="auto" w:fill="auto"/>
            <w:noWrap/>
            <w:vAlign w:val="bottom"/>
            <w:hideMark/>
          </w:tcPr>
          <w:p w14:paraId="4E99D0B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91.51</w:t>
            </w:r>
          </w:p>
        </w:tc>
      </w:tr>
      <w:tr w:rsidR="00F421BC" w:rsidRPr="009A428B" w14:paraId="063E6778" w14:textId="77777777" w:rsidTr="001B56DE">
        <w:trPr>
          <w:trHeight w:val="324"/>
          <w:jc w:val="center"/>
        </w:trPr>
        <w:tc>
          <w:tcPr>
            <w:tcW w:w="1764" w:type="dxa"/>
            <w:shd w:val="clear" w:color="auto" w:fill="auto"/>
            <w:noWrap/>
            <w:vAlign w:val="bottom"/>
            <w:hideMark/>
          </w:tcPr>
          <w:p w14:paraId="75D25F6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Cambodia</w:t>
            </w:r>
          </w:p>
        </w:tc>
        <w:tc>
          <w:tcPr>
            <w:tcW w:w="914" w:type="dxa"/>
            <w:shd w:val="clear" w:color="auto" w:fill="auto"/>
            <w:noWrap/>
            <w:vAlign w:val="bottom"/>
            <w:hideMark/>
          </w:tcPr>
          <w:p w14:paraId="22A4011D"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86.86</w:t>
            </w:r>
          </w:p>
        </w:tc>
        <w:tc>
          <w:tcPr>
            <w:tcW w:w="914" w:type="dxa"/>
            <w:shd w:val="clear" w:color="auto" w:fill="auto"/>
            <w:noWrap/>
            <w:vAlign w:val="bottom"/>
            <w:hideMark/>
          </w:tcPr>
          <w:p w14:paraId="08CB7CA5"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3.92</w:t>
            </w:r>
          </w:p>
        </w:tc>
        <w:tc>
          <w:tcPr>
            <w:tcW w:w="914" w:type="dxa"/>
            <w:shd w:val="clear" w:color="auto" w:fill="auto"/>
            <w:noWrap/>
            <w:vAlign w:val="bottom"/>
            <w:hideMark/>
          </w:tcPr>
          <w:p w14:paraId="017987E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88.48</w:t>
            </w:r>
          </w:p>
        </w:tc>
        <w:tc>
          <w:tcPr>
            <w:tcW w:w="914" w:type="dxa"/>
            <w:shd w:val="clear" w:color="auto" w:fill="auto"/>
            <w:noWrap/>
            <w:vAlign w:val="bottom"/>
            <w:hideMark/>
          </w:tcPr>
          <w:p w14:paraId="2E5E969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6.77</w:t>
            </w:r>
          </w:p>
        </w:tc>
        <w:tc>
          <w:tcPr>
            <w:tcW w:w="914" w:type="dxa"/>
            <w:shd w:val="clear" w:color="auto" w:fill="auto"/>
            <w:noWrap/>
            <w:vAlign w:val="bottom"/>
            <w:hideMark/>
          </w:tcPr>
          <w:p w14:paraId="7DC3B5C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89.92</w:t>
            </w:r>
          </w:p>
        </w:tc>
        <w:tc>
          <w:tcPr>
            <w:tcW w:w="914" w:type="dxa"/>
            <w:shd w:val="clear" w:color="auto" w:fill="auto"/>
            <w:noWrap/>
            <w:vAlign w:val="bottom"/>
            <w:hideMark/>
          </w:tcPr>
          <w:p w14:paraId="5821B55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10.65</w:t>
            </w:r>
          </w:p>
        </w:tc>
        <w:tc>
          <w:tcPr>
            <w:tcW w:w="914" w:type="dxa"/>
            <w:shd w:val="clear" w:color="auto" w:fill="auto"/>
            <w:noWrap/>
            <w:vAlign w:val="bottom"/>
            <w:hideMark/>
          </w:tcPr>
          <w:p w14:paraId="2036168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91.30</w:t>
            </w:r>
          </w:p>
        </w:tc>
        <w:tc>
          <w:tcPr>
            <w:tcW w:w="914" w:type="dxa"/>
            <w:shd w:val="clear" w:color="auto" w:fill="auto"/>
            <w:noWrap/>
            <w:vAlign w:val="bottom"/>
            <w:hideMark/>
          </w:tcPr>
          <w:p w14:paraId="560B300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16.08</w:t>
            </w:r>
          </w:p>
        </w:tc>
      </w:tr>
      <w:tr w:rsidR="00F421BC" w:rsidRPr="009A428B" w14:paraId="7A427D86" w14:textId="77777777" w:rsidTr="001B56DE">
        <w:trPr>
          <w:trHeight w:val="324"/>
          <w:jc w:val="center"/>
        </w:trPr>
        <w:tc>
          <w:tcPr>
            <w:tcW w:w="1764" w:type="dxa"/>
            <w:shd w:val="clear" w:color="auto" w:fill="auto"/>
            <w:noWrap/>
            <w:vAlign w:val="bottom"/>
            <w:hideMark/>
          </w:tcPr>
          <w:p w14:paraId="231421C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Lao</w:t>
            </w:r>
          </w:p>
        </w:tc>
        <w:tc>
          <w:tcPr>
            <w:tcW w:w="914" w:type="dxa"/>
            <w:shd w:val="clear" w:color="auto" w:fill="auto"/>
            <w:noWrap/>
            <w:vAlign w:val="bottom"/>
            <w:hideMark/>
          </w:tcPr>
          <w:p w14:paraId="566108E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31.66</w:t>
            </w:r>
          </w:p>
        </w:tc>
        <w:tc>
          <w:tcPr>
            <w:tcW w:w="914" w:type="dxa"/>
            <w:shd w:val="clear" w:color="auto" w:fill="auto"/>
            <w:noWrap/>
            <w:vAlign w:val="bottom"/>
            <w:hideMark/>
          </w:tcPr>
          <w:p w14:paraId="639EE9B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30.91</w:t>
            </w:r>
          </w:p>
        </w:tc>
        <w:tc>
          <w:tcPr>
            <w:tcW w:w="914" w:type="dxa"/>
            <w:shd w:val="clear" w:color="auto" w:fill="auto"/>
            <w:noWrap/>
            <w:vAlign w:val="bottom"/>
            <w:hideMark/>
          </w:tcPr>
          <w:p w14:paraId="627A12D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36.82</w:t>
            </w:r>
          </w:p>
        </w:tc>
        <w:tc>
          <w:tcPr>
            <w:tcW w:w="914" w:type="dxa"/>
            <w:shd w:val="clear" w:color="auto" w:fill="auto"/>
            <w:noWrap/>
            <w:vAlign w:val="bottom"/>
            <w:hideMark/>
          </w:tcPr>
          <w:p w14:paraId="00317C6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37.68</w:t>
            </w:r>
          </w:p>
        </w:tc>
        <w:tc>
          <w:tcPr>
            <w:tcW w:w="914" w:type="dxa"/>
            <w:shd w:val="clear" w:color="auto" w:fill="auto"/>
            <w:noWrap/>
            <w:vAlign w:val="bottom"/>
            <w:hideMark/>
          </w:tcPr>
          <w:p w14:paraId="057E3B0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41.99</w:t>
            </w:r>
          </w:p>
        </w:tc>
        <w:tc>
          <w:tcPr>
            <w:tcW w:w="914" w:type="dxa"/>
            <w:shd w:val="clear" w:color="auto" w:fill="auto"/>
            <w:noWrap/>
            <w:vAlign w:val="bottom"/>
            <w:hideMark/>
          </w:tcPr>
          <w:p w14:paraId="56AB83E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44.43</w:t>
            </w:r>
          </w:p>
        </w:tc>
        <w:tc>
          <w:tcPr>
            <w:tcW w:w="914" w:type="dxa"/>
            <w:shd w:val="clear" w:color="auto" w:fill="auto"/>
            <w:noWrap/>
            <w:vAlign w:val="bottom"/>
            <w:hideMark/>
          </w:tcPr>
          <w:p w14:paraId="0CF0805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47.55</w:t>
            </w:r>
          </w:p>
        </w:tc>
        <w:tc>
          <w:tcPr>
            <w:tcW w:w="914" w:type="dxa"/>
            <w:shd w:val="clear" w:color="auto" w:fill="auto"/>
            <w:noWrap/>
            <w:vAlign w:val="bottom"/>
            <w:hideMark/>
          </w:tcPr>
          <w:p w14:paraId="01782C2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51.57</w:t>
            </w:r>
          </w:p>
        </w:tc>
      </w:tr>
      <w:tr w:rsidR="00F421BC" w:rsidRPr="009A428B" w14:paraId="2FF276CE" w14:textId="77777777" w:rsidTr="001B56DE">
        <w:trPr>
          <w:trHeight w:val="324"/>
          <w:jc w:val="center"/>
        </w:trPr>
        <w:tc>
          <w:tcPr>
            <w:tcW w:w="1764" w:type="dxa"/>
            <w:shd w:val="clear" w:color="auto" w:fill="auto"/>
            <w:noWrap/>
            <w:vAlign w:val="bottom"/>
            <w:hideMark/>
          </w:tcPr>
          <w:p w14:paraId="63D68812" w14:textId="18F7B9A4" w:rsidR="007968C7" w:rsidRPr="009A428B" w:rsidRDefault="00DE57A2" w:rsidP="009130ED">
            <w:pPr>
              <w:spacing w:after="80" w:line="240" w:lineRule="exact"/>
              <w:jc w:val="center"/>
              <w:rPr>
                <w:rFonts w:eastAsia="Times New Roman"/>
                <w:color w:val="000000"/>
                <w:sz w:val="20"/>
                <w:szCs w:val="20"/>
              </w:rPr>
            </w:pPr>
            <w:r w:rsidRPr="009A428B">
              <w:rPr>
                <w:rFonts w:eastAsia="Times New Roman"/>
                <w:color w:val="000000"/>
                <w:sz w:val="20"/>
                <w:szCs w:val="20"/>
              </w:rPr>
              <w:t>Malays</w:t>
            </w:r>
            <w:r w:rsidR="007968C7" w:rsidRPr="009A428B">
              <w:rPr>
                <w:rFonts w:eastAsia="Times New Roman"/>
                <w:color w:val="000000"/>
                <w:sz w:val="20"/>
                <w:szCs w:val="20"/>
              </w:rPr>
              <w:t>ia</w:t>
            </w:r>
          </w:p>
        </w:tc>
        <w:tc>
          <w:tcPr>
            <w:tcW w:w="914" w:type="dxa"/>
            <w:shd w:val="clear" w:color="auto" w:fill="auto"/>
            <w:noWrap/>
            <w:vAlign w:val="bottom"/>
            <w:hideMark/>
          </w:tcPr>
          <w:p w14:paraId="382F12CD"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30.62</w:t>
            </w:r>
          </w:p>
        </w:tc>
        <w:tc>
          <w:tcPr>
            <w:tcW w:w="914" w:type="dxa"/>
            <w:shd w:val="clear" w:color="auto" w:fill="auto"/>
            <w:noWrap/>
            <w:vAlign w:val="bottom"/>
            <w:hideMark/>
          </w:tcPr>
          <w:p w14:paraId="00F10A6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12.62</w:t>
            </w:r>
          </w:p>
        </w:tc>
        <w:tc>
          <w:tcPr>
            <w:tcW w:w="914" w:type="dxa"/>
            <w:shd w:val="clear" w:color="auto" w:fill="auto"/>
            <w:noWrap/>
            <w:vAlign w:val="bottom"/>
            <w:hideMark/>
          </w:tcPr>
          <w:p w14:paraId="3A28F9A5"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35.77</w:t>
            </w:r>
          </w:p>
        </w:tc>
        <w:tc>
          <w:tcPr>
            <w:tcW w:w="914" w:type="dxa"/>
            <w:shd w:val="clear" w:color="auto" w:fill="auto"/>
            <w:noWrap/>
            <w:vAlign w:val="bottom"/>
            <w:hideMark/>
          </w:tcPr>
          <w:p w14:paraId="50FDFBD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17.88</w:t>
            </w:r>
          </w:p>
        </w:tc>
        <w:tc>
          <w:tcPr>
            <w:tcW w:w="914" w:type="dxa"/>
            <w:shd w:val="clear" w:color="auto" w:fill="auto"/>
            <w:noWrap/>
            <w:vAlign w:val="bottom"/>
            <w:hideMark/>
          </w:tcPr>
          <w:p w14:paraId="3AB2742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40.94</w:t>
            </w:r>
          </w:p>
        </w:tc>
        <w:tc>
          <w:tcPr>
            <w:tcW w:w="914" w:type="dxa"/>
            <w:shd w:val="clear" w:color="auto" w:fill="auto"/>
            <w:noWrap/>
            <w:vAlign w:val="bottom"/>
            <w:hideMark/>
          </w:tcPr>
          <w:p w14:paraId="6B1F570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23.90</w:t>
            </w:r>
          </w:p>
        </w:tc>
        <w:tc>
          <w:tcPr>
            <w:tcW w:w="914" w:type="dxa"/>
            <w:shd w:val="clear" w:color="auto" w:fill="auto"/>
            <w:noWrap/>
            <w:vAlign w:val="bottom"/>
            <w:hideMark/>
          </w:tcPr>
          <w:p w14:paraId="2C5ABDB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46.54</w:t>
            </w:r>
          </w:p>
        </w:tc>
        <w:tc>
          <w:tcPr>
            <w:tcW w:w="914" w:type="dxa"/>
            <w:shd w:val="clear" w:color="auto" w:fill="auto"/>
            <w:noWrap/>
            <w:vAlign w:val="bottom"/>
            <w:hideMark/>
          </w:tcPr>
          <w:p w14:paraId="302C562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31.10</w:t>
            </w:r>
          </w:p>
        </w:tc>
      </w:tr>
      <w:tr w:rsidR="00F421BC" w:rsidRPr="009A428B" w14:paraId="16B71BB5" w14:textId="77777777" w:rsidTr="001B56DE">
        <w:trPr>
          <w:trHeight w:val="324"/>
          <w:jc w:val="center"/>
        </w:trPr>
        <w:tc>
          <w:tcPr>
            <w:tcW w:w="1764" w:type="dxa"/>
            <w:shd w:val="clear" w:color="auto" w:fill="auto"/>
            <w:noWrap/>
            <w:vAlign w:val="bottom"/>
            <w:hideMark/>
          </w:tcPr>
          <w:p w14:paraId="03C485BF"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Philippines</w:t>
            </w:r>
          </w:p>
        </w:tc>
        <w:tc>
          <w:tcPr>
            <w:tcW w:w="914" w:type="dxa"/>
            <w:shd w:val="clear" w:color="auto" w:fill="auto"/>
            <w:noWrap/>
            <w:vAlign w:val="bottom"/>
            <w:hideMark/>
          </w:tcPr>
          <w:p w14:paraId="254B99C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30.53</w:t>
            </w:r>
          </w:p>
        </w:tc>
        <w:tc>
          <w:tcPr>
            <w:tcW w:w="914" w:type="dxa"/>
            <w:shd w:val="clear" w:color="auto" w:fill="auto"/>
            <w:noWrap/>
            <w:vAlign w:val="bottom"/>
            <w:hideMark/>
          </w:tcPr>
          <w:p w14:paraId="6056186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2.42</w:t>
            </w:r>
          </w:p>
        </w:tc>
        <w:tc>
          <w:tcPr>
            <w:tcW w:w="914" w:type="dxa"/>
            <w:shd w:val="clear" w:color="auto" w:fill="auto"/>
            <w:noWrap/>
            <w:vAlign w:val="bottom"/>
            <w:hideMark/>
          </w:tcPr>
          <w:p w14:paraId="61F3872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35.68</w:t>
            </w:r>
          </w:p>
        </w:tc>
        <w:tc>
          <w:tcPr>
            <w:tcW w:w="914" w:type="dxa"/>
            <w:shd w:val="clear" w:color="auto" w:fill="auto"/>
            <w:noWrap/>
            <w:vAlign w:val="bottom"/>
            <w:hideMark/>
          </w:tcPr>
          <w:p w14:paraId="5694CB8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4.52</w:t>
            </w:r>
          </w:p>
        </w:tc>
        <w:tc>
          <w:tcPr>
            <w:tcW w:w="914" w:type="dxa"/>
            <w:shd w:val="clear" w:color="auto" w:fill="auto"/>
            <w:noWrap/>
            <w:vAlign w:val="bottom"/>
            <w:hideMark/>
          </w:tcPr>
          <w:p w14:paraId="25516E5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40.85</w:t>
            </w:r>
          </w:p>
        </w:tc>
        <w:tc>
          <w:tcPr>
            <w:tcW w:w="914" w:type="dxa"/>
            <w:shd w:val="clear" w:color="auto" w:fill="auto"/>
            <w:noWrap/>
            <w:vAlign w:val="bottom"/>
            <w:hideMark/>
          </w:tcPr>
          <w:p w14:paraId="4001AC3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7.62</w:t>
            </w:r>
          </w:p>
        </w:tc>
        <w:tc>
          <w:tcPr>
            <w:tcW w:w="914" w:type="dxa"/>
            <w:shd w:val="clear" w:color="auto" w:fill="auto"/>
            <w:noWrap/>
            <w:vAlign w:val="bottom"/>
            <w:hideMark/>
          </w:tcPr>
          <w:p w14:paraId="1B3943F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46.45</w:t>
            </w:r>
          </w:p>
        </w:tc>
        <w:tc>
          <w:tcPr>
            <w:tcW w:w="914" w:type="dxa"/>
            <w:shd w:val="clear" w:color="auto" w:fill="auto"/>
            <w:noWrap/>
            <w:vAlign w:val="bottom"/>
            <w:hideMark/>
          </w:tcPr>
          <w:p w14:paraId="7EF1A0E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12.24</w:t>
            </w:r>
          </w:p>
        </w:tc>
      </w:tr>
      <w:tr w:rsidR="00F421BC" w:rsidRPr="009A428B" w14:paraId="779493A0" w14:textId="77777777" w:rsidTr="001B56DE">
        <w:trPr>
          <w:trHeight w:val="324"/>
          <w:jc w:val="center"/>
        </w:trPr>
        <w:tc>
          <w:tcPr>
            <w:tcW w:w="1764" w:type="dxa"/>
            <w:shd w:val="clear" w:color="auto" w:fill="auto"/>
            <w:noWrap/>
            <w:vAlign w:val="bottom"/>
            <w:hideMark/>
          </w:tcPr>
          <w:p w14:paraId="09AEBB6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Thailand</w:t>
            </w:r>
          </w:p>
        </w:tc>
        <w:tc>
          <w:tcPr>
            <w:tcW w:w="914" w:type="dxa"/>
            <w:shd w:val="clear" w:color="auto" w:fill="auto"/>
            <w:noWrap/>
            <w:vAlign w:val="bottom"/>
            <w:hideMark/>
          </w:tcPr>
          <w:p w14:paraId="0F5857A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17.66</w:t>
            </w:r>
          </w:p>
        </w:tc>
        <w:tc>
          <w:tcPr>
            <w:tcW w:w="914" w:type="dxa"/>
            <w:shd w:val="clear" w:color="auto" w:fill="auto"/>
            <w:noWrap/>
            <w:vAlign w:val="bottom"/>
            <w:hideMark/>
          </w:tcPr>
          <w:p w14:paraId="4B27777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10.91</w:t>
            </w:r>
          </w:p>
        </w:tc>
        <w:tc>
          <w:tcPr>
            <w:tcW w:w="914" w:type="dxa"/>
            <w:shd w:val="clear" w:color="auto" w:fill="auto"/>
            <w:noWrap/>
            <w:vAlign w:val="bottom"/>
            <w:hideMark/>
          </w:tcPr>
          <w:p w14:paraId="441EC2E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22.17</w:t>
            </w:r>
          </w:p>
        </w:tc>
        <w:tc>
          <w:tcPr>
            <w:tcW w:w="914" w:type="dxa"/>
            <w:shd w:val="clear" w:color="auto" w:fill="auto"/>
            <w:noWrap/>
            <w:vAlign w:val="bottom"/>
            <w:hideMark/>
          </w:tcPr>
          <w:p w14:paraId="6B2729D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15.85</w:t>
            </w:r>
          </w:p>
        </w:tc>
        <w:tc>
          <w:tcPr>
            <w:tcW w:w="914" w:type="dxa"/>
            <w:shd w:val="clear" w:color="auto" w:fill="auto"/>
            <w:noWrap/>
            <w:vAlign w:val="bottom"/>
            <w:hideMark/>
          </w:tcPr>
          <w:p w14:paraId="587D4A3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27.03</w:t>
            </w:r>
          </w:p>
        </w:tc>
        <w:tc>
          <w:tcPr>
            <w:tcW w:w="914" w:type="dxa"/>
            <w:shd w:val="clear" w:color="auto" w:fill="auto"/>
            <w:noWrap/>
            <w:vAlign w:val="bottom"/>
            <w:hideMark/>
          </w:tcPr>
          <w:p w14:paraId="5994040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21.62</w:t>
            </w:r>
          </w:p>
        </w:tc>
        <w:tc>
          <w:tcPr>
            <w:tcW w:w="914" w:type="dxa"/>
            <w:shd w:val="clear" w:color="auto" w:fill="auto"/>
            <w:noWrap/>
            <w:vAlign w:val="bottom"/>
            <w:hideMark/>
          </w:tcPr>
          <w:p w14:paraId="1E6C672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32.61</w:t>
            </w:r>
          </w:p>
        </w:tc>
        <w:tc>
          <w:tcPr>
            <w:tcW w:w="914" w:type="dxa"/>
            <w:shd w:val="clear" w:color="auto" w:fill="auto"/>
            <w:noWrap/>
            <w:vAlign w:val="bottom"/>
            <w:hideMark/>
          </w:tcPr>
          <w:p w14:paraId="3FBE036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28.65</w:t>
            </w:r>
          </w:p>
        </w:tc>
      </w:tr>
      <w:tr w:rsidR="00F421BC" w:rsidRPr="009A428B" w14:paraId="700FADCD" w14:textId="77777777" w:rsidTr="001B56DE">
        <w:trPr>
          <w:trHeight w:val="324"/>
          <w:jc w:val="center"/>
        </w:trPr>
        <w:tc>
          <w:tcPr>
            <w:tcW w:w="1764" w:type="dxa"/>
            <w:shd w:val="clear" w:color="auto" w:fill="auto"/>
            <w:noWrap/>
            <w:vAlign w:val="bottom"/>
            <w:hideMark/>
          </w:tcPr>
          <w:p w14:paraId="19F056D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Indonesia</w:t>
            </w:r>
          </w:p>
        </w:tc>
        <w:tc>
          <w:tcPr>
            <w:tcW w:w="914" w:type="dxa"/>
            <w:shd w:val="clear" w:color="auto" w:fill="auto"/>
            <w:noWrap/>
            <w:vAlign w:val="bottom"/>
            <w:hideMark/>
          </w:tcPr>
          <w:p w14:paraId="3440375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15.20</w:t>
            </w:r>
          </w:p>
        </w:tc>
        <w:tc>
          <w:tcPr>
            <w:tcW w:w="914" w:type="dxa"/>
            <w:shd w:val="clear" w:color="auto" w:fill="auto"/>
            <w:noWrap/>
            <w:vAlign w:val="bottom"/>
            <w:hideMark/>
          </w:tcPr>
          <w:p w14:paraId="1E98F30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12.95</w:t>
            </w:r>
          </w:p>
        </w:tc>
        <w:tc>
          <w:tcPr>
            <w:tcW w:w="914" w:type="dxa"/>
            <w:shd w:val="clear" w:color="auto" w:fill="auto"/>
            <w:noWrap/>
            <w:vAlign w:val="bottom"/>
            <w:hideMark/>
          </w:tcPr>
          <w:p w14:paraId="6CAF4FB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19.46</w:t>
            </w:r>
          </w:p>
        </w:tc>
        <w:tc>
          <w:tcPr>
            <w:tcW w:w="914" w:type="dxa"/>
            <w:shd w:val="clear" w:color="auto" w:fill="auto"/>
            <w:noWrap/>
            <w:vAlign w:val="bottom"/>
            <w:hideMark/>
          </w:tcPr>
          <w:p w14:paraId="1C9318D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18.28</w:t>
            </w:r>
          </w:p>
        </w:tc>
        <w:tc>
          <w:tcPr>
            <w:tcW w:w="914" w:type="dxa"/>
            <w:shd w:val="clear" w:color="auto" w:fill="auto"/>
            <w:noWrap/>
            <w:vAlign w:val="bottom"/>
            <w:hideMark/>
          </w:tcPr>
          <w:p w14:paraId="522C003D"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24.13</w:t>
            </w:r>
          </w:p>
        </w:tc>
        <w:tc>
          <w:tcPr>
            <w:tcW w:w="914" w:type="dxa"/>
            <w:shd w:val="clear" w:color="auto" w:fill="auto"/>
            <w:noWrap/>
            <w:vAlign w:val="bottom"/>
            <w:hideMark/>
          </w:tcPr>
          <w:p w14:paraId="7D11F6B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24.34</w:t>
            </w:r>
          </w:p>
        </w:tc>
        <w:tc>
          <w:tcPr>
            <w:tcW w:w="914" w:type="dxa"/>
            <w:shd w:val="clear" w:color="auto" w:fill="auto"/>
            <w:noWrap/>
            <w:vAlign w:val="bottom"/>
            <w:hideMark/>
          </w:tcPr>
          <w:p w14:paraId="3533443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29.60</w:t>
            </w:r>
          </w:p>
        </w:tc>
        <w:tc>
          <w:tcPr>
            <w:tcW w:w="914" w:type="dxa"/>
            <w:shd w:val="clear" w:color="auto" w:fill="auto"/>
            <w:noWrap/>
            <w:vAlign w:val="bottom"/>
            <w:hideMark/>
          </w:tcPr>
          <w:p w14:paraId="0ACCDB8F"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31.57</w:t>
            </w:r>
          </w:p>
        </w:tc>
      </w:tr>
      <w:tr w:rsidR="00F421BC" w:rsidRPr="009A428B" w14:paraId="1F99D921" w14:textId="77777777" w:rsidTr="001B56DE">
        <w:trPr>
          <w:trHeight w:val="324"/>
          <w:jc w:val="center"/>
        </w:trPr>
        <w:tc>
          <w:tcPr>
            <w:tcW w:w="1764" w:type="dxa"/>
            <w:shd w:val="clear" w:color="auto" w:fill="auto"/>
            <w:noWrap/>
            <w:vAlign w:val="bottom"/>
            <w:hideMark/>
          </w:tcPr>
          <w:p w14:paraId="248B7BC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Myanmar</w:t>
            </w:r>
          </w:p>
        </w:tc>
        <w:tc>
          <w:tcPr>
            <w:tcW w:w="914" w:type="dxa"/>
            <w:shd w:val="clear" w:color="auto" w:fill="auto"/>
            <w:noWrap/>
            <w:vAlign w:val="bottom"/>
            <w:hideMark/>
          </w:tcPr>
          <w:p w14:paraId="1619115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0.82</w:t>
            </w:r>
          </w:p>
        </w:tc>
        <w:tc>
          <w:tcPr>
            <w:tcW w:w="914" w:type="dxa"/>
            <w:shd w:val="clear" w:color="auto" w:fill="auto"/>
            <w:noWrap/>
            <w:vAlign w:val="bottom"/>
            <w:hideMark/>
          </w:tcPr>
          <w:p w14:paraId="5ABBBE8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0.37</w:t>
            </w:r>
          </w:p>
        </w:tc>
        <w:tc>
          <w:tcPr>
            <w:tcW w:w="914" w:type="dxa"/>
            <w:shd w:val="clear" w:color="auto" w:fill="auto"/>
            <w:noWrap/>
            <w:vAlign w:val="bottom"/>
            <w:hideMark/>
          </w:tcPr>
          <w:p w14:paraId="6F882AA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1.53</w:t>
            </w:r>
          </w:p>
        </w:tc>
        <w:tc>
          <w:tcPr>
            <w:tcW w:w="914" w:type="dxa"/>
            <w:shd w:val="clear" w:color="auto" w:fill="auto"/>
            <w:noWrap/>
            <w:vAlign w:val="bottom"/>
            <w:hideMark/>
          </w:tcPr>
          <w:p w14:paraId="55D9806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1.05</w:t>
            </w:r>
          </w:p>
        </w:tc>
        <w:tc>
          <w:tcPr>
            <w:tcW w:w="914" w:type="dxa"/>
            <w:shd w:val="clear" w:color="auto" w:fill="auto"/>
            <w:noWrap/>
            <w:vAlign w:val="bottom"/>
            <w:hideMark/>
          </w:tcPr>
          <w:p w14:paraId="141F64D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2.65</w:t>
            </w:r>
          </w:p>
        </w:tc>
        <w:tc>
          <w:tcPr>
            <w:tcW w:w="914" w:type="dxa"/>
            <w:shd w:val="clear" w:color="auto" w:fill="auto"/>
            <w:noWrap/>
            <w:vAlign w:val="bottom"/>
            <w:hideMark/>
          </w:tcPr>
          <w:p w14:paraId="136CE7F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2.26</w:t>
            </w:r>
          </w:p>
        </w:tc>
        <w:tc>
          <w:tcPr>
            <w:tcW w:w="914" w:type="dxa"/>
            <w:shd w:val="clear" w:color="auto" w:fill="auto"/>
            <w:noWrap/>
            <w:vAlign w:val="bottom"/>
            <w:hideMark/>
          </w:tcPr>
          <w:p w14:paraId="540B063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4.47</w:t>
            </w:r>
          </w:p>
        </w:tc>
        <w:tc>
          <w:tcPr>
            <w:tcW w:w="914" w:type="dxa"/>
            <w:shd w:val="clear" w:color="auto" w:fill="auto"/>
            <w:noWrap/>
            <w:vAlign w:val="bottom"/>
            <w:hideMark/>
          </w:tcPr>
          <w:p w14:paraId="45F9EA2F"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4.55</w:t>
            </w:r>
          </w:p>
        </w:tc>
      </w:tr>
      <w:tr w:rsidR="00F421BC" w:rsidRPr="009A428B" w14:paraId="680AD29B" w14:textId="77777777" w:rsidTr="001B56DE">
        <w:trPr>
          <w:trHeight w:val="324"/>
          <w:jc w:val="center"/>
        </w:trPr>
        <w:tc>
          <w:tcPr>
            <w:tcW w:w="1764" w:type="dxa"/>
            <w:shd w:val="clear" w:color="auto" w:fill="auto"/>
            <w:noWrap/>
            <w:vAlign w:val="bottom"/>
            <w:hideMark/>
          </w:tcPr>
          <w:p w14:paraId="6C2B8879" w14:textId="18F2C6E9" w:rsidR="007968C7" w:rsidRPr="009A428B" w:rsidRDefault="001A03ED" w:rsidP="009130ED">
            <w:pPr>
              <w:spacing w:after="80" w:line="240" w:lineRule="exact"/>
              <w:rPr>
                <w:rFonts w:eastAsia="Times New Roman"/>
                <w:color w:val="000000"/>
                <w:sz w:val="20"/>
                <w:szCs w:val="20"/>
              </w:rPr>
            </w:pPr>
            <w:r w:rsidRPr="009A428B">
              <w:rPr>
                <w:rFonts w:eastAsia="Times New Roman"/>
                <w:color w:val="000000"/>
                <w:sz w:val="20"/>
                <w:szCs w:val="20"/>
              </w:rPr>
              <w:t>ASEAN</w:t>
            </w:r>
          </w:p>
        </w:tc>
        <w:tc>
          <w:tcPr>
            <w:tcW w:w="914" w:type="dxa"/>
            <w:shd w:val="clear" w:color="auto" w:fill="auto"/>
            <w:noWrap/>
            <w:vAlign w:val="bottom"/>
            <w:hideMark/>
          </w:tcPr>
          <w:p w14:paraId="5D1F80B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37.54</w:t>
            </w:r>
          </w:p>
        </w:tc>
        <w:tc>
          <w:tcPr>
            <w:tcW w:w="914" w:type="dxa"/>
            <w:shd w:val="clear" w:color="auto" w:fill="auto"/>
            <w:noWrap/>
            <w:vAlign w:val="bottom"/>
            <w:hideMark/>
          </w:tcPr>
          <w:p w14:paraId="1C99E8F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19.94</w:t>
            </w:r>
          </w:p>
        </w:tc>
        <w:tc>
          <w:tcPr>
            <w:tcW w:w="914" w:type="dxa"/>
            <w:shd w:val="clear" w:color="auto" w:fill="auto"/>
            <w:noWrap/>
            <w:vAlign w:val="bottom"/>
            <w:hideMark/>
          </w:tcPr>
          <w:p w14:paraId="578A0DB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41.06</w:t>
            </w:r>
          </w:p>
        </w:tc>
        <w:tc>
          <w:tcPr>
            <w:tcW w:w="914" w:type="dxa"/>
            <w:shd w:val="clear" w:color="auto" w:fill="auto"/>
            <w:noWrap/>
            <w:vAlign w:val="bottom"/>
            <w:hideMark/>
          </w:tcPr>
          <w:p w14:paraId="663CE6B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23.72</w:t>
            </w:r>
          </w:p>
        </w:tc>
        <w:tc>
          <w:tcPr>
            <w:tcW w:w="914" w:type="dxa"/>
            <w:shd w:val="clear" w:color="auto" w:fill="auto"/>
            <w:noWrap/>
            <w:vAlign w:val="bottom"/>
            <w:hideMark/>
          </w:tcPr>
          <w:p w14:paraId="496CE8E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44.69</w:t>
            </w:r>
          </w:p>
        </w:tc>
        <w:tc>
          <w:tcPr>
            <w:tcW w:w="914" w:type="dxa"/>
            <w:shd w:val="clear" w:color="auto" w:fill="auto"/>
            <w:noWrap/>
            <w:vAlign w:val="bottom"/>
            <w:hideMark/>
          </w:tcPr>
          <w:p w14:paraId="722EE21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28.07</w:t>
            </w:r>
          </w:p>
        </w:tc>
        <w:tc>
          <w:tcPr>
            <w:tcW w:w="914" w:type="dxa"/>
            <w:shd w:val="clear" w:color="auto" w:fill="auto"/>
            <w:noWrap/>
            <w:vAlign w:val="bottom"/>
            <w:hideMark/>
          </w:tcPr>
          <w:p w14:paraId="0BA585B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48.73</w:t>
            </w:r>
          </w:p>
        </w:tc>
        <w:tc>
          <w:tcPr>
            <w:tcW w:w="914" w:type="dxa"/>
            <w:shd w:val="clear" w:color="auto" w:fill="auto"/>
            <w:noWrap/>
            <w:vAlign w:val="bottom"/>
            <w:hideMark/>
          </w:tcPr>
          <w:p w14:paraId="6806CD9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33.41</w:t>
            </w:r>
          </w:p>
        </w:tc>
      </w:tr>
      <w:tr w:rsidR="007968C7" w:rsidRPr="009A428B" w14:paraId="6600A828" w14:textId="77777777" w:rsidTr="001B56DE">
        <w:trPr>
          <w:trHeight w:val="344"/>
          <w:jc w:val="center"/>
        </w:trPr>
        <w:tc>
          <w:tcPr>
            <w:tcW w:w="1764" w:type="dxa"/>
            <w:shd w:val="clear" w:color="auto" w:fill="auto"/>
            <w:noWrap/>
            <w:vAlign w:val="bottom"/>
            <w:hideMark/>
          </w:tcPr>
          <w:p w14:paraId="40CDB8F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Japan</w:t>
            </w:r>
          </w:p>
        </w:tc>
        <w:tc>
          <w:tcPr>
            <w:tcW w:w="914" w:type="dxa"/>
            <w:shd w:val="clear" w:color="auto" w:fill="auto"/>
            <w:noWrap/>
            <w:vAlign w:val="bottom"/>
            <w:hideMark/>
          </w:tcPr>
          <w:p w14:paraId="2F3E7B2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47.60</w:t>
            </w:r>
          </w:p>
        </w:tc>
        <w:tc>
          <w:tcPr>
            <w:tcW w:w="914" w:type="dxa"/>
            <w:shd w:val="clear" w:color="auto" w:fill="auto"/>
            <w:noWrap/>
            <w:vAlign w:val="bottom"/>
            <w:hideMark/>
          </w:tcPr>
          <w:p w14:paraId="0B077EAF"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17.09</w:t>
            </w:r>
          </w:p>
        </w:tc>
        <w:tc>
          <w:tcPr>
            <w:tcW w:w="914" w:type="dxa"/>
            <w:shd w:val="clear" w:color="auto" w:fill="auto"/>
            <w:noWrap/>
            <w:vAlign w:val="bottom"/>
            <w:hideMark/>
          </w:tcPr>
          <w:p w14:paraId="3993A83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52.48</w:t>
            </w:r>
          </w:p>
        </w:tc>
        <w:tc>
          <w:tcPr>
            <w:tcW w:w="914" w:type="dxa"/>
            <w:shd w:val="clear" w:color="auto" w:fill="auto"/>
            <w:noWrap/>
            <w:vAlign w:val="bottom"/>
            <w:hideMark/>
          </w:tcPr>
          <w:p w14:paraId="70A7FE25"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23.02</w:t>
            </w:r>
          </w:p>
        </w:tc>
        <w:tc>
          <w:tcPr>
            <w:tcW w:w="914" w:type="dxa"/>
            <w:shd w:val="clear" w:color="auto" w:fill="auto"/>
            <w:noWrap/>
            <w:vAlign w:val="bottom"/>
            <w:hideMark/>
          </w:tcPr>
          <w:p w14:paraId="77CDC0EE"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57.12</w:t>
            </w:r>
          </w:p>
        </w:tc>
        <w:tc>
          <w:tcPr>
            <w:tcW w:w="914" w:type="dxa"/>
            <w:shd w:val="clear" w:color="auto" w:fill="auto"/>
            <w:noWrap/>
            <w:vAlign w:val="bottom"/>
            <w:hideMark/>
          </w:tcPr>
          <w:p w14:paraId="2B6F757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29.49</w:t>
            </w:r>
          </w:p>
        </w:tc>
        <w:tc>
          <w:tcPr>
            <w:tcW w:w="914" w:type="dxa"/>
            <w:shd w:val="clear" w:color="auto" w:fill="auto"/>
            <w:noWrap/>
            <w:vAlign w:val="bottom"/>
            <w:hideMark/>
          </w:tcPr>
          <w:p w14:paraId="6DF9BAE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61.90</w:t>
            </w:r>
          </w:p>
        </w:tc>
        <w:tc>
          <w:tcPr>
            <w:tcW w:w="914" w:type="dxa"/>
            <w:shd w:val="clear" w:color="auto" w:fill="auto"/>
            <w:noWrap/>
            <w:vAlign w:val="bottom"/>
            <w:hideMark/>
          </w:tcPr>
          <w:p w14:paraId="20833E7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36.91</w:t>
            </w:r>
          </w:p>
        </w:tc>
      </w:tr>
      <w:tr w:rsidR="007968C7" w:rsidRPr="009A428B" w14:paraId="7D2B7EDA" w14:textId="77777777" w:rsidTr="001B56DE">
        <w:trPr>
          <w:trHeight w:val="344"/>
          <w:jc w:val="center"/>
        </w:trPr>
        <w:tc>
          <w:tcPr>
            <w:tcW w:w="1764" w:type="dxa"/>
            <w:shd w:val="clear" w:color="auto" w:fill="auto"/>
            <w:noWrap/>
            <w:vAlign w:val="bottom"/>
            <w:hideMark/>
          </w:tcPr>
          <w:p w14:paraId="423FFE9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Korea</w:t>
            </w:r>
          </w:p>
        </w:tc>
        <w:tc>
          <w:tcPr>
            <w:tcW w:w="914" w:type="dxa"/>
            <w:shd w:val="clear" w:color="auto" w:fill="auto"/>
            <w:noWrap/>
            <w:vAlign w:val="bottom"/>
            <w:hideMark/>
          </w:tcPr>
          <w:p w14:paraId="2C15DA1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25.40</w:t>
            </w:r>
          </w:p>
        </w:tc>
        <w:tc>
          <w:tcPr>
            <w:tcW w:w="914" w:type="dxa"/>
            <w:shd w:val="clear" w:color="auto" w:fill="auto"/>
            <w:noWrap/>
            <w:vAlign w:val="bottom"/>
            <w:hideMark/>
          </w:tcPr>
          <w:p w14:paraId="5D5B8C6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73.14</w:t>
            </w:r>
          </w:p>
        </w:tc>
        <w:tc>
          <w:tcPr>
            <w:tcW w:w="914" w:type="dxa"/>
            <w:shd w:val="clear" w:color="auto" w:fill="auto"/>
            <w:noWrap/>
            <w:vAlign w:val="bottom"/>
            <w:hideMark/>
          </w:tcPr>
          <w:p w14:paraId="1C26172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30.41</w:t>
            </w:r>
          </w:p>
        </w:tc>
        <w:tc>
          <w:tcPr>
            <w:tcW w:w="914" w:type="dxa"/>
            <w:shd w:val="clear" w:color="auto" w:fill="auto"/>
            <w:noWrap/>
            <w:vAlign w:val="bottom"/>
            <w:hideMark/>
          </w:tcPr>
          <w:p w14:paraId="7C53BEF5"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77.11</w:t>
            </w:r>
          </w:p>
        </w:tc>
        <w:tc>
          <w:tcPr>
            <w:tcW w:w="914" w:type="dxa"/>
            <w:shd w:val="clear" w:color="auto" w:fill="auto"/>
            <w:noWrap/>
            <w:vAlign w:val="bottom"/>
            <w:hideMark/>
          </w:tcPr>
          <w:p w14:paraId="33D1C44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35.56</w:t>
            </w:r>
          </w:p>
        </w:tc>
        <w:tc>
          <w:tcPr>
            <w:tcW w:w="914" w:type="dxa"/>
            <w:shd w:val="clear" w:color="auto" w:fill="auto"/>
            <w:noWrap/>
            <w:vAlign w:val="bottom"/>
            <w:hideMark/>
          </w:tcPr>
          <w:p w14:paraId="11629FD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80.57</w:t>
            </w:r>
          </w:p>
        </w:tc>
        <w:tc>
          <w:tcPr>
            <w:tcW w:w="914" w:type="dxa"/>
            <w:shd w:val="clear" w:color="auto" w:fill="auto"/>
            <w:noWrap/>
            <w:vAlign w:val="bottom"/>
            <w:hideMark/>
          </w:tcPr>
          <w:p w14:paraId="0F9AFE15"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41.25</w:t>
            </w:r>
          </w:p>
        </w:tc>
        <w:tc>
          <w:tcPr>
            <w:tcW w:w="914" w:type="dxa"/>
            <w:shd w:val="clear" w:color="auto" w:fill="auto"/>
            <w:noWrap/>
            <w:vAlign w:val="bottom"/>
            <w:hideMark/>
          </w:tcPr>
          <w:p w14:paraId="4812329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83.83</w:t>
            </w:r>
          </w:p>
        </w:tc>
      </w:tr>
      <w:tr w:rsidR="007968C7" w:rsidRPr="009A428B" w14:paraId="234DCC57" w14:textId="77777777" w:rsidTr="001B56DE">
        <w:trPr>
          <w:trHeight w:val="344"/>
          <w:jc w:val="center"/>
        </w:trPr>
        <w:tc>
          <w:tcPr>
            <w:tcW w:w="1764" w:type="dxa"/>
            <w:shd w:val="clear" w:color="auto" w:fill="auto"/>
            <w:noWrap/>
            <w:vAlign w:val="bottom"/>
            <w:hideMark/>
          </w:tcPr>
          <w:p w14:paraId="08AE73A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China</w:t>
            </w:r>
          </w:p>
        </w:tc>
        <w:tc>
          <w:tcPr>
            <w:tcW w:w="914" w:type="dxa"/>
            <w:shd w:val="clear" w:color="auto" w:fill="auto"/>
            <w:noWrap/>
            <w:vAlign w:val="bottom"/>
            <w:hideMark/>
          </w:tcPr>
          <w:p w14:paraId="279763E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9.48</w:t>
            </w:r>
          </w:p>
        </w:tc>
        <w:tc>
          <w:tcPr>
            <w:tcW w:w="914" w:type="dxa"/>
            <w:shd w:val="clear" w:color="auto" w:fill="auto"/>
            <w:noWrap/>
            <w:vAlign w:val="bottom"/>
            <w:hideMark/>
          </w:tcPr>
          <w:p w14:paraId="75E12C8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5.31</w:t>
            </w:r>
          </w:p>
        </w:tc>
        <w:tc>
          <w:tcPr>
            <w:tcW w:w="914" w:type="dxa"/>
            <w:shd w:val="clear" w:color="auto" w:fill="auto"/>
            <w:noWrap/>
            <w:vAlign w:val="bottom"/>
            <w:hideMark/>
          </w:tcPr>
          <w:p w14:paraId="5A76F29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12.92</w:t>
            </w:r>
          </w:p>
        </w:tc>
        <w:tc>
          <w:tcPr>
            <w:tcW w:w="914" w:type="dxa"/>
            <w:shd w:val="clear" w:color="auto" w:fill="auto"/>
            <w:noWrap/>
            <w:vAlign w:val="bottom"/>
            <w:hideMark/>
          </w:tcPr>
          <w:p w14:paraId="20447A5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8.71</w:t>
            </w:r>
          </w:p>
        </w:tc>
        <w:tc>
          <w:tcPr>
            <w:tcW w:w="914" w:type="dxa"/>
            <w:shd w:val="clear" w:color="auto" w:fill="auto"/>
            <w:noWrap/>
            <w:vAlign w:val="bottom"/>
            <w:hideMark/>
          </w:tcPr>
          <w:p w14:paraId="7E1566DD"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16.90</w:t>
            </w:r>
          </w:p>
        </w:tc>
        <w:tc>
          <w:tcPr>
            <w:tcW w:w="914" w:type="dxa"/>
            <w:shd w:val="clear" w:color="auto" w:fill="auto"/>
            <w:noWrap/>
            <w:vAlign w:val="bottom"/>
            <w:hideMark/>
          </w:tcPr>
          <w:p w14:paraId="16182CA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13.13</w:t>
            </w:r>
          </w:p>
        </w:tc>
        <w:tc>
          <w:tcPr>
            <w:tcW w:w="914" w:type="dxa"/>
            <w:shd w:val="clear" w:color="auto" w:fill="auto"/>
            <w:noWrap/>
            <w:vAlign w:val="bottom"/>
            <w:hideMark/>
          </w:tcPr>
          <w:p w14:paraId="387548E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21.82</w:t>
            </w:r>
          </w:p>
        </w:tc>
        <w:tc>
          <w:tcPr>
            <w:tcW w:w="914" w:type="dxa"/>
            <w:shd w:val="clear" w:color="auto" w:fill="auto"/>
            <w:noWrap/>
            <w:vAlign w:val="bottom"/>
            <w:hideMark/>
          </w:tcPr>
          <w:p w14:paraId="067A77AD"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19.08</w:t>
            </w:r>
          </w:p>
        </w:tc>
      </w:tr>
      <w:tr w:rsidR="007968C7" w:rsidRPr="009A428B" w14:paraId="275EAAE8" w14:textId="77777777" w:rsidTr="001B56DE">
        <w:trPr>
          <w:trHeight w:val="344"/>
          <w:jc w:val="center"/>
        </w:trPr>
        <w:tc>
          <w:tcPr>
            <w:tcW w:w="1764" w:type="dxa"/>
            <w:shd w:val="clear" w:color="auto" w:fill="auto"/>
            <w:noWrap/>
            <w:vAlign w:val="bottom"/>
            <w:hideMark/>
          </w:tcPr>
          <w:p w14:paraId="0A7B52F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Australia</w:t>
            </w:r>
          </w:p>
        </w:tc>
        <w:tc>
          <w:tcPr>
            <w:tcW w:w="914" w:type="dxa"/>
            <w:shd w:val="clear" w:color="auto" w:fill="auto"/>
            <w:noWrap/>
            <w:vAlign w:val="bottom"/>
            <w:hideMark/>
          </w:tcPr>
          <w:p w14:paraId="38296EF8"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51.69</w:t>
            </w:r>
          </w:p>
        </w:tc>
        <w:tc>
          <w:tcPr>
            <w:tcW w:w="914" w:type="dxa"/>
            <w:shd w:val="clear" w:color="auto" w:fill="auto"/>
            <w:noWrap/>
            <w:vAlign w:val="bottom"/>
            <w:hideMark/>
          </w:tcPr>
          <w:p w14:paraId="2892F94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21.07</w:t>
            </w:r>
          </w:p>
        </w:tc>
        <w:tc>
          <w:tcPr>
            <w:tcW w:w="914" w:type="dxa"/>
            <w:shd w:val="clear" w:color="auto" w:fill="auto"/>
            <w:noWrap/>
            <w:vAlign w:val="bottom"/>
            <w:hideMark/>
          </w:tcPr>
          <w:p w14:paraId="297138A9"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56.37</w:t>
            </w:r>
          </w:p>
        </w:tc>
        <w:tc>
          <w:tcPr>
            <w:tcW w:w="914" w:type="dxa"/>
            <w:shd w:val="clear" w:color="auto" w:fill="auto"/>
            <w:noWrap/>
            <w:vAlign w:val="bottom"/>
            <w:hideMark/>
          </w:tcPr>
          <w:p w14:paraId="7797838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27.40</w:t>
            </w:r>
          </w:p>
        </w:tc>
        <w:tc>
          <w:tcPr>
            <w:tcW w:w="914" w:type="dxa"/>
            <w:shd w:val="clear" w:color="auto" w:fill="auto"/>
            <w:noWrap/>
            <w:vAlign w:val="bottom"/>
            <w:hideMark/>
          </w:tcPr>
          <w:p w14:paraId="0A9D0372"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60.78</w:t>
            </w:r>
          </w:p>
        </w:tc>
        <w:tc>
          <w:tcPr>
            <w:tcW w:w="914" w:type="dxa"/>
            <w:shd w:val="clear" w:color="auto" w:fill="auto"/>
            <w:noWrap/>
            <w:vAlign w:val="bottom"/>
            <w:hideMark/>
          </w:tcPr>
          <w:p w14:paraId="4499F19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34.08</w:t>
            </w:r>
          </w:p>
        </w:tc>
        <w:tc>
          <w:tcPr>
            <w:tcW w:w="914" w:type="dxa"/>
            <w:shd w:val="clear" w:color="auto" w:fill="auto"/>
            <w:noWrap/>
            <w:vAlign w:val="bottom"/>
            <w:hideMark/>
          </w:tcPr>
          <w:p w14:paraId="60D560F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65.28</w:t>
            </w:r>
          </w:p>
        </w:tc>
        <w:tc>
          <w:tcPr>
            <w:tcW w:w="914" w:type="dxa"/>
            <w:shd w:val="clear" w:color="auto" w:fill="auto"/>
            <w:noWrap/>
            <w:vAlign w:val="bottom"/>
            <w:hideMark/>
          </w:tcPr>
          <w:p w14:paraId="74F64915"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41.54</w:t>
            </w:r>
          </w:p>
        </w:tc>
      </w:tr>
      <w:tr w:rsidR="007968C7" w:rsidRPr="009A428B" w14:paraId="3BB0A7F2" w14:textId="77777777" w:rsidTr="001B56DE">
        <w:trPr>
          <w:trHeight w:val="344"/>
          <w:jc w:val="center"/>
        </w:trPr>
        <w:tc>
          <w:tcPr>
            <w:tcW w:w="1764" w:type="dxa"/>
            <w:shd w:val="clear" w:color="auto" w:fill="auto"/>
            <w:noWrap/>
            <w:vAlign w:val="bottom"/>
            <w:hideMark/>
          </w:tcPr>
          <w:p w14:paraId="75CF5EE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Russia</w:t>
            </w:r>
          </w:p>
        </w:tc>
        <w:tc>
          <w:tcPr>
            <w:tcW w:w="914" w:type="dxa"/>
            <w:shd w:val="clear" w:color="auto" w:fill="auto"/>
            <w:noWrap/>
            <w:vAlign w:val="bottom"/>
            <w:hideMark/>
          </w:tcPr>
          <w:p w14:paraId="2F79590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8.79</w:t>
            </w:r>
          </w:p>
        </w:tc>
        <w:tc>
          <w:tcPr>
            <w:tcW w:w="914" w:type="dxa"/>
            <w:shd w:val="clear" w:color="auto" w:fill="auto"/>
            <w:noWrap/>
            <w:vAlign w:val="bottom"/>
            <w:hideMark/>
          </w:tcPr>
          <w:p w14:paraId="5D584A1D"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15.04</w:t>
            </w:r>
          </w:p>
        </w:tc>
        <w:tc>
          <w:tcPr>
            <w:tcW w:w="914" w:type="dxa"/>
            <w:shd w:val="clear" w:color="auto" w:fill="auto"/>
            <w:noWrap/>
            <w:vAlign w:val="bottom"/>
            <w:hideMark/>
          </w:tcPr>
          <w:p w14:paraId="1F2010B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12.10</w:t>
            </w:r>
          </w:p>
        </w:tc>
        <w:tc>
          <w:tcPr>
            <w:tcW w:w="914" w:type="dxa"/>
            <w:shd w:val="clear" w:color="auto" w:fill="auto"/>
            <w:noWrap/>
            <w:vAlign w:val="bottom"/>
            <w:hideMark/>
          </w:tcPr>
          <w:p w14:paraId="2C2D9EE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20.69</w:t>
            </w:r>
          </w:p>
        </w:tc>
        <w:tc>
          <w:tcPr>
            <w:tcW w:w="914" w:type="dxa"/>
            <w:shd w:val="clear" w:color="auto" w:fill="auto"/>
            <w:noWrap/>
            <w:vAlign w:val="bottom"/>
            <w:hideMark/>
          </w:tcPr>
          <w:p w14:paraId="6D35279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15.97</w:t>
            </w:r>
          </w:p>
        </w:tc>
        <w:tc>
          <w:tcPr>
            <w:tcW w:w="914" w:type="dxa"/>
            <w:shd w:val="clear" w:color="auto" w:fill="auto"/>
            <w:noWrap/>
            <w:vAlign w:val="bottom"/>
            <w:hideMark/>
          </w:tcPr>
          <w:p w14:paraId="2B3D478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26.99</w:t>
            </w:r>
          </w:p>
        </w:tc>
        <w:tc>
          <w:tcPr>
            <w:tcW w:w="914" w:type="dxa"/>
            <w:shd w:val="clear" w:color="auto" w:fill="auto"/>
            <w:noWrap/>
            <w:vAlign w:val="bottom"/>
            <w:hideMark/>
          </w:tcPr>
          <w:p w14:paraId="68EE581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20.78</w:t>
            </w:r>
          </w:p>
        </w:tc>
        <w:tc>
          <w:tcPr>
            <w:tcW w:w="914" w:type="dxa"/>
            <w:shd w:val="clear" w:color="auto" w:fill="auto"/>
            <w:noWrap/>
            <w:vAlign w:val="bottom"/>
            <w:hideMark/>
          </w:tcPr>
          <w:p w14:paraId="1AB5635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34.34</w:t>
            </w:r>
          </w:p>
        </w:tc>
      </w:tr>
      <w:tr w:rsidR="007968C7" w:rsidRPr="009A428B" w14:paraId="4DE932DF" w14:textId="77777777" w:rsidTr="001B56DE">
        <w:trPr>
          <w:trHeight w:val="344"/>
          <w:jc w:val="center"/>
        </w:trPr>
        <w:tc>
          <w:tcPr>
            <w:tcW w:w="1764" w:type="dxa"/>
            <w:shd w:val="clear" w:color="auto" w:fill="auto"/>
            <w:noWrap/>
            <w:vAlign w:val="bottom"/>
            <w:hideMark/>
          </w:tcPr>
          <w:p w14:paraId="0327B041" w14:textId="577D0FD5"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New</w:t>
            </w:r>
            <w:r w:rsidR="00CC71B6" w:rsidRPr="009A428B">
              <w:rPr>
                <w:rFonts w:eastAsia="Times New Roman"/>
                <w:color w:val="000000"/>
                <w:sz w:val="20"/>
                <w:szCs w:val="20"/>
              </w:rPr>
              <w:t xml:space="preserve"> Z</w:t>
            </w:r>
            <w:r w:rsidRPr="009A428B">
              <w:rPr>
                <w:rFonts w:eastAsia="Times New Roman"/>
                <w:color w:val="000000"/>
                <w:sz w:val="20"/>
                <w:szCs w:val="20"/>
              </w:rPr>
              <w:t>ealand</w:t>
            </w:r>
          </w:p>
        </w:tc>
        <w:tc>
          <w:tcPr>
            <w:tcW w:w="914" w:type="dxa"/>
            <w:shd w:val="clear" w:color="auto" w:fill="auto"/>
            <w:noWrap/>
            <w:vAlign w:val="bottom"/>
            <w:hideMark/>
          </w:tcPr>
          <w:p w14:paraId="24A1701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3.31</w:t>
            </w:r>
          </w:p>
        </w:tc>
        <w:tc>
          <w:tcPr>
            <w:tcW w:w="914" w:type="dxa"/>
            <w:shd w:val="clear" w:color="auto" w:fill="auto"/>
            <w:noWrap/>
            <w:vAlign w:val="bottom"/>
            <w:hideMark/>
          </w:tcPr>
          <w:p w14:paraId="6055672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21.22</w:t>
            </w:r>
          </w:p>
        </w:tc>
        <w:tc>
          <w:tcPr>
            <w:tcW w:w="914" w:type="dxa"/>
            <w:shd w:val="clear" w:color="auto" w:fill="auto"/>
            <w:noWrap/>
            <w:vAlign w:val="bottom"/>
            <w:hideMark/>
          </w:tcPr>
          <w:p w14:paraId="47639411"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5.18</w:t>
            </w:r>
          </w:p>
        </w:tc>
        <w:tc>
          <w:tcPr>
            <w:tcW w:w="914" w:type="dxa"/>
            <w:shd w:val="clear" w:color="auto" w:fill="auto"/>
            <w:noWrap/>
            <w:vAlign w:val="bottom"/>
            <w:hideMark/>
          </w:tcPr>
          <w:p w14:paraId="523439E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27.56</w:t>
            </w:r>
          </w:p>
        </w:tc>
        <w:tc>
          <w:tcPr>
            <w:tcW w:w="914" w:type="dxa"/>
            <w:shd w:val="clear" w:color="auto" w:fill="auto"/>
            <w:noWrap/>
            <w:vAlign w:val="bottom"/>
            <w:hideMark/>
          </w:tcPr>
          <w:p w14:paraId="389E11B5"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7.64</w:t>
            </w:r>
          </w:p>
        </w:tc>
        <w:tc>
          <w:tcPr>
            <w:tcW w:w="914" w:type="dxa"/>
            <w:shd w:val="clear" w:color="auto" w:fill="auto"/>
            <w:noWrap/>
            <w:vAlign w:val="bottom"/>
            <w:hideMark/>
          </w:tcPr>
          <w:p w14:paraId="231A2ED6"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34.25</w:t>
            </w:r>
          </w:p>
        </w:tc>
        <w:tc>
          <w:tcPr>
            <w:tcW w:w="914" w:type="dxa"/>
            <w:shd w:val="clear" w:color="auto" w:fill="auto"/>
            <w:noWrap/>
            <w:vAlign w:val="bottom"/>
            <w:hideMark/>
          </w:tcPr>
          <w:p w14:paraId="3E8398A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11.05</w:t>
            </w:r>
          </w:p>
        </w:tc>
        <w:tc>
          <w:tcPr>
            <w:tcW w:w="914" w:type="dxa"/>
            <w:shd w:val="clear" w:color="auto" w:fill="auto"/>
            <w:noWrap/>
            <w:vAlign w:val="bottom"/>
            <w:hideMark/>
          </w:tcPr>
          <w:p w14:paraId="5984923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41.71</w:t>
            </w:r>
          </w:p>
        </w:tc>
      </w:tr>
      <w:tr w:rsidR="007968C7" w:rsidRPr="009A428B" w14:paraId="3C83ED6C" w14:textId="77777777" w:rsidTr="001B56DE">
        <w:trPr>
          <w:trHeight w:val="344"/>
          <w:jc w:val="center"/>
        </w:trPr>
        <w:tc>
          <w:tcPr>
            <w:tcW w:w="1764" w:type="dxa"/>
            <w:shd w:val="clear" w:color="auto" w:fill="auto"/>
            <w:noWrap/>
            <w:vAlign w:val="bottom"/>
            <w:hideMark/>
          </w:tcPr>
          <w:p w14:paraId="06518363"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India</w:t>
            </w:r>
          </w:p>
        </w:tc>
        <w:tc>
          <w:tcPr>
            <w:tcW w:w="914" w:type="dxa"/>
            <w:shd w:val="clear" w:color="auto" w:fill="auto"/>
            <w:noWrap/>
            <w:vAlign w:val="bottom"/>
            <w:hideMark/>
          </w:tcPr>
          <w:p w14:paraId="002A0F70"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0.51</w:t>
            </w:r>
          </w:p>
        </w:tc>
        <w:tc>
          <w:tcPr>
            <w:tcW w:w="914" w:type="dxa"/>
            <w:shd w:val="clear" w:color="auto" w:fill="auto"/>
            <w:noWrap/>
            <w:vAlign w:val="bottom"/>
            <w:hideMark/>
          </w:tcPr>
          <w:p w14:paraId="689EDE14"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0.97</w:t>
            </w:r>
          </w:p>
        </w:tc>
        <w:tc>
          <w:tcPr>
            <w:tcW w:w="914" w:type="dxa"/>
            <w:shd w:val="clear" w:color="auto" w:fill="auto"/>
            <w:noWrap/>
            <w:vAlign w:val="bottom"/>
            <w:hideMark/>
          </w:tcPr>
          <w:p w14:paraId="31BA8D6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1.02</w:t>
            </w:r>
          </w:p>
        </w:tc>
        <w:tc>
          <w:tcPr>
            <w:tcW w:w="914" w:type="dxa"/>
            <w:shd w:val="clear" w:color="auto" w:fill="auto"/>
            <w:noWrap/>
            <w:vAlign w:val="bottom"/>
            <w:hideMark/>
          </w:tcPr>
          <w:p w14:paraId="5CD0162A"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2.11</w:t>
            </w:r>
          </w:p>
        </w:tc>
        <w:tc>
          <w:tcPr>
            <w:tcW w:w="914" w:type="dxa"/>
            <w:shd w:val="clear" w:color="auto" w:fill="auto"/>
            <w:noWrap/>
            <w:vAlign w:val="bottom"/>
            <w:hideMark/>
          </w:tcPr>
          <w:p w14:paraId="35EF305C"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1.85</w:t>
            </w:r>
          </w:p>
        </w:tc>
        <w:tc>
          <w:tcPr>
            <w:tcW w:w="914" w:type="dxa"/>
            <w:shd w:val="clear" w:color="auto" w:fill="auto"/>
            <w:noWrap/>
            <w:vAlign w:val="bottom"/>
            <w:hideMark/>
          </w:tcPr>
          <w:p w14:paraId="341F10DD"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4.04</w:t>
            </w:r>
          </w:p>
        </w:tc>
        <w:tc>
          <w:tcPr>
            <w:tcW w:w="914" w:type="dxa"/>
            <w:shd w:val="clear" w:color="auto" w:fill="auto"/>
            <w:noWrap/>
            <w:vAlign w:val="bottom"/>
            <w:hideMark/>
          </w:tcPr>
          <w:p w14:paraId="26D6C727"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3.29</w:t>
            </w:r>
          </w:p>
        </w:tc>
        <w:tc>
          <w:tcPr>
            <w:tcW w:w="914" w:type="dxa"/>
            <w:shd w:val="clear" w:color="auto" w:fill="auto"/>
            <w:noWrap/>
            <w:vAlign w:val="bottom"/>
            <w:hideMark/>
          </w:tcPr>
          <w:p w14:paraId="18A2E6FB" w14:textId="77777777" w:rsidR="007968C7" w:rsidRPr="009A428B" w:rsidRDefault="007968C7" w:rsidP="009130ED">
            <w:pPr>
              <w:spacing w:after="80" w:line="240" w:lineRule="exact"/>
              <w:jc w:val="center"/>
              <w:rPr>
                <w:rFonts w:eastAsia="Times New Roman"/>
                <w:color w:val="000000"/>
                <w:sz w:val="20"/>
                <w:szCs w:val="20"/>
              </w:rPr>
            </w:pPr>
            <w:r w:rsidRPr="009A428B">
              <w:rPr>
                <w:rFonts w:eastAsia="Times New Roman"/>
                <w:color w:val="000000"/>
                <w:sz w:val="20"/>
                <w:szCs w:val="20"/>
              </w:rPr>
              <w:t>7.29</w:t>
            </w:r>
          </w:p>
        </w:tc>
      </w:tr>
    </w:tbl>
    <w:p w14:paraId="484298D7" w14:textId="37832E27" w:rsidR="00F96675" w:rsidRPr="009A428B" w:rsidRDefault="001A458E" w:rsidP="009130ED">
      <w:pPr>
        <w:spacing w:after="80" w:line="240" w:lineRule="exact"/>
        <w:jc w:val="both"/>
        <w:rPr>
          <w:sz w:val="20"/>
          <w:szCs w:val="20"/>
        </w:rPr>
      </w:pPr>
      <w:r w:rsidRPr="009A428B">
        <w:rPr>
          <w:sz w:val="20"/>
          <w:szCs w:val="20"/>
        </w:rPr>
        <w:t>Source: authors’ calculation</w:t>
      </w:r>
    </w:p>
    <w:p w14:paraId="0020DEBD" w14:textId="7BFBA54A" w:rsidR="009F04A8" w:rsidRPr="009A428B" w:rsidRDefault="00723B16" w:rsidP="009130ED">
      <w:pPr>
        <w:spacing w:after="80" w:line="240" w:lineRule="exact"/>
        <w:jc w:val="both"/>
        <w:rPr>
          <w:sz w:val="20"/>
          <w:szCs w:val="20"/>
        </w:rPr>
      </w:pPr>
      <w:r w:rsidRPr="009A428B">
        <w:rPr>
          <w:sz w:val="20"/>
          <w:szCs w:val="20"/>
        </w:rPr>
        <w:t>Regarding Vietnam’s trade with China, Japan, and Korea, while</w:t>
      </w:r>
      <w:r w:rsidR="00B45392" w:rsidRPr="009A428B">
        <w:rPr>
          <w:sz w:val="20"/>
          <w:szCs w:val="20"/>
        </w:rPr>
        <w:t xml:space="preserve"> </w:t>
      </w:r>
      <w:r w:rsidR="005F443E" w:rsidRPr="009A428B">
        <w:rPr>
          <w:sz w:val="20"/>
          <w:szCs w:val="20"/>
        </w:rPr>
        <w:t>efficiency</w:t>
      </w:r>
      <w:r w:rsidR="00B45392" w:rsidRPr="009A428B">
        <w:rPr>
          <w:sz w:val="20"/>
          <w:szCs w:val="20"/>
        </w:rPr>
        <w:t xml:space="preserve"> of exports to Japan is the highest, followed by</w:t>
      </w:r>
      <w:r w:rsidR="009517BF">
        <w:rPr>
          <w:sz w:val="20"/>
          <w:szCs w:val="20"/>
        </w:rPr>
        <w:t xml:space="preserve"> that to</w:t>
      </w:r>
      <w:r w:rsidR="00B45392" w:rsidRPr="009A428B">
        <w:rPr>
          <w:sz w:val="20"/>
          <w:szCs w:val="20"/>
        </w:rPr>
        <w:t xml:space="preserve"> Korea, </w:t>
      </w:r>
      <w:r w:rsidR="009517BF">
        <w:rPr>
          <w:sz w:val="20"/>
          <w:szCs w:val="20"/>
        </w:rPr>
        <w:t xml:space="preserve">at </w:t>
      </w:r>
      <w:r w:rsidR="00B45392" w:rsidRPr="009A428B">
        <w:rPr>
          <w:sz w:val="20"/>
          <w:szCs w:val="20"/>
        </w:rPr>
        <w:t>61.9% and 41.25% respectively, that of imports from Korea ranks first, then Japan with the level</w:t>
      </w:r>
      <w:r w:rsidR="00357729" w:rsidRPr="009A428B">
        <w:rPr>
          <w:sz w:val="20"/>
          <w:szCs w:val="20"/>
        </w:rPr>
        <w:t>s</w:t>
      </w:r>
      <w:r w:rsidR="00B45392" w:rsidRPr="009A428B">
        <w:rPr>
          <w:sz w:val="20"/>
          <w:szCs w:val="20"/>
        </w:rPr>
        <w:t xml:space="preserve"> being 83.83% and 36.91% respectively.</w:t>
      </w:r>
      <w:r w:rsidR="004022DE" w:rsidRPr="009A428B">
        <w:rPr>
          <w:sz w:val="20"/>
          <w:szCs w:val="20"/>
        </w:rPr>
        <w:t xml:space="preserve"> </w:t>
      </w:r>
      <w:r w:rsidR="00A33951" w:rsidRPr="009A428B">
        <w:rPr>
          <w:sz w:val="20"/>
          <w:szCs w:val="20"/>
        </w:rPr>
        <w:t xml:space="preserve">It is worth mentioning that until 2015 the trade with China </w:t>
      </w:r>
      <w:r w:rsidR="00B1549E">
        <w:rPr>
          <w:sz w:val="20"/>
          <w:szCs w:val="20"/>
        </w:rPr>
        <w:t>was</w:t>
      </w:r>
      <w:r w:rsidR="00A33951" w:rsidRPr="009A428B">
        <w:rPr>
          <w:sz w:val="20"/>
          <w:szCs w:val="20"/>
        </w:rPr>
        <w:t xml:space="preserve"> still less than one fourth of the estim</w:t>
      </w:r>
      <w:r w:rsidR="00E402B0" w:rsidRPr="009A428B">
        <w:rPr>
          <w:sz w:val="20"/>
          <w:szCs w:val="20"/>
        </w:rPr>
        <w:t>ated maximum possibility.</w:t>
      </w:r>
      <w:r w:rsidR="0086589D" w:rsidRPr="009A428B">
        <w:rPr>
          <w:sz w:val="20"/>
          <w:szCs w:val="20"/>
        </w:rPr>
        <w:t xml:space="preserve"> Although ASEAN-China FTA came into force since 2005, </w:t>
      </w:r>
      <w:r w:rsidR="0089638C">
        <w:rPr>
          <w:sz w:val="20"/>
          <w:szCs w:val="20"/>
        </w:rPr>
        <w:t xml:space="preserve">Vietnam, </w:t>
      </w:r>
      <w:r w:rsidR="0086589D" w:rsidRPr="009A428B">
        <w:rPr>
          <w:sz w:val="20"/>
          <w:szCs w:val="20"/>
        </w:rPr>
        <w:t xml:space="preserve">as a member of ASEAN, </w:t>
      </w:r>
      <w:r w:rsidR="0089638C">
        <w:rPr>
          <w:sz w:val="20"/>
          <w:szCs w:val="20"/>
        </w:rPr>
        <w:t xml:space="preserve">could take the advantage of </w:t>
      </w:r>
      <w:r w:rsidR="0086589D" w:rsidRPr="009A428B">
        <w:rPr>
          <w:sz w:val="20"/>
          <w:szCs w:val="20"/>
        </w:rPr>
        <w:t>this FTA</w:t>
      </w:r>
      <w:r w:rsidR="007002B6">
        <w:rPr>
          <w:sz w:val="20"/>
          <w:szCs w:val="20"/>
        </w:rPr>
        <w:t xml:space="preserve"> regarding trade</w:t>
      </w:r>
      <w:r w:rsidR="002E3B1F" w:rsidRPr="009A428B">
        <w:rPr>
          <w:sz w:val="20"/>
          <w:szCs w:val="20"/>
        </w:rPr>
        <w:t>.</w:t>
      </w:r>
      <w:r w:rsidR="003257E3" w:rsidRPr="009A428B">
        <w:rPr>
          <w:sz w:val="20"/>
          <w:szCs w:val="20"/>
        </w:rPr>
        <w:t xml:space="preserve"> </w:t>
      </w:r>
      <w:r w:rsidR="008B1DCC" w:rsidRPr="009A428B">
        <w:rPr>
          <w:sz w:val="20"/>
          <w:szCs w:val="20"/>
        </w:rPr>
        <w:t xml:space="preserve">In terms of exports, due to the intensive </w:t>
      </w:r>
      <w:r w:rsidR="008B1DCC" w:rsidRPr="009A428B">
        <w:rPr>
          <w:sz w:val="20"/>
          <w:szCs w:val="20"/>
        </w:rPr>
        <w:lastRenderedPageBreak/>
        <w:t>competition of similar products made in China, Vietnamese goods with high labor intensity such as textiles</w:t>
      </w:r>
      <w:r w:rsidR="00B37CED" w:rsidRPr="009A428B">
        <w:rPr>
          <w:sz w:val="20"/>
          <w:szCs w:val="20"/>
        </w:rPr>
        <w:t xml:space="preserve"> can not compete successfully and are unable to </w:t>
      </w:r>
      <w:r w:rsidR="00906C87">
        <w:rPr>
          <w:sz w:val="20"/>
          <w:szCs w:val="20"/>
        </w:rPr>
        <w:t>augment</w:t>
      </w:r>
      <w:r w:rsidR="00B37CED" w:rsidRPr="009A428B">
        <w:rPr>
          <w:sz w:val="20"/>
          <w:szCs w:val="20"/>
        </w:rPr>
        <w:t xml:space="preserve"> the export volume in order to reach the highest likelihood, which is </w:t>
      </w:r>
      <w:r w:rsidR="00996867" w:rsidRPr="009A428B">
        <w:rPr>
          <w:sz w:val="20"/>
          <w:szCs w:val="20"/>
        </w:rPr>
        <w:t>principally</w:t>
      </w:r>
      <w:r w:rsidR="00B37CED" w:rsidRPr="009A428B">
        <w:rPr>
          <w:sz w:val="20"/>
          <w:szCs w:val="20"/>
        </w:rPr>
        <w:t xml:space="preserve"> defined by the </w:t>
      </w:r>
      <w:r w:rsidR="00953E4D" w:rsidRPr="009A428B">
        <w:rPr>
          <w:sz w:val="20"/>
          <w:szCs w:val="20"/>
        </w:rPr>
        <w:t>e</w:t>
      </w:r>
      <w:r w:rsidR="00B37CED" w:rsidRPr="009A428B">
        <w:rPr>
          <w:sz w:val="20"/>
          <w:szCs w:val="20"/>
        </w:rPr>
        <w:t>conomic size of trading partners.</w:t>
      </w:r>
      <w:r w:rsidR="00686A62" w:rsidRPr="009A428B">
        <w:rPr>
          <w:sz w:val="20"/>
          <w:szCs w:val="20"/>
        </w:rPr>
        <w:t xml:space="preserve"> It is odds that </w:t>
      </w:r>
      <w:r w:rsidR="005F443E" w:rsidRPr="009A428B">
        <w:rPr>
          <w:sz w:val="20"/>
          <w:szCs w:val="20"/>
        </w:rPr>
        <w:t>efficiency</w:t>
      </w:r>
      <w:r w:rsidR="00686A62" w:rsidRPr="009A428B">
        <w:rPr>
          <w:sz w:val="20"/>
          <w:szCs w:val="20"/>
        </w:rPr>
        <w:t xml:space="preserve"> of imports </w:t>
      </w:r>
      <w:r w:rsidR="005506EE">
        <w:rPr>
          <w:sz w:val="20"/>
          <w:szCs w:val="20"/>
        </w:rPr>
        <w:t>from China was a mere</w:t>
      </w:r>
      <w:r w:rsidR="00B96DD4" w:rsidRPr="009A428B">
        <w:rPr>
          <w:sz w:val="20"/>
          <w:szCs w:val="20"/>
        </w:rPr>
        <w:t xml:space="preserve"> 19.08% while import volume</w:t>
      </w:r>
      <w:r w:rsidR="00F71A3C" w:rsidRPr="009A428B">
        <w:rPr>
          <w:sz w:val="20"/>
          <w:szCs w:val="20"/>
        </w:rPr>
        <w:t>s</w:t>
      </w:r>
      <w:r w:rsidR="00B96DD4" w:rsidRPr="009A428B">
        <w:rPr>
          <w:sz w:val="20"/>
          <w:szCs w:val="20"/>
        </w:rPr>
        <w:t xml:space="preserve"> from China accounts for </w:t>
      </w:r>
      <w:r w:rsidR="003749E6" w:rsidRPr="009A428B">
        <w:rPr>
          <w:sz w:val="20"/>
          <w:szCs w:val="20"/>
        </w:rPr>
        <w:t>one third</w:t>
      </w:r>
      <w:r w:rsidR="00B96DD4" w:rsidRPr="009A428B">
        <w:rPr>
          <w:sz w:val="20"/>
          <w:szCs w:val="20"/>
        </w:rPr>
        <w:t>.</w:t>
      </w:r>
      <w:r w:rsidR="00F71A3C" w:rsidRPr="009A428B">
        <w:rPr>
          <w:sz w:val="20"/>
          <w:szCs w:val="20"/>
        </w:rPr>
        <w:t xml:space="preserve"> </w:t>
      </w:r>
      <w:r w:rsidR="00006B94" w:rsidRPr="009A428B">
        <w:rPr>
          <w:sz w:val="20"/>
          <w:szCs w:val="20"/>
        </w:rPr>
        <w:t>The</w:t>
      </w:r>
      <w:r w:rsidR="00F71A3C" w:rsidRPr="009A428B">
        <w:rPr>
          <w:sz w:val="20"/>
          <w:szCs w:val="20"/>
        </w:rPr>
        <w:t xml:space="preserve"> reason may come from the gravity model’s properties that claim that the higher the similarity between two countries is, the more efficie</w:t>
      </w:r>
      <w:r w:rsidR="005F7BB4" w:rsidRPr="009A428B">
        <w:rPr>
          <w:sz w:val="20"/>
          <w:szCs w:val="20"/>
        </w:rPr>
        <w:t>nt the trade is.</w:t>
      </w:r>
      <w:r w:rsidR="009D140D" w:rsidRPr="009A428B">
        <w:rPr>
          <w:sz w:val="20"/>
          <w:szCs w:val="20"/>
        </w:rPr>
        <w:t xml:space="preserve"> China is 50 times in GDP and 15 times in population bigger than Vietnam</w:t>
      </w:r>
      <w:r w:rsidR="00444D7A" w:rsidRPr="009A428B">
        <w:rPr>
          <w:sz w:val="20"/>
          <w:szCs w:val="20"/>
        </w:rPr>
        <w:t>.</w:t>
      </w:r>
      <w:r w:rsidR="0057196A" w:rsidRPr="009A428B">
        <w:rPr>
          <w:sz w:val="20"/>
          <w:szCs w:val="20"/>
        </w:rPr>
        <w:t xml:space="preserve"> This</w:t>
      </w:r>
      <w:r w:rsidR="000B046E" w:rsidRPr="009A428B">
        <w:rPr>
          <w:sz w:val="20"/>
          <w:szCs w:val="20"/>
        </w:rPr>
        <w:t xml:space="preserve"> reason is also used to explain why</w:t>
      </w:r>
      <w:r w:rsidR="00B42001" w:rsidRPr="009A428B">
        <w:rPr>
          <w:sz w:val="20"/>
          <w:szCs w:val="20"/>
        </w:rPr>
        <w:t xml:space="preserve"> </w:t>
      </w:r>
      <w:r w:rsidR="000B046E" w:rsidRPr="009A428B">
        <w:rPr>
          <w:sz w:val="20"/>
          <w:szCs w:val="20"/>
        </w:rPr>
        <w:t>t</w:t>
      </w:r>
      <w:r w:rsidR="00B42001" w:rsidRPr="009A428B">
        <w:rPr>
          <w:sz w:val="20"/>
          <w:szCs w:val="20"/>
        </w:rPr>
        <w:t xml:space="preserve">he </w:t>
      </w:r>
      <w:r w:rsidR="005F443E" w:rsidRPr="009A428B">
        <w:rPr>
          <w:sz w:val="20"/>
          <w:szCs w:val="20"/>
        </w:rPr>
        <w:t>efficiency</w:t>
      </w:r>
      <w:r w:rsidR="00B42001" w:rsidRPr="009A428B">
        <w:rPr>
          <w:sz w:val="20"/>
          <w:szCs w:val="20"/>
        </w:rPr>
        <w:t xml:space="preserve"> of Vietnam’s trade with India is very low, </w:t>
      </w:r>
      <w:r w:rsidR="00C1342E">
        <w:rPr>
          <w:sz w:val="20"/>
          <w:szCs w:val="20"/>
        </w:rPr>
        <w:t xml:space="preserve">at </w:t>
      </w:r>
      <w:r w:rsidR="00B42001" w:rsidRPr="009A428B">
        <w:rPr>
          <w:sz w:val="20"/>
          <w:szCs w:val="20"/>
        </w:rPr>
        <w:t>only below 10%.</w:t>
      </w:r>
      <w:r w:rsidR="000B046E" w:rsidRPr="009A428B">
        <w:rPr>
          <w:sz w:val="20"/>
          <w:szCs w:val="20"/>
        </w:rPr>
        <w:t xml:space="preserve"> Moreover, the free trade agreement between ASEAN and India only came into effect </w:t>
      </w:r>
      <w:r w:rsidR="00385A3A" w:rsidRPr="009A428B">
        <w:rPr>
          <w:sz w:val="20"/>
          <w:szCs w:val="20"/>
        </w:rPr>
        <w:t>several years ago, (</w:t>
      </w:r>
      <w:r w:rsidR="000B046E" w:rsidRPr="009A428B">
        <w:rPr>
          <w:sz w:val="20"/>
          <w:szCs w:val="20"/>
        </w:rPr>
        <w:t>2010</w:t>
      </w:r>
      <w:r w:rsidR="007807E9" w:rsidRPr="009A428B">
        <w:rPr>
          <w:sz w:val="20"/>
          <w:szCs w:val="20"/>
        </w:rPr>
        <w:t>) and it</w:t>
      </w:r>
      <w:r w:rsidR="005E04A2" w:rsidRPr="009A428B">
        <w:rPr>
          <w:sz w:val="20"/>
          <w:szCs w:val="20"/>
        </w:rPr>
        <w:t xml:space="preserve"> then has</w:t>
      </w:r>
      <w:r w:rsidR="008C5313" w:rsidRPr="009A428B">
        <w:rPr>
          <w:sz w:val="20"/>
          <w:szCs w:val="20"/>
        </w:rPr>
        <w:t xml:space="preserve"> had</w:t>
      </w:r>
      <w:r w:rsidR="007807E9" w:rsidRPr="009A428B">
        <w:rPr>
          <w:sz w:val="20"/>
          <w:szCs w:val="20"/>
        </w:rPr>
        <w:t xml:space="preserve"> a </w:t>
      </w:r>
      <w:r w:rsidR="003F08E9">
        <w:rPr>
          <w:sz w:val="20"/>
          <w:szCs w:val="20"/>
        </w:rPr>
        <w:t>profound</w:t>
      </w:r>
      <w:r w:rsidR="007807E9" w:rsidRPr="009A428B">
        <w:rPr>
          <w:sz w:val="20"/>
          <w:szCs w:val="20"/>
        </w:rPr>
        <w:t xml:space="preserve"> effect on trade flows between Vietnam and India.</w:t>
      </w:r>
      <w:r w:rsidR="008C70C3" w:rsidRPr="009A428B">
        <w:rPr>
          <w:sz w:val="20"/>
          <w:szCs w:val="20"/>
        </w:rPr>
        <w:t xml:space="preserve"> </w:t>
      </w:r>
      <w:r w:rsidR="009F04A8" w:rsidRPr="009A428B">
        <w:rPr>
          <w:sz w:val="20"/>
          <w:szCs w:val="20"/>
        </w:rPr>
        <w:t>The Vietnam’s export volume</w:t>
      </w:r>
      <w:r w:rsidR="008825A0" w:rsidRPr="009A428B">
        <w:rPr>
          <w:sz w:val="20"/>
          <w:szCs w:val="20"/>
        </w:rPr>
        <w:t xml:space="preserve"> to India</w:t>
      </w:r>
      <w:r w:rsidR="009F04A8" w:rsidRPr="009A428B">
        <w:rPr>
          <w:sz w:val="20"/>
          <w:szCs w:val="20"/>
        </w:rPr>
        <w:t xml:space="preserve"> in 2010 and 2015 </w:t>
      </w:r>
      <w:r w:rsidR="00D90440" w:rsidRPr="009A428B">
        <w:rPr>
          <w:sz w:val="20"/>
          <w:szCs w:val="20"/>
        </w:rPr>
        <w:t>are</w:t>
      </w:r>
      <w:r w:rsidR="009F04A8" w:rsidRPr="009A428B">
        <w:rPr>
          <w:sz w:val="20"/>
          <w:szCs w:val="20"/>
        </w:rPr>
        <w:t xml:space="preserve"> twice and six times</w:t>
      </w:r>
      <w:r w:rsidR="00F8450D" w:rsidRPr="009A428B">
        <w:rPr>
          <w:sz w:val="20"/>
          <w:szCs w:val="20"/>
        </w:rPr>
        <w:t>, respectively</w:t>
      </w:r>
      <w:r w:rsidR="00436B96" w:rsidRPr="009A428B">
        <w:rPr>
          <w:sz w:val="20"/>
          <w:szCs w:val="20"/>
        </w:rPr>
        <w:t>,</w:t>
      </w:r>
      <w:r w:rsidR="009F04A8" w:rsidRPr="009A428B">
        <w:rPr>
          <w:sz w:val="20"/>
          <w:szCs w:val="20"/>
        </w:rPr>
        <w:t xml:space="preserve"> higher than in 2009.</w:t>
      </w:r>
    </w:p>
    <w:p w14:paraId="10ABA04F" w14:textId="19F85C9F" w:rsidR="0044677F" w:rsidRPr="009A428B" w:rsidRDefault="00376CBF" w:rsidP="009130ED">
      <w:pPr>
        <w:spacing w:after="80" w:line="240" w:lineRule="exact"/>
        <w:jc w:val="both"/>
        <w:rPr>
          <w:sz w:val="20"/>
          <w:szCs w:val="20"/>
        </w:rPr>
      </w:pPr>
      <w:r>
        <w:rPr>
          <w:sz w:val="20"/>
          <w:szCs w:val="20"/>
        </w:rPr>
        <w:t>Table 2.</w:t>
      </w:r>
      <w:r w:rsidR="0044677F" w:rsidRPr="009A428B">
        <w:rPr>
          <w:sz w:val="20"/>
          <w:szCs w:val="20"/>
        </w:rPr>
        <w:t xml:space="preserve"> Estimated </w:t>
      </w:r>
      <w:r w:rsidR="001B3B01" w:rsidRPr="009A428B">
        <w:rPr>
          <w:sz w:val="20"/>
          <w:szCs w:val="20"/>
        </w:rPr>
        <w:t>Efficiencies</w:t>
      </w:r>
      <w:r w:rsidR="0044677F" w:rsidRPr="009A428B">
        <w:rPr>
          <w:sz w:val="20"/>
          <w:szCs w:val="20"/>
        </w:rPr>
        <w:t xml:space="preserve"> of Vietnam’s trade to </w:t>
      </w:r>
      <w:r w:rsidR="0035334D" w:rsidRPr="009A428B">
        <w:rPr>
          <w:sz w:val="20"/>
          <w:szCs w:val="20"/>
        </w:rPr>
        <w:t>EU and NAFTA members</w:t>
      </w:r>
      <w:r w:rsidR="001A458E" w:rsidRPr="009A428B">
        <w:rPr>
          <w:sz w:val="20"/>
          <w:szCs w:val="20"/>
        </w:rPr>
        <w:t xml:space="preserve"> (%)</w:t>
      </w:r>
    </w:p>
    <w:tbl>
      <w:tblPr>
        <w:tblW w:w="9254" w:type="dxa"/>
        <w:tblBorders>
          <w:top w:val="single" w:sz="4" w:space="0" w:color="auto"/>
          <w:bottom w:val="single" w:sz="4" w:space="0" w:color="auto"/>
        </w:tblBorders>
        <w:tblLook w:val="04A0" w:firstRow="1" w:lastRow="0" w:firstColumn="1" w:lastColumn="0" w:noHBand="0" w:noVBand="1"/>
      </w:tblPr>
      <w:tblGrid>
        <w:gridCol w:w="1798"/>
        <w:gridCol w:w="932"/>
        <w:gridCol w:w="932"/>
        <w:gridCol w:w="932"/>
        <w:gridCol w:w="932"/>
        <w:gridCol w:w="932"/>
        <w:gridCol w:w="932"/>
        <w:gridCol w:w="932"/>
        <w:gridCol w:w="932"/>
      </w:tblGrid>
      <w:tr w:rsidR="00F421BC" w:rsidRPr="009A428B" w14:paraId="39FFB34D" w14:textId="77777777" w:rsidTr="00A95DEC">
        <w:trPr>
          <w:trHeight w:val="345"/>
        </w:trPr>
        <w:tc>
          <w:tcPr>
            <w:tcW w:w="1798" w:type="dxa"/>
            <w:shd w:val="clear" w:color="auto" w:fill="auto"/>
            <w:noWrap/>
            <w:vAlign w:val="bottom"/>
            <w:hideMark/>
          </w:tcPr>
          <w:p w14:paraId="6A783AF9" w14:textId="77777777" w:rsidR="00F421BC" w:rsidRPr="009A428B" w:rsidRDefault="00F421BC" w:rsidP="009130ED">
            <w:pPr>
              <w:spacing w:after="80" w:line="240" w:lineRule="exact"/>
              <w:rPr>
                <w:sz w:val="20"/>
                <w:szCs w:val="20"/>
              </w:rPr>
            </w:pPr>
          </w:p>
        </w:tc>
        <w:tc>
          <w:tcPr>
            <w:tcW w:w="1864" w:type="dxa"/>
            <w:gridSpan w:val="2"/>
            <w:tcBorders>
              <w:bottom w:val="nil"/>
            </w:tcBorders>
            <w:shd w:val="clear" w:color="auto" w:fill="auto"/>
            <w:noWrap/>
            <w:vAlign w:val="bottom"/>
            <w:hideMark/>
          </w:tcPr>
          <w:p w14:paraId="217B404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1995-99</w:t>
            </w:r>
          </w:p>
        </w:tc>
        <w:tc>
          <w:tcPr>
            <w:tcW w:w="1864" w:type="dxa"/>
            <w:gridSpan w:val="2"/>
            <w:tcBorders>
              <w:bottom w:val="nil"/>
            </w:tcBorders>
            <w:shd w:val="clear" w:color="auto" w:fill="auto"/>
            <w:noWrap/>
            <w:vAlign w:val="bottom"/>
            <w:hideMark/>
          </w:tcPr>
          <w:p w14:paraId="105D5A6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2000-04</w:t>
            </w:r>
          </w:p>
        </w:tc>
        <w:tc>
          <w:tcPr>
            <w:tcW w:w="1864" w:type="dxa"/>
            <w:gridSpan w:val="2"/>
            <w:tcBorders>
              <w:bottom w:val="nil"/>
            </w:tcBorders>
            <w:shd w:val="clear" w:color="auto" w:fill="auto"/>
            <w:noWrap/>
            <w:vAlign w:val="bottom"/>
            <w:hideMark/>
          </w:tcPr>
          <w:p w14:paraId="6862ECC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2005-09</w:t>
            </w:r>
          </w:p>
        </w:tc>
        <w:tc>
          <w:tcPr>
            <w:tcW w:w="1864" w:type="dxa"/>
            <w:gridSpan w:val="2"/>
            <w:tcBorders>
              <w:bottom w:val="nil"/>
            </w:tcBorders>
            <w:shd w:val="clear" w:color="auto" w:fill="auto"/>
            <w:noWrap/>
            <w:vAlign w:val="bottom"/>
            <w:hideMark/>
          </w:tcPr>
          <w:p w14:paraId="362163D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2010-15</w:t>
            </w:r>
          </w:p>
        </w:tc>
      </w:tr>
      <w:tr w:rsidR="00F421BC" w:rsidRPr="009A428B" w14:paraId="3A0D4923" w14:textId="77777777" w:rsidTr="00A95DEC">
        <w:trPr>
          <w:trHeight w:val="325"/>
        </w:trPr>
        <w:tc>
          <w:tcPr>
            <w:tcW w:w="1798" w:type="dxa"/>
            <w:shd w:val="clear" w:color="auto" w:fill="auto"/>
            <w:noWrap/>
            <w:vAlign w:val="bottom"/>
            <w:hideMark/>
          </w:tcPr>
          <w:p w14:paraId="218E7168" w14:textId="77777777" w:rsidR="00F421BC" w:rsidRPr="009A428B" w:rsidRDefault="00F421BC" w:rsidP="009130ED">
            <w:pPr>
              <w:spacing w:after="80" w:line="240" w:lineRule="exact"/>
              <w:rPr>
                <w:rFonts w:eastAsia="Times New Roman"/>
                <w:color w:val="000000"/>
                <w:sz w:val="20"/>
                <w:szCs w:val="20"/>
              </w:rPr>
            </w:pPr>
            <w:r w:rsidRPr="009A428B">
              <w:rPr>
                <w:rFonts w:eastAsia="Times New Roman"/>
                <w:color w:val="000000"/>
                <w:sz w:val="20"/>
                <w:szCs w:val="20"/>
              </w:rPr>
              <w:t> </w:t>
            </w:r>
          </w:p>
        </w:tc>
        <w:tc>
          <w:tcPr>
            <w:tcW w:w="932" w:type="dxa"/>
            <w:tcBorders>
              <w:top w:val="nil"/>
              <w:bottom w:val="single" w:sz="4" w:space="0" w:color="auto"/>
            </w:tcBorders>
            <w:shd w:val="clear" w:color="auto" w:fill="auto"/>
            <w:noWrap/>
            <w:vAlign w:val="bottom"/>
            <w:hideMark/>
          </w:tcPr>
          <w:p w14:paraId="70A173D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32" w:type="dxa"/>
            <w:tcBorders>
              <w:top w:val="nil"/>
              <w:bottom w:val="single" w:sz="4" w:space="0" w:color="auto"/>
            </w:tcBorders>
            <w:shd w:val="clear" w:color="auto" w:fill="auto"/>
            <w:noWrap/>
            <w:vAlign w:val="bottom"/>
            <w:hideMark/>
          </w:tcPr>
          <w:p w14:paraId="7CE6609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c>
          <w:tcPr>
            <w:tcW w:w="932" w:type="dxa"/>
            <w:tcBorders>
              <w:top w:val="nil"/>
              <w:bottom w:val="single" w:sz="4" w:space="0" w:color="auto"/>
            </w:tcBorders>
            <w:shd w:val="clear" w:color="auto" w:fill="auto"/>
            <w:noWrap/>
            <w:vAlign w:val="bottom"/>
            <w:hideMark/>
          </w:tcPr>
          <w:p w14:paraId="2D13639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32" w:type="dxa"/>
            <w:tcBorders>
              <w:top w:val="nil"/>
              <w:bottom w:val="single" w:sz="4" w:space="0" w:color="auto"/>
            </w:tcBorders>
            <w:shd w:val="clear" w:color="auto" w:fill="auto"/>
            <w:noWrap/>
            <w:vAlign w:val="bottom"/>
            <w:hideMark/>
          </w:tcPr>
          <w:p w14:paraId="5BE01AE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c>
          <w:tcPr>
            <w:tcW w:w="932" w:type="dxa"/>
            <w:tcBorders>
              <w:top w:val="nil"/>
              <w:bottom w:val="single" w:sz="4" w:space="0" w:color="auto"/>
            </w:tcBorders>
            <w:shd w:val="clear" w:color="auto" w:fill="auto"/>
            <w:noWrap/>
            <w:vAlign w:val="bottom"/>
            <w:hideMark/>
          </w:tcPr>
          <w:p w14:paraId="3F75E118"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32" w:type="dxa"/>
            <w:tcBorders>
              <w:top w:val="nil"/>
              <w:bottom w:val="single" w:sz="4" w:space="0" w:color="auto"/>
            </w:tcBorders>
            <w:shd w:val="clear" w:color="auto" w:fill="auto"/>
            <w:noWrap/>
            <w:vAlign w:val="bottom"/>
            <w:hideMark/>
          </w:tcPr>
          <w:p w14:paraId="28493E3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c>
          <w:tcPr>
            <w:tcW w:w="932" w:type="dxa"/>
            <w:tcBorders>
              <w:top w:val="nil"/>
              <w:bottom w:val="single" w:sz="4" w:space="0" w:color="auto"/>
            </w:tcBorders>
            <w:shd w:val="clear" w:color="auto" w:fill="auto"/>
            <w:noWrap/>
            <w:vAlign w:val="bottom"/>
            <w:hideMark/>
          </w:tcPr>
          <w:p w14:paraId="1CE5B94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Export</w:t>
            </w:r>
          </w:p>
        </w:tc>
        <w:tc>
          <w:tcPr>
            <w:tcW w:w="932" w:type="dxa"/>
            <w:tcBorders>
              <w:top w:val="nil"/>
              <w:bottom w:val="single" w:sz="4" w:space="0" w:color="auto"/>
            </w:tcBorders>
            <w:shd w:val="clear" w:color="auto" w:fill="auto"/>
            <w:noWrap/>
            <w:vAlign w:val="bottom"/>
            <w:hideMark/>
          </w:tcPr>
          <w:p w14:paraId="340189B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Import</w:t>
            </w:r>
          </w:p>
        </w:tc>
      </w:tr>
      <w:tr w:rsidR="00F421BC" w:rsidRPr="009A428B" w14:paraId="7C609E98" w14:textId="77777777" w:rsidTr="00A95DEC">
        <w:trPr>
          <w:trHeight w:val="325"/>
        </w:trPr>
        <w:tc>
          <w:tcPr>
            <w:tcW w:w="1798" w:type="dxa"/>
            <w:shd w:val="clear" w:color="auto" w:fill="auto"/>
            <w:noWrap/>
            <w:vAlign w:val="bottom"/>
            <w:hideMark/>
          </w:tcPr>
          <w:p w14:paraId="2ABB8FC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Netherland</w:t>
            </w:r>
          </w:p>
        </w:tc>
        <w:tc>
          <w:tcPr>
            <w:tcW w:w="932" w:type="dxa"/>
            <w:tcBorders>
              <w:top w:val="single" w:sz="4" w:space="0" w:color="auto"/>
            </w:tcBorders>
            <w:shd w:val="clear" w:color="auto" w:fill="auto"/>
            <w:noWrap/>
            <w:vAlign w:val="bottom"/>
            <w:hideMark/>
          </w:tcPr>
          <w:p w14:paraId="78873A0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31.68</w:t>
            </w:r>
          </w:p>
        </w:tc>
        <w:tc>
          <w:tcPr>
            <w:tcW w:w="932" w:type="dxa"/>
            <w:tcBorders>
              <w:top w:val="single" w:sz="4" w:space="0" w:color="auto"/>
            </w:tcBorders>
            <w:shd w:val="clear" w:color="auto" w:fill="auto"/>
            <w:noWrap/>
            <w:vAlign w:val="bottom"/>
            <w:hideMark/>
          </w:tcPr>
          <w:p w14:paraId="76CAFB7B"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11.14</w:t>
            </w:r>
          </w:p>
        </w:tc>
        <w:tc>
          <w:tcPr>
            <w:tcW w:w="932" w:type="dxa"/>
            <w:tcBorders>
              <w:top w:val="single" w:sz="4" w:space="0" w:color="auto"/>
            </w:tcBorders>
            <w:shd w:val="clear" w:color="auto" w:fill="auto"/>
            <w:noWrap/>
            <w:vAlign w:val="bottom"/>
            <w:hideMark/>
          </w:tcPr>
          <w:p w14:paraId="641E9A2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36.84</w:t>
            </w:r>
          </w:p>
        </w:tc>
        <w:tc>
          <w:tcPr>
            <w:tcW w:w="932" w:type="dxa"/>
            <w:tcBorders>
              <w:top w:val="single" w:sz="4" w:space="0" w:color="auto"/>
            </w:tcBorders>
            <w:shd w:val="clear" w:color="auto" w:fill="auto"/>
            <w:noWrap/>
            <w:vAlign w:val="bottom"/>
            <w:hideMark/>
          </w:tcPr>
          <w:p w14:paraId="050C25A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16.12</w:t>
            </w:r>
          </w:p>
        </w:tc>
        <w:tc>
          <w:tcPr>
            <w:tcW w:w="932" w:type="dxa"/>
            <w:tcBorders>
              <w:top w:val="single" w:sz="4" w:space="0" w:color="auto"/>
            </w:tcBorders>
            <w:shd w:val="clear" w:color="auto" w:fill="auto"/>
            <w:noWrap/>
            <w:vAlign w:val="bottom"/>
            <w:hideMark/>
          </w:tcPr>
          <w:p w14:paraId="3E0E4C71"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42.01</w:t>
            </w:r>
          </w:p>
        </w:tc>
        <w:tc>
          <w:tcPr>
            <w:tcW w:w="932" w:type="dxa"/>
            <w:tcBorders>
              <w:top w:val="single" w:sz="4" w:space="0" w:color="auto"/>
            </w:tcBorders>
            <w:shd w:val="clear" w:color="auto" w:fill="auto"/>
            <w:noWrap/>
            <w:vAlign w:val="bottom"/>
            <w:hideMark/>
          </w:tcPr>
          <w:p w14:paraId="459768C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21.93</w:t>
            </w:r>
          </w:p>
        </w:tc>
        <w:tc>
          <w:tcPr>
            <w:tcW w:w="932" w:type="dxa"/>
            <w:tcBorders>
              <w:top w:val="single" w:sz="4" w:space="0" w:color="auto"/>
            </w:tcBorders>
            <w:shd w:val="clear" w:color="auto" w:fill="auto"/>
            <w:noWrap/>
            <w:vAlign w:val="bottom"/>
            <w:hideMark/>
          </w:tcPr>
          <w:p w14:paraId="5C9BC9C6"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47.57</w:t>
            </w:r>
          </w:p>
        </w:tc>
        <w:tc>
          <w:tcPr>
            <w:tcW w:w="932" w:type="dxa"/>
            <w:tcBorders>
              <w:top w:val="single" w:sz="4" w:space="0" w:color="auto"/>
            </w:tcBorders>
            <w:shd w:val="clear" w:color="auto" w:fill="auto"/>
            <w:noWrap/>
            <w:vAlign w:val="bottom"/>
            <w:hideMark/>
          </w:tcPr>
          <w:p w14:paraId="5F989A3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28.99</w:t>
            </w:r>
          </w:p>
        </w:tc>
      </w:tr>
      <w:tr w:rsidR="00F421BC" w:rsidRPr="009A428B" w14:paraId="67C905FA" w14:textId="77777777" w:rsidTr="00A95DEC">
        <w:trPr>
          <w:trHeight w:val="325"/>
        </w:trPr>
        <w:tc>
          <w:tcPr>
            <w:tcW w:w="1798" w:type="dxa"/>
            <w:shd w:val="clear" w:color="auto" w:fill="auto"/>
            <w:noWrap/>
            <w:vAlign w:val="bottom"/>
            <w:hideMark/>
          </w:tcPr>
          <w:p w14:paraId="21B1280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UK</w:t>
            </w:r>
          </w:p>
        </w:tc>
        <w:tc>
          <w:tcPr>
            <w:tcW w:w="932" w:type="dxa"/>
            <w:shd w:val="clear" w:color="auto" w:fill="auto"/>
            <w:noWrap/>
            <w:vAlign w:val="bottom"/>
            <w:hideMark/>
          </w:tcPr>
          <w:p w14:paraId="2459634B"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18.49</w:t>
            </w:r>
          </w:p>
        </w:tc>
        <w:tc>
          <w:tcPr>
            <w:tcW w:w="932" w:type="dxa"/>
            <w:shd w:val="clear" w:color="auto" w:fill="auto"/>
            <w:noWrap/>
            <w:vAlign w:val="bottom"/>
            <w:hideMark/>
          </w:tcPr>
          <w:p w14:paraId="14430A6B"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4.62</w:t>
            </w:r>
          </w:p>
        </w:tc>
        <w:tc>
          <w:tcPr>
            <w:tcW w:w="932" w:type="dxa"/>
            <w:shd w:val="clear" w:color="auto" w:fill="auto"/>
            <w:noWrap/>
            <w:vAlign w:val="bottom"/>
            <w:hideMark/>
          </w:tcPr>
          <w:p w14:paraId="6AF35A0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23.08</w:t>
            </w:r>
          </w:p>
        </w:tc>
        <w:tc>
          <w:tcPr>
            <w:tcW w:w="932" w:type="dxa"/>
            <w:shd w:val="clear" w:color="auto" w:fill="auto"/>
            <w:noWrap/>
            <w:vAlign w:val="bottom"/>
            <w:hideMark/>
          </w:tcPr>
          <w:p w14:paraId="14D0958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7.76</w:t>
            </w:r>
          </w:p>
        </w:tc>
        <w:tc>
          <w:tcPr>
            <w:tcW w:w="932" w:type="dxa"/>
            <w:shd w:val="clear" w:color="auto" w:fill="auto"/>
            <w:noWrap/>
            <w:vAlign w:val="bottom"/>
            <w:hideMark/>
          </w:tcPr>
          <w:p w14:paraId="2104581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27.98</w:t>
            </w:r>
          </w:p>
        </w:tc>
        <w:tc>
          <w:tcPr>
            <w:tcW w:w="932" w:type="dxa"/>
            <w:shd w:val="clear" w:color="auto" w:fill="auto"/>
            <w:noWrap/>
            <w:vAlign w:val="bottom"/>
            <w:hideMark/>
          </w:tcPr>
          <w:p w14:paraId="3EB46F9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11.93</w:t>
            </w:r>
          </w:p>
        </w:tc>
        <w:tc>
          <w:tcPr>
            <w:tcW w:w="932" w:type="dxa"/>
            <w:shd w:val="clear" w:color="auto" w:fill="auto"/>
            <w:noWrap/>
            <w:vAlign w:val="bottom"/>
            <w:hideMark/>
          </w:tcPr>
          <w:p w14:paraId="2B2958F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33.59</w:t>
            </w:r>
          </w:p>
        </w:tc>
        <w:tc>
          <w:tcPr>
            <w:tcW w:w="932" w:type="dxa"/>
            <w:shd w:val="clear" w:color="auto" w:fill="auto"/>
            <w:noWrap/>
            <w:vAlign w:val="bottom"/>
            <w:hideMark/>
          </w:tcPr>
          <w:p w14:paraId="6C4680D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17.65</w:t>
            </w:r>
          </w:p>
        </w:tc>
      </w:tr>
      <w:tr w:rsidR="00F421BC" w:rsidRPr="009A428B" w14:paraId="773B6058" w14:textId="77777777" w:rsidTr="00A95DEC">
        <w:trPr>
          <w:trHeight w:val="325"/>
        </w:trPr>
        <w:tc>
          <w:tcPr>
            <w:tcW w:w="1798" w:type="dxa"/>
            <w:shd w:val="clear" w:color="auto" w:fill="auto"/>
            <w:noWrap/>
            <w:vAlign w:val="bottom"/>
            <w:hideMark/>
          </w:tcPr>
          <w:p w14:paraId="25F7343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Belgium</w:t>
            </w:r>
          </w:p>
        </w:tc>
        <w:tc>
          <w:tcPr>
            <w:tcW w:w="932" w:type="dxa"/>
            <w:shd w:val="clear" w:color="auto" w:fill="auto"/>
            <w:noWrap/>
            <w:vAlign w:val="bottom"/>
            <w:hideMark/>
          </w:tcPr>
          <w:p w14:paraId="179C01F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17.49</w:t>
            </w:r>
          </w:p>
        </w:tc>
        <w:tc>
          <w:tcPr>
            <w:tcW w:w="932" w:type="dxa"/>
            <w:shd w:val="clear" w:color="auto" w:fill="auto"/>
            <w:noWrap/>
            <w:vAlign w:val="bottom"/>
            <w:hideMark/>
          </w:tcPr>
          <w:p w14:paraId="5705547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8.88</w:t>
            </w:r>
          </w:p>
        </w:tc>
        <w:tc>
          <w:tcPr>
            <w:tcW w:w="932" w:type="dxa"/>
            <w:shd w:val="clear" w:color="auto" w:fill="auto"/>
            <w:noWrap/>
            <w:vAlign w:val="bottom"/>
            <w:hideMark/>
          </w:tcPr>
          <w:p w14:paraId="02859E31"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33.25</w:t>
            </w:r>
          </w:p>
        </w:tc>
        <w:tc>
          <w:tcPr>
            <w:tcW w:w="932" w:type="dxa"/>
            <w:shd w:val="clear" w:color="auto" w:fill="auto"/>
            <w:noWrap/>
            <w:vAlign w:val="bottom"/>
            <w:hideMark/>
          </w:tcPr>
          <w:p w14:paraId="5B126C2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19.27</w:t>
            </w:r>
          </w:p>
        </w:tc>
        <w:tc>
          <w:tcPr>
            <w:tcW w:w="932" w:type="dxa"/>
            <w:shd w:val="clear" w:color="auto" w:fill="auto"/>
            <w:noWrap/>
            <w:vAlign w:val="bottom"/>
            <w:hideMark/>
          </w:tcPr>
          <w:p w14:paraId="6CCD0B4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38.43</w:t>
            </w:r>
          </w:p>
        </w:tc>
        <w:tc>
          <w:tcPr>
            <w:tcW w:w="932" w:type="dxa"/>
            <w:shd w:val="clear" w:color="auto" w:fill="auto"/>
            <w:noWrap/>
            <w:vAlign w:val="bottom"/>
            <w:hideMark/>
          </w:tcPr>
          <w:p w14:paraId="1135DF1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25.44</w:t>
            </w:r>
          </w:p>
        </w:tc>
        <w:tc>
          <w:tcPr>
            <w:tcW w:w="932" w:type="dxa"/>
            <w:shd w:val="clear" w:color="auto" w:fill="auto"/>
            <w:noWrap/>
            <w:vAlign w:val="bottom"/>
            <w:hideMark/>
          </w:tcPr>
          <w:p w14:paraId="5ABB147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44.08</w:t>
            </w:r>
          </w:p>
        </w:tc>
        <w:tc>
          <w:tcPr>
            <w:tcW w:w="932" w:type="dxa"/>
            <w:shd w:val="clear" w:color="auto" w:fill="auto"/>
            <w:noWrap/>
            <w:vAlign w:val="bottom"/>
            <w:hideMark/>
          </w:tcPr>
          <w:p w14:paraId="560E2201"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32.72</w:t>
            </w:r>
          </w:p>
        </w:tc>
      </w:tr>
      <w:tr w:rsidR="00F421BC" w:rsidRPr="009A428B" w14:paraId="63F0089D" w14:textId="77777777" w:rsidTr="00A95DEC">
        <w:trPr>
          <w:trHeight w:val="325"/>
        </w:trPr>
        <w:tc>
          <w:tcPr>
            <w:tcW w:w="1798" w:type="dxa"/>
            <w:shd w:val="clear" w:color="auto" w:fill="auto"/>
            <w:noWrap/>
            <w:vAlign w:val="bottom"/>
            <w:hideMark/>
          </w:tcPr>
          <w:p w14:paraId="3BEC03F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France</w:t>
            </w:r>
          </w:p>
        </w:tc>
        <w:tc>
          <w:tcPr>
            <w:tcW w:w="932" w:type="dxa"/>
            <w:shd w:val="clear" w:color="auto" w:fill="auto"/>
            <w:noWrap/>
            <w:vAlign w:val="bottom"/>
            <w:hideMark/>
          </w:tcPr>
          <w:p w14:paraId="6860AEB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13.68</w:t>
            </w:r>
          </w:p>
        </w:tc>
        <w:tc>
          <w:tcPr>
            <w:tcW w:w="932" w:type="dxa"/>
            <w:shd w:val="clear" w:color="auto" w:fill="auto"/>
            <w:noWrap/>
            <w:vAlign w:val="bottom"/>
            <w:hideMark/>
          </w:tcPr>
          <w:p w14:paraId="601C4F3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15.99</w:t>
            </w:r>
          </w:p>
        </w:tc>
        <w:tc>
          <w:tcPr>
            <w:tcW w:w="932" w:type="dxa"/>
            <w:shd w:val="clear" w:color="auto" w:fill="auto"/>
            <w:noWrap/>
            <w:vAlign w:val="bottom"/>
            <w:hideMark/>
          </w:tcPr>
          <w:p w14:paraId="3918DB6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17.77</w:t>
            </w:r>
          </w:p>
        </w:tc>
        <w:tc>
          <w:tcPr>
            <w:tcW w:w="932" w:type="dxa"/>
            <w:shd w:val="clear" w:color="auto" w:fill="auto"/>
            <w:noWrap/>
            <w:vAlign w:val="bottom"/>
            <w:hideMark/>
          </w:tcPr>
          <w:p w14:paraId="09A6157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21.78</w:t>
            </w:r>
          </w:p>
        </w:tc>
        <w:tc>
          <w:tcPr>
            <w:tcW w:w="932" w:type="dxa"/>
            <w:shd w:val="clear" w:color="auto" w:fill="auto"/>
            <w:noWrap/>
            <w:vAlign w:val="bottom"/>
            <w:hideMark/>
          </w:tcPr>
          <w:p w14:paraId="4392A3F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22.29</w:t>
            </w:r>
          </w:p>
        </w:tc>
        <w:tc>
          <w:tcPr>
            <w:tcW w:w="932" w:type="dxa"/>
            <w:shd w:val="clear" w:color="auto" w:fill="auto"/>
            <w:noWrap/>
            <w:vAlign w:val="bottom"/>
            <w:hideMark/>
          </w:tcPr>
          <w:p w14:paraId="6BAA035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28.16</w:t>
            </w:r>
          </w:p>
        </w:tc>
        <w:tc>
          <w:tcPr>
            <w:tcW w:w="932" w:type="dxa"/>
            <w:shd w:val="clear" w:color="auto" w:fill="auto"/>
            <w:noWrap/>
            <w:vAlign w:val="bottom"/>
            <w:hideMark/>
          </w:tcPr>
          <w:p w14:paraId="744FFA8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27.65</w:t>
            </w:r>
          </w:p>
        </w:tc>
        <w:tc>
          <w:tcPr>
            <w:tcW w:w="932" w:type="dxa"/>
            <w:shd w:val="clear" w:color="auto" w:fill="auto"/>
            <w:noWrap/>
            <w:vAlign w:val="bottom"/>
            <w:hideMark/>
          </w:tcPr>
          <w:p w14:paraId="3B4BBF2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35.55</w:t>
            </w:r>
          </w:p>
        </w:tc>
      </w:tr>
      <w:tr w:rsidR="00F421BC" w:rsidRPr="009A428B" w14:paraId="18314A88" w14:textId="77777777" w:rsidTr="00A95DEC">
        <w:trPr>
          <w:trHeight w:val="325"/>
        </w:trPr>
        <w:tc>
          <w:tcPr>
            <w:tcW w:w="1798" w:type="dxa"/>
            <w:shd w:val="clear" w:color="auto" w:fill="auto"/>
            <w:noWrap/>
            <w:vAlign w:val="bottom"/>
            <w:hideMark/>
          </w:tcPr>
          <w:p w14:paraId="0A874EA6"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Italia</w:t>
            </w:r>
          </w:p>
        </w:tc>
        <w:tc>
          <w:tcPr>
            <w:tcW w:w="932" w:type="dxa"/>
            <w:shd w:val="clear" w:color="auto" w:fill="auto"/>
            <w:noWrap/>
            <w:vAlign w:val="bottom"/>
            <w:hideMark/>
          </w:tcPr>
          <w:p w14:paraId="03E0E118"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9.14</w:t>
            </w:r>
          </w:p>
        </w:tc>
        <w:tc>
          <w:tcPr>
            <w:tcW w:w="932" w:type="dxa"/>
            <w:shd w:val="clear" w:color="auto" w:fill="auto"/>
            <w:noWrap/>
            <w:vAlign w:val="bottom"/>
            <w:hideMark/>
          </w:tcPr>
          <w:p w14:paraId="6527FE5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7.80</w:t>
            </w:r>
          </w:p>
        </w:tc>
        <w:tc>
          <w:tcPr>
            <w:tcW w:w="932" w:type="dxa"/>
            <w:shd w:val="clear" w:color="auto" w:fill="auto"/>
            <w:noWrap/>
            <w:vAlign w:val="bottom"/>
            <w:hideMark/>
          </w:tcPr>
          <w:p w14:paraId="4A54C796"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12.51</w:t>
            </w:r>
          </w:p>
        </w:tc>
        <w:tc>
          <w:tcPr>
            <w:tcW w:w="932" w:type="dxa"/>
            <w:shd w:val="clear" w:color="auto" w:fill="auto"/>
            <w:noWrap/>
            <w:vAlign w:val="bottom"/>
            <w:hideMark/>
          </w:tcPr>
          <w:p w14:paraId="3179B4F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11.98</w:t>
            </w:r>
          </w:p>
        </w:tc>
        <w:tc>
          <w:tcPr>
            <w:tcW w:w="932" w:type="dxa"/>
            <w:shd w:val="clear" w:color="auto" w:fill="auto"/>
            <w:noWrap/>
            <w:vAlign w:val="bottom"/>
            <w:hideMark/>
          </w:tcPr>
          <w:p w14:paraId="25210C2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16.43</w:t>
            </w:r>
          </w:p>
        </w:tc>
        <w:tc>
          <w:tcPr>
            <w:tcW w:w="932" w:type="dxa"/>
            <w:shd w:val="clear" w:color="auto" w:fill="auto"/>
            <w:noWrap/>
            <w:vAlign w:val="bottom"/>
            <w:hideMark/>
          </w:tcPr>
          <w:p w14:paraId="7FDCF20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17.13</w:t>
            </w:r>
          </w:p>
        </w:tc>
        <w:tc>
          <w:tcPr>
            <w:tcW w:w="932" w:type="dxa"/>
            <w:shd w:val="clear" w:color="auto" w:fill="auto"/>
            <w:noWrap/>
            <w:vAlign w:val="bottom"/>
            <w:hideMark/>
          </w:tcPr>
          <w:p w14:paraId="5A3D4AD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21.30</w:t>
            </w:r>
          </w:p>
        </w:tc>
        <w:tc>
          <w:tcPr>
            <w:tcW w:w="932" w:type="dxa"/>
            <w:shd w:val="clear" w:color="auto" w:fill="auto"/>
            <w:noWrap/>
            <w:vAlign w:val="bottom"/>
            <w:hideMark/>
          </w:tcPr>
          <w:p w14:paraId="7C6DB7C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23.70</w:t>
            </w:r>
          </w:p>
        </w:tc>
      </w:tr>
      <w:tr w:rsidR="00F421BC" w:rsidRPr="009A428B" w14:paraId="05D88A54" w14:textId="77777777" w:rsidTr="00A95DEC">
        <w:trPr>
          <w:trHeight w:val="325"/>
        </w:trPr>
        <w:tc>
          <w:tcPr>
            <w:tcW w:w="1798" w:type="dxa"/>
            <w:shd w:val="clear" w:color="auto" w:fill="auto"/>
            <w:noWrap/>
            <w:vAlign w:val="bottom"/>
            <w:hideMark/>
          </w:tcPr>
          <w:p w14:paraId="3604FE1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Spain</w:t>
            </w:r>
          </w:p>
        </w:tc>
        <w:tc>
          <w:tcPr>
            <w:tcW w:w="932" w:type="dxa"/>
            <w:shd w:val="clear" w:color="auto" w:fill="auto"/>
            <w:noWrap/>
            <w:vAlign w:val="bottom"/>
            <w:hideMark/>
          </w:tcPr>
          <w:p w14:paraId="7894015B"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8.96</w:t>
            </w:r>
          </w:p>
        </w:tc>
        <w:tc>
          <w:tcPr>
            <w:tcW w:w="932" w:type="dxa"/>
            <w:shd w:val="clear" w:color="auto" w:fill="auto"/>
            <w:noWrap/>
            <w:vAlign w:val="bottom"/>
            <w:hideMark/>
          </w:tcPr>
          <w:p w14:paraId="6104F3D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2.30</w:t>
            </w:r>
          </w:p>
        </w:tc>
        <w:tc>
          <w:tcPr>
            <w:tcW w:w="932" w:type="dxa"/>
            <w:shd w:val="clear" w:color="auto" w:fill="auto"/>
            <w:noWrap/>
            <w:vAlign w:val="bottom"/>
            <w:hideMark/>
          </w:tcPr>
          <w:p w14:paraId="160AB18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12.29</w:t>
            </w:r>
          </w:p>
        </w:tc>
        <w:tc>
          <w:tcPr>
            <w:tcW w:w="932" w:type="dxa"/>
            <w:shd w:val="clear" w:color="auto" w:fill="auto"/>
            <w:noWrap/>
            <w:vAlign w:val="bottom"/>
            <w:hideMark/>
          </w:tcPr>
          <w:p w14:paraId="334A6E8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4.34</w:t>
            </w:r>
          </w:p>
        </w:tc>
        <w:tc>
          <w:tcPr>
            <w:tcW w:w="932" w:type="dxa"/>
            <w:shd w:val="clear" w:color="auto" w:fill="auto"/>
            <w:noWrap/>
            <w:vAlign w:val="bottom"/>
            <w:hideMark/>
          </w:tcPr>
          <w:p w14:paraId="497DFD2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16.19</w:t>
            </w:r>
          </w:p>
        </w:tc>
        <w:tc>
          <w:tcPr>
            <w:tcW w:w="932" w:type="dxa"/>
            <w:shd w:val="clear" w:color="auto" w:fill="auto"/>
            <w:noWrap/>
            <w:vAlign w:val="bottom"/>
            <w:hideMark/>
          </w:tcPr>
          <w:p w14:paraId="0165235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7.35</w:t>
            </w:r>
          </w:p>
        </w:tc>
        <w:tc>
          <w:tcPr>
            <w:tcW w:w="932" w:type="dxa"/>
            <w:shd w:val="clear" w:color="auto" w:fill="auto"/>
            <w:noWrap/>
            <w:vAlign w:val="bottom"/>
            <w:hideMark/>
          </w:tcPr>
          <w:p w14:paraId="2009DBE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21.03</w:t>
            </w:r>
          </w:p>
        </w:tc>
        <w:tc>
          <w:tcPr>
            <w:tcW w:w="932" w:type="dxa"/>
            <w:shd w:val="clear" w:color="auto" w:fill="auto"/>
            <w:noWrap/>
            <w:vAlign w:val="bottom"/>
            <w:hideMark/>
          </w:tcPr>
          <w:p w14:paraId="3547280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11.89</w:t>
            </w:r>
          </w:p>
        </w:tc>
      </w:tr>
      <w:tr w:rsidR="00F421BC" w:rsidRPr="009A428B" w14:paraId="04147645" w14:textId="77777777" w:rsidTr="00A95DEC">
        <w:trPr>
          <w:trHeight w:val="325"/>
        </w:trPr>
        <w:tc>
          <w:tcPr>
            <w:tcW w:w="1798" w:type="dxa"/>
            <w:shd w:val="clear" w:color="auto" w:fill="auto"/>
            <w:noWrap/>
            <w:vAlign w:val="bottom"/>
            <w:hideMark/>
          </w:tcPr>
          <w:p w14:paraId="5F3F5D31"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Poland</w:t>
            </w:r>
          </w:p>
        </w:tc>
        <w:tc>
          <w:tcPr>
            <w:tcW w:w="932" w:type="dxa"/>
            <w:shd w:val="clear" w:color="auto" w:fill="auto"/>
            <w:noWrap/>
            <w:vAlign w:val="bottom"/>
            <w:hideMark/>
          </w:tcPr>
          <w:p w14:paraId="1CE70A7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5.29</w:t>
            </w:r>
          </w:p>
        </w:tc>
        <w:tc>
          <w:tcPr>
            <w:tcW w:w="932" w:type="dxa"/>
            <w:shd w:val="clear" w:color="auto" w:fill="auto"/>
            <w:noWrap/>
            <w:vAlign w:val="bottom"/>
            <w:hideMark/>
          </w:tcPr>
          <w:p w14:paraId="668A2BE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2.89</w:t>
            </w:r>
          </w:p>
        </w:tc>
        <w:tc>
          <w:tcPr>
            <w:tcW w:w="932" w:type="dxa"/>
            <w:shd w:val="clear" w:color="auto" w:fill="auto"/>
            <w:noWrap/>
            <w:vAlign w:val="bottom"/>
            <w:hideMark/>
          </w:tcPr>
          <w:p w14:paraId="5DC4577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7.77</w:t>
            </w:r>
          </w:p>
        </w:tc>
        <w:tc>
          <w:tcPr>
            <w:tcW w:w="932" w:type="dxa"/>
            <w:shd w:val="clear" w:color="auto" w:fill="auto"/>
            <w:noWrap/>
            <w:vAlign w:val="bottom"/>
            <w:hideMark/>
          </w:tcPr>
          <w:p w14:paraId="505BB8A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5.24</w:t>
            </w:r>
          </w:p>
        </w:tc>
        <w:tc>
          <w:tcPr>
            <w:tcW w:w="932" w:type="dxa"/>
            <w:shd w:val="clear" w:color="auto" w:fill="auto"/>
            <w:noWrap/>
            <w:vAlign w:val="bottom"/>
            <w:hideMark/>
          </w:tcPr>
          <w:p w14:paraId="69C7013B"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10.87</w:t>
            </w:r>
          </w:p>
        </w:tc>
        <w:tc>
          <w:tcPr>
            <w:tcW w:w="932" w:type="dxa"/>
            <w:shd w:val="clear" w:color="auto" w:fill="auto"/>
            <w:noWrap/>
            <w:vAlign w:val="bottom"/>
            <w:hideMark/>
          </w:tcPr>
          <w:p w14:paraId="1287213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8.61</w:t>
            </w:r>
          </w:p>
        </w:tc>
        <w:tc>
          <w:tcPr>
            <w:tcW w:w="932" w:type="dxa"/>
            <w:shd w:val="clear" w:color="auto" w:fill="auto"/>
            <w:noWrap/>
            <w:vAlign w:val="bottom"/>
            <w:hideMark/>
          </w:tcPr>
          <w:p w14:paraId="6512A461"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14.95</w:t>
            </w:r>
          </w:p>
        </w:tc>
        <w:tc>
          <w:tcPr>
            <w:tcW w:w="932" w:type="dxa"/>
            <w:shd w:val="clear" w:color="auto" w:fill="auto"/>
            <w:noWrap/>
            <w:vAlign w:val="bottom"/>
            <w:hideMark/>
          </w:tcPr>
          <w:p w14:paraId="1739162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13.52</w:t>
            </w:r>
          </w:p>
        </w:tc>
      </w:tr>
      <w:tr w:rsidR="00F421BC" w:rsidRPr="009A428B" w14:paraId="54B257E8" w14:textId="77777777" w:rsidTr="00A95DEC">
        <w:trPr>
          <w:trHeight w:val="325"/>
        </w:trPr>
        <w:tc>
          <w:tcPr>
            <w:tcW w:w="1798" w:type="dxa"/>
            <w:shd w:val="clear" w:color="auto" w:fill="auto"/>
            <w:noWrap/>
            <w:vAlign w:val="bottom"/>
            <w:hideMark/>
          </w:tcPr>
          <w:p w14:paraId="2009F83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Sweden</w:t>
            </w:r>
          </w:p>
        </w:tc>
        <w:tc>
          <w:tcPr>
            <w:tcW w:w="932" w:type="dxa"/>
            <w:shd w:val="clear" w:color="auto" w:fill="auto"/>
            <w:noWrap/>
            <w:vAlign w:val="bottom"/>
            <w:hideMark/>
          </w:tcPr>
          <w:p w14:paraId="3983B32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5.06</w:t>
            </w:r>
          </w:p>
        </w:tc>
        <w:tc>
          <w:tcPr>
            <w:tcW w:w="932" w:type="dxa"/>
            <w:shd w:val="clear" w:color="auto" w:fill="auto"/>
            <w:noWrap/>
            <w:vAlign w:val="bottom"/>
            <w:hideMark/>
          </w:tcPr>
          <w:p w14:paraId="0C7C342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8.04</w:t>
            </w:r>
          </w:p>
        </w:tc>
        <w:tc>
          <w:tcPr>
            <w:tcW w:w="932" w:type="dxa"/>
            <w:shd w:val="clear" w:color="auto" w:fill="auto"/>
            <w:noWrap/>
            <w:vAlign w:val="bottom"/>
            <w:hideMark/>
          </w:tcPr>
          <w:p w14:paraId="13E9D8B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7.49</w:t>
            </w:r>
          </w:p>
        </w:tc>
        <w:tc>
          <w:tcPr>
            <w:tcW w:w="932" w:type="dxa"/>
            <w:shd w:val="clear" w:color="auto" w:fill="auto"/>
            <w:noWrap/>
            <w:vAlign w:val="bottom"/>
            <w:hideMark/>
          </w:tcPr>
          <w:p w14:paraId="0D2AE94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12.29</w:t>
            </w:r>
          </w:p>
        </w:tc>
        <w:tc>
          <w:tcPr>
            <w:tcW w:w="932" w:type="dxa"/>
            <w:shd w:val="clear" w:color="auto" w:fill="auto"/>
            <w:noWrap/>
            <w:vAlign w:val="bottom"/>
            <w:hideMark/>
          </w:tcPr>
          <w:p w14:paraId="4244F12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10.52</w:t>
            </w:r>
          </w:p>
        </w:tc>
        <w:tc>
          <w:tcPr>
            <w:tcW w:w="932" w:type="dxa"/>
            <w:shd w:val="clear" w:color="auto" w:fill="auto"/>
            <w:noWrap/>
            <w:vAlign w:val="bottom"/>
            <w:hideMark/>
          </w:tcPr>
          <w:p w14:paraId="69E38E1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17.50</w:t>
            </w:r>
          </w:p>
        </w:tc>
        <w:tc>
          <w:tcPr>
            <w:tcW w:w="932" w:type="dxa"/>
            <w:shd w:val="clear" w:color="auto" w:fill="auto"/>
            <w:noWrap/>
            <w:vAlign w:val="bottom"/>
            <w:hideMark/>
          </w:tcPr>
          <w:p w14:paraId="59CF52B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14.54</w:t>
            </w:r>
          </w:p>
        </w:tc>
        <w:tc>
          <w:tcPr>
            <w:tcW w:w="932" w:type="dxa"/>
            <w:shd w:val="clear" w:color="auto" w:fill="auto"/>
            <w:noWrap/>
            <w:vAlign w:val="bottom"/>
            <w:hideMark/>
          </w:tcPr>
          <w:p w14:paraId="01A5E798"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24.12</w:t>
            </w:r>
          </w:p>
        </w:tc>
      </w:tr>
      <w:tr w:rsidR="00F421BC" w:rsidRPr="009A428B" w14:paraId="79452C26" w14:textId="77777777" w:rsidTr="00A95DEC">
        <w:trPr>
          <w:trHeight w:val="325"/>
        </w:trPr>
        <w:tc>
          <w:tcPr>
            <w:tcW w:w="1798" w:type="dxa"/>
            <w:shd w:val="clear" w:color="auto" w:fill="auto"/>
            <w:noWrap/>
            <w:vAlign w:val="bottom"/>
            <w:hideMark/>
          </w:tcPr>
          <w:p w14:paraId="58E3472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Denmark</w:t>
            </w:r>
          </w:p>
        </w:tc>
        <w:tc>
          <w:tcPr>
            <w:tcW w:w="932" w:type="dxa"/>
            <w:shd w:val="clear" w:color="auto" w:fill="auto"/>
            <w:noWrap/>
            <w:vAlign w:val="bottom"/>
            <w:hideMark/>
          </w:tcPr>
          <w:p w14:paraId="222CBF3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4.22</w:t>
            </w:r>
          </w:p>
        </w:tc>
        <w:tc>
          <w:tcPr>
            <w:tcW w:w="932" w:type="dxa"/>
            <w:shd w:val="clear" w:color="auto" w:fill="auto"/>
            <w:noWrap/>
            <w:vAlign w:val="bottom"/>
            <w:hideMark/>
          </w:tcPr>
          <w:p w14:paraId="29B06EF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7.47</w:t>
            </w:r>
          </w:p>
        </w:tc>
        <w:tc>
          <w:tcPr>
            <w:tcW w:w="932" w:type="dxa"/>
            <w:shd w:val="clear" w:color="auto" w:fill="auto"/>
            <w:noWrap/>
            <w:vAlign w:val="bottom"/>
            <w:hideMark/>
          </w:tcPr>
          <w:p w14:paraId="709E706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6.40</w:t>
            </w:r>
          </w:p>
        </w:tc>
        <w:tc>
          <w:tcPr>
            <w:tcW w:w="932" w:type="dxa"/>
            <w:shd w:val="clear" w:color="auto" w:fill="auto"/>
            <w:noWrap/>
            <w:vAlign w:val="bottom"/>
            <w:hideMark/>
          </w:tcPr>
          <w:p w14:paraId="094AAB0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11.57</w:t>
            </w:r>
          </w:p>
        </w:tc>
        <w:tc>
          <w:tcPr>
            <w:tcW w:w="932" w:type="dxa"/>
            <w:shd w:val="clear" w:color="auto" w:fill="auto"/>
            <w:noWrap/>
            <w:vAlign w:val="bottom"/>
            <w:hideMark/>
          </w:tcPr>
          <w:p w14:paraId="109031B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9.18</w:t>
            </w:r>
          </w:p>
        </w:tc>
        <w:tc>
          <w:tcPr>
            <w:tcW w:w="932" w:type="dxa"/>
            <w:shd w:val="clear" w:color="auto" w:fill="auto"/>
            <w:noWrap/>
            <w:vAlign w:val="bottom"/>
            <w:hideMark/>
          </w:tcPr>
          <w:p w14:paraId="06D105B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16.64</w:t>
            </w:r>
          </w:p>
        </w:tc>
        <w:tc>
          <w:tcPr>
            <w:tcW w:w="932" w:type="dxa"/>
            <w:shd w:val="clear" w:color="auto" w:fill="auto"/>
            <w:noWrap/>
            <w:vAlign w:val="bottom"/>
            <w:hideMark/>
          </w:tcPr>
          <w:p w14:paraId="1BD50018"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12.93</w:t>
            </w:r>
          </w:p>
        </w:tc>
        <w:tc>
          <w:tcPr>
            <w:tcW w:w="932" w:type="dxa"/>
            <w:shd w:val="clear" w:color="auto" w:fill="auto"/>
            <w:noWrap/>
            <w:vAlign w:val="bottom"/>
            <w:hideMark/>
          </w:tcPr>
          <w:p w14:paraId="55715E8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23.14</w:t>
            </w:r>
          </w:p>
        </w:tc>
      </w:tr>
      <w:tr w:rsidR="00F421BC" w:rsidRPr="009A428B" w14:paraId="6F58F7D3" w14:textId="77777777" w:rsidTr="00A95DEC">
        <w:trPr>
          <w:trHeight w:val="325"/>
        </w:trPr>
        <w:tc>
          <w:tcPr>
            <w:tcW w:w="1798" w:type="dxa"/>
            <w:shd w:val="clear" w:color="auto" w:fill="auto"/>
            <w:noWrap/>
            <w:vAlign w:val="bottom"/>
            <w:hideMark/>
          </w:tcPr>
          <w:p w14:paraId="6DBBA15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Finland</w:t>
            </w:r>
          </w:p>
        </w:tc>
        <w:tc>
          <w:tcPr>
            <w:tcW w:w="932" w:type="dxa"/>
            <w:shd w:val="clear" w:color="auto" w:fill="auto"/>
            <w:noWrap/>
            <w:vAlign w:val="bottom"/>
            <w:hideMark/>
          </w:tcPr>
          <w:p w14:paraId="52298A6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1.72</w:t>
            </w:r>
          </w:p>
        </w:tc>
        <w:tc>
          <w:tcPr>
            <w:tcW w:w="932" w:type="dxa"/>
            <w:shd w:val="clear" w:color="auto" w:fill="auto"/>
            <w:noWrap/>
            <w:vAlign w:val="bottom"/>
            <w:hideMark/>
          </w:tcPr>
          <w:p w14:paraId="1EAF7EB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4.31</w:t>
            </w:r>
          </w:p>
        </w:tc>
        <w:tc>
          <w:tcPr>
            <w:tcW w:w="932" w:type="dxa"/>
            <w:shd w:val="clear" w:color="auto" w:fill="auto"/>
            <w:noWrap/>
            <w:vAlign w:val="bottom"/>
            <w:hideMark/>
          </w:tcPr>
          <w:p w14:paraId="4D9DF306"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2.93</w:t>
            </w:r>
          </w:p>
        </w:tc>
        <w:tc>
          <w:tcPr>
            <w:tcW w:w="932" w:type="dxa"/>
            <w:shd w:val="clear" w:color="auto" w:fill="auto"/>
            <w:noWrap/>
            <w:vAlign w:val="bottom"/>
            <w:hideMark/>
          </w:tcPr>
          <w:p w14:paraId="3F81094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7.32</w:t>
            </w:r>
          </w:p>
        </w:tc>
        <w:tc>
          <w:tcPr>
            <w:tcW w:w="932" w:type="dxa"/>
            <w:shd w:val="clear" w:color="auto" w:fill="auto"/>
            <w:noWrap/>
            <w:vAlign w:val="bottom"/>
            <w:hideMark/>
          </w:tcPr>
          <w:p w14:paraId="544D589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4.66</w:t>
            </w:r>
          </w:p>
        </w:tc>
        <w:tc>
          <w:tcPr>
            <w:tcW w:w="932" w:type="dxa"/>
            <w:shd w:val="clear" w:color="auto" w:fill="auto"/>
            <w:noWrap/>
            <w:vAlign w:val="bottom"/>
            <w:hideMark/>
          </w:tcPr>
          <w:p w14:paraId="364D298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11.37</w:t>
            </w:r>
          </w:p>
        </w:tc>
        <w:tc>
          <w:tcPr>
            <w:tcW w:w="932" w:type="dxa"/>
            <w:shd w:val="clear" w:color="auto" w:fill="auto"/>
            <w:noWrap/>
            <w:vAlign w:val="bottom"/>
            <w:hideMark/>
          </w:tcPr>
          <w:p w14:paraId="493EACC8"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7.24</w:t>
            </w:r>
          </w:p>
        </w:tc>
        <w:tc>
          <w:tcPr>
            <w:tcW w:w="932" w:type="dxa"/>
            <w:shd w:val="clear" w:color="auto" w:fill="auto"/>
            <w:noWrap/>
            <w:vAlign w:val="bottom"/>
            <w:hideMark/>
          </w:tcPr>
          <w:p w14:paraId="047749DB"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16.96</w:t>
            </w:r>
          </w:p>
        </w:tc>
      </w:tr>
      <w:tr w:rsidR="00F421BC" w:rsidRPr="009A428B" w14:paraId="49D2BD03" w14:textId="77777777" w:rsidTr="00A95DEC">
        <w:trPr>
          <w:trHeight w:val="325"/>
        </w:trPr>
        <w:tc>
          <w:tcPr>
            <w:tcW w:w="1798" w:type="dxa"/>
            <w:shd w:val="clear" w:color="auto" w:fill="auto"/>
            <w:noWrap/>
            <w:vAlign w:val="bottom"/>
            <w:hideMark/>
          </w:tcPr>
          <w:p w14:paraId="43284C5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Germany</w:t>
            </w:r>
          </w:p>
        </w:tc>
        <w:tc>
          <w:tcPr>
            <w:tcW w:w="932" w:type="dxa"/>
            <w:shd w:val="clear" w:color="auto" w:fill="auto"/>
            <w:noWrap/>
            <w:vAlign w:val="bottom"/>
            <w:hideMark/>
          </w:tcPr>
          <w:p w14:paraId="7C068F9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1.40</w:t>
            </w:r>
          </w:p>
        </w:tc>
        <w:tc>
          <w:tcPr>
            <w:tcW w:w="932" w:type="dxa"/>
            <w:shd w:val="clear" w:color="auto" w:fill="auto"/>
            <w:noWrap/>
            <w:vAlign w:val="bottom"/>
            <w:hideMark/>
          </w:tcPr>
          <w:p w14:paraId="22BF346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0.08</w:t>
            </w:r>
          </w:p>
        </w:tc>
        <w:tc>
          <w:tcPr>
            <w:tcW w:w="932" w:type="dxa"/>
            <w:shd w:val="clear" w:color="auto" w:fill="auto"/>
            <w:noWrap/>
            <w:vAlign w:val="bottom"/>
            <w:hideMark/>
          </w:tcPr>
          <w:p w14:paraId="1C491A6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2.44</w:t>
            </w:r>
          </w:p>
        </w:tc>
        <w:tc>
          <w:tcPr>
            <w:tcW w:w="932" w:type="dxa"/>
            <w:shd w:val="clear" w:color="auto" w:fill="auto"/>
            <w:noWrap/>
            <w:vAlign w:val="bottom"/>
            <w:hideMark/>
          </w:tcPr>
          <w:p w14:paraId="3B87690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0.26</w:t>
            </w:r>
          </w:p>
        </w:tc>
        <w:tc>
          <w:tcPr>
            <w:tcW w:w="932" w:type="dxa"/>
            <w:shd w:val="clear" w:color="auto" w:fill="auto"/>
            <w:noWrap/>
            <w:vAlign w:val="bottom"/>
            <w:hideMark/>
          </w:tcPr>
          <w:p w14:paraId="54D498B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3.98</w:t>
            </w:r>
          </w:p>
        </w:tc>
        <w:tc>
          <w:tcPr>
            <w:tcW w:w="932" w:type="dxa"/>
            <w:shd w:val="clear" w:color="auto" w:fill="auto"/>
            <w:noWrap/>
            <w:vAlign w:val="bottom"/>
            <w:hideMark/>
          </w:tcPr>
          <w:p w14:paraId="7AF48624"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0.71</w:t>
            </w:r>
          </w:p>
        </w:tc>
        <w:tc>
          <w:tcPr>
            <w:tcW w:w="932" w:type="dxa"/>
            <w:shd w:val="clear" w:color="auto" w:fill="auto"/>
            <w:noWrap/>
            <w:vAlign w:val="bottom"/>
            <w:hideMark/>
          </w:tcPr>
          <w:p w14:paraId="11CAFA1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6.32</w:t>
            </w:r>
          </w:p>
        </w:tc>
        <w:tc>
          <w:tcPr>
            <w:tcW w:w="932" w:type="dxa"/>
            <w:shd w:val="clear" w:color="auto" w:fill="auto"/>
            <w:noWrap/>
            <w:vAlign w:val="bottom"/>
            <w:hideMark/>
          </w:tcPr>
          <w:p w14:paraId="32E9AE5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1.78</w:t>
            </w:r>
          </w:p>
        </w:tc>
      </w:tr>
      <w:tr w:rsidR="00F421BC" w:rsidRPr="009A428B" w14:paraId="6D97AD27" w14:textId="77777777" w:rsidTr="00A95DEC">
        <w:trPr>
          <w:trHeight w:val="325"/>
        </w:trPr>
        <w:tc>
          <w:tcPr>
            <w:tcW w:w="1798" w:type="dxa"/>
            <w:shd w:val="clear" w:color="auto" w:fill="auto"/>
            <w:noWrap/>
            <w:vAlign w:val="bottom"/>
            <w:hideMark/>
          </w:tcPr>
          <w:p w14:paraId="34AA01C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Greece</w:t>
            </w:r>
          </w:p>
        </w:tc>
        <w:tc>
          <w:tcPr>
            <w:tcW w:w="932" w:type="dxa"/>
            <w:shd w:val="clear" w:color="auto" w:fill="auto"/>
            <w:noWrap/>
            <w:vAlign w:val="bottom"/>
            <w:hideMark/>
          </w:tcPr>
          <w:p w14:paraId="7912A8B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0.51</w:t>
            </w:r>
          </w:p>
        </w:tc>
        <w:tc>
          <w:tcPr>
            <w:tcW w:w="932" w:type="dxa"/>
            <w:shd w:val="clear" w:color="auto" w:fill="auto"/>
            <w:noWrap/>
            <w:vAlign w:val="bottom"/>
            <w:hideMark/>
          </w:tcPr>
          <w:p w14:paraId="5BDEB57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0.97</w:t>
            </w:r>
          </w:p>
        </w:tc>
        <w:tc>
          <w:tcPr>
            <w:tcW w:w="932" w:type="dxa"/>
            <w:shd w:val="clear" w:color="auto" w:fill="auto"/>
            <w:noWrap/>
            <w:vAlign w:val="bottom"/>
            <w:hideMark/>
          </w:tcPr>
          <w:p w14:paraId="09E4795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1.02</w:t>
            </w:r>
          </w:p>
        </w:tc>
        <w:tc>
          <w:tcPr>
            <w:tcW w:w="932" w:type="dxa"/>
            <w:shd w:val="clear" w:color="auto" w:fill="auto"/>
            <w:noWrap/>
            <w:vAlign w:val="bottom"/>
            <w:hideMark/>
          </w:tcPr>
          <w:p w14:paraId="1D10A42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2.11</w:t>
            </w:r>
          </w:p>
        </w:tc>
        <w:tc>
          <w:tcPr>
            <w:tcW w:w="932" w:type="dxa"/>
            <w:shd w:val="clear" w:color="auto" w:fill="auto"/>
            <w:noWrap/>
            <w:vAlign w:val="bottom"/>
            <w:hideMark/>
          </w:tcPr>
          <w:p w14:paraId="22771F7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1.85</w:t>
            </w:r>
          </w:p>
        </w:tc>
        <w:tc>
          <w:tcPr>
            <w:tcW w:w="932" w:type="dxa"/>
            <w:shd w:val="clear" w:color="auto" w:fill="auto"/>
            <w:noWrap/>
            <w:vAlign w:val="bottom"/>
            <w:hideMark/>
          </w:tcPr>
          <w:p w14:paraId="4EFE5518"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4.04</w:t>
            </w:r>
          </w:p>
        </w:tc>
        <w:tc>
          <w:tcPr>
            <w:tcW w:w="932" w:type="dxa"/>
            <w:shd w:val="clear" w:color="auto" w:fill="auto"/>
            <w:noWrap/>
            <w:vAlign w:val="bottom"/>
            <w:hideMark/>
          </w:tcPr>
          <w:p w14:paraId="0E135D2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3.29</w:t>
            </w:r>
          </w:p>
        </w:tc>
        <w:tc>
          <w:tcPr>
            <w:tcW w:w="932" w:type="dxa"/>
            <w:shd w:val="clear" w:color="auto" w:fill="auto"/>
            <w:noWrap/>
            <w:vAlign w:val="bottom"/>
            <w:hideMark/>
          </w:tcPr>
          <w:p w14:paraId="17E9561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7.29</w:t>
            </w:r>
          </w:p>
        </w:tc>
      </w:tr>
      <w:tr w:rsidR="00F421BC" w:rsidRPr="009A428B" w14:paraId="786D7425" w14:textId="77777777" w:rsidTr="00A95DEC">
        <w:trPr>
          <w:trHeight w:val="325"/>
        </w:trPr>
        <w:tc>
          <w:tcPr>
            <w:tcW w:w="1798" w:type="dxa"/>
            <w:shd w:val="clear" w:color="auto" w:fill="auto"/>
            <w:noWrap/>
            <w:vAlign w:val="bottom"/>
            <w:hideMark/>
          </w:tcPr>
          <w:p w14:paraId="6EDAAF58" w14:textId="5FFD225E" w:rsidR="00F421BC" w:rsidRPr="009A428B" w:rsidRDefault="00F421BC" w:rsidP="009130ED">
            <w:pPr>
              <w:spacing w:after="80" w:line="240" w:lineRule="exact"/>
              <w:rPr>
                <w:rFonts w:eastAsia="Times New Roman"/>
                <w:color w:val="000000"/>
                <w:sz w:val="20"/>
                <w:szCs w:val="20"/>
              </w:rPr>
            </w:pPr>
            <w:r w:rsidRPr="009A428B">
              <w:rPr>
                <w:rFonts w:eastAsia="Times New Roman"/>
                <w:color w:val="000000"/>
                <w:sz w:val="20"/>
                <w:szCs w:val="20"/>
              </w:rPr>
              <w:t>EU</w:t>
            </w:r>
          </w:p>
        </w:tc>
        <w:tc>
          <w:tcPr>
            <w:tcW w:w="932" w:type="dxa"/>
            <w:shd w:val="clear" w:color="auto" w:fill="auto"/>
            <w:noWrap/>
            <w:vAlign w:val="bottom"/>
            <w:hideMark/>
          </w:tcPr>
          <w:p w14:paraId="5685BEA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9.80</w:t>
            </w:r>
          </w:p>
        </w:tc>
        <w:tc>
          <w:tcPr>
            <w:tcW w:w="932" w:type="dxa"/>
            <w:shd w:val="clear" w:color="auto" w:fill="auto"/>
            <w:noWrap/>
            <w:vAlign w:val="bottom"/>
            <w:hideMark/>
          </w:tcPr>
          <w:p w14:paraId="63F0C87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6.21</w:t>
            </w:r>
          </w:p>
        </w:tc>
        <w:tc>
          <w:tcPr>
            <w:tcW w:w="932" w:type="dxa"/>
            <w:shd w:val="clear" w:color="auto" w:fill="auto"/>
            <w:noWrap/>
            <w:vAlign w:val="bottom"/>
            <w:hideMark/>
          </w:tcPr>
          <w:p w14:paraId="274854D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13.65</w:t>
            </w:r>
          </w:p>
        </w:tc>
        <w:tc>
          <w:tcPr>
            <w:tcW w:w="932" w:type="dxa"/>
            <w:shd w:val="clear" w:color="auto" w:fill="auto"/>
            <w:noWrap/>
            <w:vAlign w:val="bottom"/>
            <w:hideMark/>
          </w:tcPr>
          <w:p w14:paraId="1CEC093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10.00</w:t>
            </w:r>
          </w:p>
        </w:tc>
        <w:tc>
          <w:tcPr>
            <w:tcW w:w="932" w:type="dxa"/>
            <w:shd w:val="clear" w:color="auto" w:fill="auto"/>
            <w:noWrap/>
            <w:vAlign w:val="bottom"/>
            <w:hideMark/>
          </w:tcPr>
          <w:p w14:paraId="26292FA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17.03</w:t>
            </w:r>
          </w:p>
        </w:tc>
        <w:tc>
          <w:tcPr>
            <w:tcW w:w="932" w:type="dxa"/>
            <w:shd w:val="clear" w:color="auto" w:fill="auto"/>
            <w:noWrap/>
            <w:vAlign w:val="bottom"/>
            <w:hideMark/>
          </w:tcPr>
          <w:p w14:paraId="15171DB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14.23</w:t>
            </w:r>
          </w:p>
        </w:tc>
        <w:tc>
          <w:tcPr>
            <w:tcW w:w="932" w:type="dxa"/>
            <w:shd w:val="clear" w:color="auto" w:fill="auto"/>
            <w:noWrap/>
            <w:vAlign w:val="bottom"/>
            <w:hideMark/>
          </w:tcPr>
          <w:p w14:paraId="32DC112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21.21</w:t>
            </w:r>
          </w:p>
        </w:tc>
        <w:tc>
          <w:tcPr>
            <w:tcW w:w="932" w:type="dxa"/>
            <w:shd w:val="clear" w:color="auto" w:fill="auto"/>
            <w:noWrap/>
            <w:vAlign w:val="bottom"/>
            <w:hideMark/>
          </w:tcPr>
          <w:p w14:paraId="3F8BFCC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19.78</w:t>
            </w:r>
          </w:p>
        </w:tc>
      </w:tr>
      <w:tr w:rsidR="00F421BC" w:rsidRPr="009A428B" w14:paraId="0042EF61" w14:textId="77777777" w:rsidTr="00A95DEC">
        <w:trPr>
          <w:trHeight w:val="325"/>
        </w:trPr>
        <w:tc>
          <w:tcPr>
            <w:tcW w:w="1798" w:type="dxa"/>
            <w:shd w:val="clear" w:color="auto" w:fill="auto"/>
            <w:noWrap/>
            <w:vAlign w:val="bottom"/>
            <w:hideMark/>
          </w:tcPr>
          <w:p w14:paraId="46DCBFC6"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USA</w:t>
            </w:r>
          </w:p>
        </w:tc>
        <w:tc>
          <w:tcPr>
            <w:tcW w:w="932" w:type="dxa"/>
            <w:shd w:val="clear" w:color="auto" w:fill="auto"/>
            <w:noWrap/>
            <w:vAlign w:val="bottom"/>
            <w:hideMark/>
          </w:tcPr>
          <w:p w14:paraId="1DB5E6E6"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25.47</w:t>
            </w:r>
          </w:p>
        </w:tc>
        <w:tc>
          <w:tcPr>
            <w:tcW w:w="932" w:type="dxa"/>
            <w:shd w:val="clear" w:color="auto" w:fill="auto"/>
            <w:noWrap/>
            <w:vAlign w:val="bottom"/>
            <w:hideMark/>
          </w:tcPr>
          <w:p w14:paraId="6667C278"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7.17</w:t>
            </w:r>
          </w:p>
        </w:tc>
        <w:tc>
          <w:tcPr>
            <w:tcW w:w="932" w:type="dxa"/>
            <w:shd w:val="clear" w:color="auto" w:fill="auto"/>
            <w:noWrap/>
            <w:vAlign w:val="bottom"/>
            <w:hideMark/>
          </w:tcPr>
          <w:p w14:paraId="359C694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30.48</w:t>
            </w:r>
          </w:p>
        </w:tc>
        <w:tc>
          <w:tcPr>
            <w:tcW w:w="932" w:type="dxa"/>
            <w:shd w:val="clear" w:color="auto" w:fill="auto"/>
            <w:noWrap/>
            <w:vAlign w:val="bottom"/>
            <w:hideMark/>
          </w:tcPr>
          <w:p w14:paraId="4C7FDA61"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11.18</w:t>
            </w:r>
          </w:p>
        </w:tc>
        <w:tc>
          <w:tcPr>
            <w:tcW w:w="932" w:type="dxa"/>
            <w:shd w:val="clear" w:color="auto" w:fill="auto"/>
            <w:noWrap/>
            <w:vAlign w:val="bottom"/>
            <w:hideMark/>
          </w:tcPr>
          <w:p w14:paraId="5FE9924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35.63</w:t>
            </w:r>
          </w:p>
        </w:tc>
        <w:tc>
          <w:tcPr>
            <w:tcW w:w="932" w:type="dxa"/>
            <w:shd w:val="clear" w:color="auto" w:fill="auto"/>
            <w:noWrap/>
            <w:vAlign w:val="bottom"/>
            <w:hideMark/>
          </w:tcPr>
          <w:p w14:paraId="1E9E96B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16.17</w:t>
            </w:r>
          </w:p>
        </w:tc>
        <w:tc>
          <w:tcPr>
            <w:tcW w:w="932" w:type="dxa"/>
            <w:shd w:val="clear" w:color="auto" w:fill="auto"/>
            <w:noWrap/>
            <w:vAlign w:val="bottom"/>
            <w:hideMark/>
          </w:tcPr>
          <w:p w14:paraId="45090F9F"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41.32</w:t>
            </w:r>
          </w:p>
        </w:tc>
        <w:tc>
          <w:tcPr>
            <w:tcW w:w="932" w:type="dxa"/>
            <w:shd w:val="clear" w:color="auto" w:fill="auto"/>
            <w:noWrap/>
            <w:vAlign w:val="bottom"/>
            <w:hideMark/>
          </w:tcPr>
          <w:p w14:paraId="07A92D7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22.61</w:t>
            </w:r>
          </w:p>
        </w:tc>
      </w:tr>
      <w:tr w:rsidR="00F421BC" w:rsidRPr="009A428B" w14:paraId="49166B92" w14:textId="77777777" w:rsidTr="00A95DEC">
        <w:trPr>
          <w:trHeight w:val="325"/>
        </w:trPr>
        <w:tc>
          <w:tcPr>
            <w:tcW w:w="1798" w:type="dxa"/>
            <w:shd w:val="clear" w:color="auto" w:fill="auto"/>
            <w:noWrap/>
            <w:vAlign w:val="bottom"/>
            <w:hideMark/>
          </w:tcPr>
          <w:p w14:paraId="22E5FCF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Canada</w:t>
            </w:r>
          </w:p>
        </w:tc>
        <w:tc>
          <w:tcPr>
            <w:tcW w:w="932" w:type="dxa"/>
            <w:shd w:val="clear" w:color="auto" w:fill="auto"/>
            <w:noWrap/>
            <w:vAlign w:val="bottom"/>
            <w:hideMark/>
          </w:tcPr>
          <w:p w14:paraId="6C27117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7.84</w:t>
            </w:r>
          </w:p>
        </w:tc>
        <w:tc>
          <w:tcPr>
            <w:tcW w:w="932" w:type="dxa"/>
            <w:shd w:val="clear" w:color="auto" w:fill="auto"/>
            <w:noWrap/>
            <w:vAlign w:val="bottom"/>
            <w:hideMark/>
          </w:tcPr>
          <w:p w14:paraId="31D6A44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5.63</w:t>
            </w:r>
          </w:p>
        </w:tc>
        <w:tc>
          <w:tcPr>
            <w:tcW w:w="932" w:type="dxa"/>
            <w:shd w:val="clear" w:color="auto" w:fill="auto"/>
            <w:noWrap/>
            <w:vAlign w:val="bottom"/>
            <w:hideMark/>
          </w:tcPr>
          <w:p w14:paraId="126916BB"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10.96</w:t>
            </w:r>
          </w:p>
        </w:tc>
        <w:tc>
          <w:tcPr>
            <w:tcW w:w="932" w:type="dxa"/>
            <w:shd w:val="clear" w:color="auto" w:fill="auto"/>
            <w:noWrap/>
            <w:vAlign w:val="bottom"/>
            <w:hideMark/>
          </w:tcPr>
          <w:p w14:paraId="6499BCB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9.13</w:t>
            </w:r>
          </w:p>
        </w:tc>
        <w:tc>
          <w:tcPr>
            <w:tcW w:w="932" w:type="dxa"/>
            <w:shd w:val="clear" w:color="auto" w:fill="auto"/>
            <w:noWrap/>
            <w:vAlign w:val="bottom"/>
            <w:hideMark/>
          </w:tcPr>
          <w:p w14:paraId="78EA1FA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14.65</w:t>
            </w:r>
          </w:p>
        </w:tc>
        <w:tc>
          <w:tcPr>
            <w:tcW w:w="932" w:type="dxa"/>
            <w:shd w:val="clear" w:color="auto" w:fill="auto"/>
            <w:noWrap/>
            <w:vAlign w:val="bottom"/>
            <w:hideMark/>
          </w:tcPr>
          <w:p w14:paraId="48CC718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13.67</w:t>
            </w:r>
          </w:p>
        </w:tc>
        <w:tc>
          <w:tcPr>
            <w:tcW w:w="932" w:type="dxa"/>
            <w:shd w:val="clear" w:color="auto" w:fill="auto"/>
            <w:noWrap/>
            <w:vAlign w:val="bottom"/>
            <w:hideMark/>
          </w:tcPr>
          <w:p w14:paraId="662D170C"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19.30</w:t>
            </w:r>
          </w:p>
        </w:tc>
        <w:tc>
          <w:tcPr>
            <w:tcW w:w="932" w:type="dxa"/>
            <w:shd w:val="clear" w:color="auto" w:fill="auto"/>
            <w:noWrap/>
            <w:vAlign w:val="bottom"/>
            <w:hideMark/>
          </w:tcPr>
          <w:p w14:paraId="6ADA059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19.71</w:t>
            </w:r>
          </w:p>
        </w:tc>
      </w:tr>
      <w:tr w:rsidR="00F421BC" w:rsidRPr="009A428B" w14:paraId="3162E2EB" w14:textId="77777777" w:rsidTr="00A95DEC">
        <w:trPr>
          <w:trHeight w:val="325"/>
        </w:trPr>
        <w:tc>
          <w:tcPr>
            <w:tcW w:w="1798" w:type="dxa"/>
            <w:shd w:val="clear" w:color="auto" w:fill="auto"/>
            <w:noWrap/>
            <w:vAlign w:val="bottom"/>
            <w:hideMark/>
          </w:tcPr>
          <w:p w14:paraId="7C298C8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Mexico</w:t>
            </w:r>
          </w:p>
        </w:tc>
        <w:tc>
          <w:tcPr>
            <w:tcW w:w="932" w:type="dxa"/>
            <w:shd w:val="clear" w:color="auto" w:fill="auto"/>
            <w:noWrap/>
            <w:vAlign w:val="bottom"/>
            <w:hideMark/>
          </w:tcPr>
          <w:p w14:paraId="6101756E"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2.62</w:t>
            </w:r>
          </w:p>
        </w:tc>
        <w:tc>
          <w:tcPr>
            <w:tcW w:w="932" w:type="dxa"/>
            <w:shd w:val="clear" w:color="auto" w:fill="auto"/>
            <w:noWrap/>
            <w:vAlign w:val="bottom"/>
            <w:hideMark/>
          </w:tcPr>
          <w:p w14:paraId="1002DB0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0.50</w:t>
            </w:r>
          </w:p>
        </w:tc>
        <w:tc>
          <w:tcPr>
            <w:tcW w:w="932" w:type="dxa"/>
            <w:shd w:val="clear" w:color="auto" w:fill="auto"/>
            <w:noWrap/>
            <w:vAlign w:val="bottom"/>
            <w:hideMark/>
          </w:tcPr>
          <w:p w14:paraId="589840E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4.23</w:t>
            </w:r>
          </w:p>
        </w:tc>
        <w:tc>
          <w:tcPr>
            <w:tcW w:w="932" w:type="dxa"/>
            <w:shd w:val="clear" w:color="auto" w:fill="auto"/>
            <w:noWrap/>
            <w:vAlign w:val="bottom"/>
            <w:hideMark/>
          </w:tcPr>
          <w:p w14:paraId="63FEB6B5"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1.22</w:t>
            </w:r>
          </w:p>
        </w:tc>
        <w:tc>
          <w:tcPr>
            <w:tcW w:w="932" w:type="dxa"/>
            <w:shd w:val="clear" w:color="auto" w:fill="auto"/>
            <w:noWrap/>
            <w:vAlign w:val="bottom"/>
            <w:hideMark/>
          </w:tcPr>
          <w:p w14:paraId="3DB420F6"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6.40</w:t>
            </w:r>
          </w:p>
        </w:tc>
        <w:tc>
          <w:tcPr>
            <w:tcW w:w="932" w:type="dxa"/>
            <w:shd w:val="clear" w:color="auto" w:fill="auto"/>
            <w:noWrap/>
            <w:vAlign w:val="bottom"/>
            <w:hideMark/>
          </w:tcPr>
          <w:p w14:paraId="426143B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2.56</w:t>
            </w:r>
          </w:p>
        </w:tc>
        <w:tc>
          <w:tcPr>
            <w:tcW w:w="932" w:type="dxa"/>
            <w:shd w:val="clear" w:color="auto" w:fill="auto"/>
            <w:noWrap/>
            <w:vAlign w:val="bottom"/>
            <w:hideMark/>
          </w:tcPr>
          <w:p w14:paraId="286FFF8D"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7.65</w:t>
            </w:r>
          </w:p>
        </w:tc>
        <w:tc>
          <w:tcPr>
            <w:tcW w:w="932" w:type="dxa"/>
            <w:shd w:val="clear" w:color="auto" w:fill="auto"/>
            <w:noWrap/>
            <w:vAlign w:val="bottom"/>
            <w:hideMark/>
          </w:tcPr>
          <w:p w14:paraId="6BAB9AEA"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3.96</w:t>
            </w:r>
          </w:p>
        </w:tc>
      </w:tr>
      <w:tr w:rsidR="00F421BC" w:rsidRPr="009A428B" w14:paraId="3E93D4CE" w14:textId="77777777" w:rsidTr="00A95DEC">
        <w:trPr>
          <w:trHeight w:val="325"/>
        </w:trPr>
        <w:tc>
          <w:tcPr>
            <w:tcW w:w="1798" w:type="dxa"/>
            <w:shd w:val="clear" w:color="auto" w:fill="auto"/>
            <w:noWrap/>
            <w:vAlign w:val="bottom"/>
            <w:hideMark/>
          </w:tcPr>
          <w:p w14:paraId="39A81807" w14:textId="06AD03D5" w:rsidR="00F421BC" w:rsidRPr="009A428B" w:rsidRDefault="00F421BC" w:rsidP="009130ED">
            <w:pPr>
              <w:spacing w:after="80" w:line="240" w:lineRule="exact"/>
              <w:rPr>
                <w:rFonts w:eastAsia="Times New Roman"/>
                <w:color w:val="000000"/>
                <w:sz w:val="20"/>
                <w:szCs w:val="20"/>
              </w:rPr>
            </w:pPr>
            <w:r w:rsidRPr="009A428B">
              <w:rPr>
                <w:rFonts w:eastAsia="Times New Roman"/>
                <w:color w:val="000000"/>
                <w:sz w:val="20"/>
                <w:szCs w:val="20"/>
              </w:rPr>
              <w:t>NAFTA</w:t>
            </w:r>
          </w:p>
        </w:tc>
        <w:tc>
          <w:tcPr>
            <w:tcW w:w="932" w:type="dxa"/>
            <w:shd w:val="clear" w:color="auto" w:fill="auto"/>
            <w:noWrap/>
            <w:vAlign w:val="bottom"/>
            <w:hideMark/>
          </w:tcPr>
          <w:p w14:paraId="00AEA96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11.98</w:t>
            </w:r>
          </w:p>
        </w:tc>
        <w:tc>
          <w:tcPr>
            <w:tcW w:w="932" w:type="dxa"/>
            <w:shd w:val="clear" w:color="auto" w:fill="auto"/>
            <w:noWrap/>
            <w:vAlign w:val="bottom"/>
            <w:hideMark/>
          </w:tcPr>
          <w:p w14:paraId="47A57443"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4.43</w:t>
            </w:r>
          </w:p>
        </w:tc>
        <w:tc>
          <w:tcPr>
            <w:tcW w:w="932" w:type="dxa"/>
            <w:shd w:val="clear" w:color="auto" w:fill="auto"/>
            <w:noWrap/>
            <w:vAlign w:val="bottom"/>
            <w:hideMark/>
          </w:tcPr>
          <w:p w14:paraId="316A0FC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15.22</w:t>
            </w:r>
          </w:p>
        </w:tc>
        <w:tc>
          <w:tcPr>
            <w:tcW w:w="932" w:type="dxa"/>
            <w:shd w:val="clear" w:color="auto" w:fill="auto"/>
            <w:noWrap/>
            <w:vAlign w:val="bottom"/>
            <w:hideMark/>
          </w:tcPr>
          <w:p w14:paraId="4CEAFCC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7.18</w:t>
            </w:r>
          </w:p>
        </w:tc>
        <w:tc>
          <w:tcPr>
            <w:tcW w:w="932" w:type="dxa"/>
            <w:shd w:val="clear" w:color="auto" w:fill="auto"/>
            <w:noWrap/>
            <w:vAlign w:val="bottom"/>
            <w:hideMark/>
          </w:tcPr>
          <w:p w14:paraId="6DF08229"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18.89</w:t>
            </w:r>
          </w:p>
        </w:tc>
        <w:tc>
          <w:tcPr>
            <w:tcW w:w="932" w:type="dxa"/>
            <w:shd w:val="clear" w:color="auto" w:fill="auto"/>
            <w:noWrap/>
            <w:vAlign w:val="bottom"/>
            <w:hideMark/>
          </w:tcPr>
          <w:p w14:paraId="3EBE4240"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10.80</w:t>
            </w:r>
          </w:p>
        </w:tc>
        <w:tc>
          <w:tcPr>
            <w:tcW w:w="932" w:type="dxa"/>
            <w:shd w:val="clear" w:color="auto" w:fill="auto"/>
            <w:noWrap/>
            <w:vAlign w:val="bottom"/>
            <w:hideMark/>
          </w:tcPr>
          <w:p w14:paraId="240065B2"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22.76</w:t>
            </w:r>
          </w:p>
        </w:tc>
        <w:tc>
          <w:tcPr>
            <w:tcW w:w="932" w:type="dxa"/>
            <w:shd w:val="clear" w:color="auto" w:fill="auto"/>
            <w:noWrap/>
            <w:vAlign w:val="bottom"/>
            <w:hideMark/>
          </w:tcPr>
          <w:p w14:paraId="3E4A2C57" w14:textId="77777777" w:rsidR="00F421BC" w:rsidRPr="009A428B" w:rsidRDefault="00F421BC" w:rsidP="009130ED">
            <w:pPr>
              <w:spacing w:after="80" w:line="240" w:lineRule="exact"/>
              <w:jc w:val="center"/>
              <w:rPr>
                <w:rFonts w:eastAsia="Times New Roman"/>
                <w:color w:val="000000"/>
                <w:sz w:val="20"/>
                <w:szCs w:val="20"/>
              </w:rPr>
            </w:pPr>
            <w:r w:rsidRPr="009A428B">
              <w:rPr>
                <w:rFonts w:eastAsia="Times New Roman"/>
                <w:color w:val="000000"/>
                <w:sz w:val="20"/>
                <w:szCs w:val="20"/>
              </w:rPr>
              <w:t>15.43</w:t>
            </w:r>
          </w:p>
        </w:tc>
      </w:tr>
    </w:tbl>
    <w:p w14:paraId="78ABE139" w14:textId="77777777" w:rsidR="001A458E" w:rsidRPr="009A428B" w:rsidRDefault="001A458E" w:rsidP="009130ED">
      <w:pPr>
        <w:spacing w:after="80" w:line="240" w:lineRule="exact"/>
        <w:jc w:val="both"/>
        <w:rPr>
          <w:sz w:val="20"/>
          <w:szCs w:val="20"/>
        </w:rPr>
      </w:pPr>
      <w:r w:rsidRPr="009A428B">
        <w:rPr>
          <w:sz w:val="20"/>
          <w:szCs w:val="20"/>
        </w:rPr>
        <w:t>Source: authors’ calculation</w:t>
      </w:r>
    </w:p>
    <w:p w14:paraId="097C13E8" w14:textId="1DC6ADAC" w:rsidR="00984EB7" w:rsidRPr="009A428B" w:rsidRDefault="00FC10EC" w:rsidP="009130ED">
      <w:pPr>
        <w:spacing w:after="80" w:line="240" w:lineRule="exact"/>
        <w:jc w:val="both"/>
        <w:rPr>
          <w:sz w:val="20"/>
          <w:szCs w:val="20"/>
        </w:rPr>
      </w:pPr>
      <w:r w:rsidRPr="009A428B">
        <w:rPr>
          <w:sz w:val="20"/>
          <w:szCs w:val="20"/>
        </w:rPr>
        <w:t xml:space="preserve">Table 2 shows estimated </w:t>
      </w:r>
      <w:r w:rsidR="001B3B01" w:rsidRPr="009A428B">
        <w:rPr>
          <w:sz w:val="20"/>
          <w:szCs w:val="20"/>
        </w:rPr>
        <w:t>efficiencies</w:t>
      </w:r>
      <w:r w:rsidRPr="009A428B">
        <w:rPr>
          <w:sz w:val="20"/>
          <w:szCs w:val="20"/>
        </w:rPr>
        <w:t xml:space="preserve"> of Vietnam’s trade with EU and NAFTA members.</w:t>
      </w:r>
      <w:r w:rsidR="007744AB" w:rsidRPr="009A428B">
        <w:rPr>
          <w:sz w:val="20"/>
          <w:szCs w:val="20"/>
        </w:rPr>
        <w:t xml:space="preserve"> The general picture is that the trade </w:t>
      </w:r>
      <w:r w:rsidR="001B3B01" w:rsidRPr="009A428B">
        <w:rPr>
          <w:sz w:val="20"/>
          <w:szCs w:val="20"/>
        </w:rPr>
        <w:t>efficiencies</w:t>
      </w:r>
      <w:r w:rsidR="007744AB" w:rsidRPr="009A428B">
        <w:rPr>
          <w:sz w:val="20"/>
          <w:szCs w:val="20"/>
        </w:rPr>
        <w:t xml:space="preserve"> with both EU and NAFTA did not exceed one half</w:t>
      </w:r>
      <w:r w:rsidR="00483C8A" w:rsidRPr="009A428B">
        <w:rPr>
          <w:sz w:val="20"/>
          <w:szCs w:val="20"/>
        </w:rPr>
        <w:t xml:space="preserve"> of </w:t>
      </w:r>
      <w:r w:rsidR="001B3B01" w:rsidRPr="009A428B">
        <w:rPr>
          <w:sz w:val="20"/>
          <w:szCs w:val="20"/>
        </w:rPr>
        <w:t>maximum level</w:t>
      </w:r>
      <w:r w:rsidR="007744AB" w:rsidRPr="009A428B">
        <w:rPr>
          <w:sz w:val="20"/>
          <w:szCs w:val="20"/>
        </w:rPr>
        <w:t>.</w:t>
      </w:r>
      <w:r w:rsidR="00246C8D" w:rsidRPr="009A428B">
        <w:rPr>
          <w:sz w:val="20"/>
          <w:szCs w:val="20"/>
        </w:rPr>
        <w:t xml:space="preserve"> </w:t>
      </w:r>
      <w:r w:rsidR="00350C8B" w:rsidRPr="009A428B">
        <w:rPr>
          <w:sz w:val="20"/>
          <w:szCs w:val="20"/>
        </w:rPr>
        <w:t xml:space="preserve">Among EU members, the trade </w:t>
      </w:r>
      <w:r w:rsidR="001B3B01" w:rsidRPr="009A428B">
        <w:rPr>
          <w:sz w:val="20"/>
          <w:szCs w:val="20"/>
        </w:rPr>
        <w:t>efficiencies</w:t>
      </w:r>
      <w:r w:rsidR="00350C8B" w:rsidRPr="009A428B">
        <w:rPr>
          <w:sz w:val="20"/>
          <w:szCs w:val="20"/>
        </w:rPr>
        <w:t xml:space="preserve"> with Netherland, UK, Belgium and France are 47.57%, 33.59%, 44.08% and 27.65% respectively for exports and 28.99%</w:t>
      </w:r>
      <w:r w:rsidR="002D5979" w:rsidRPr="009A428B">
        <w:rPr>
          <w:sz w:val="20"/>
          <w:szCs w:val="20"/>
        </w:rPr>
        <w:t xml:space="preserve">, 17.65%, </w:t>
      </w:r>
      <w:r w:rsidR="00350C8B" w:rsidRPr="009A428B">
        <w:rPr>
          <w:sz w:val="20"/>
          <w:szCs w:val="20"/>
        </w:rPr>
        <w:t>32.72%</w:t>
      </w:r>
      <w:r w:rsidR="002D5979" w:rsidRPr="009A428B">
        <w:rPr>
          <w:sz w:val="20"/>
          <w:szCs w:val="20"/>
        </w:rPr>
        <w:t xml:space="preserve"> and 35.55% </w:t>
      </w:r>
      <w:r w:rsidR="008A65AA" w:rsidRPr="009A428B">
        <w:rPr>
          <w:sz w:val="20"/>
          <w:szCs w:val="20"/>
        </w:rPr>
        <w:t xml:space="preserve">respectively </w:t>
      </w:r>
      <w:r w:rsidR="002D5979" w:rsidRPr="009A428B">
        <w:rPr>
          <w:sz w:val="20"/>
          <w:szCs w:val="20"/>
        </w:rPr>
        <w:t>for imports.</w:t>
      </w:r>
      <w:r w:rsidR="00A471B7" w:rsidRPr="009A428B">
        <w:rPr>
          <w:sz w:val="20"/>
          <w:szCs w:val="20"/>
        </w:rPr>
        <w:t xml:space="preserve"> The remainders are below </w:t>
      </w:r>
      <w:r w:rsidR="00904B02" w:rsidRPr="009A428B">
        <w:rPr>
          <w:sz w:val="20"/>
          <w:szCs w:val="20"/>
        </w:rPr>
        <w:t>one fourth.</w:t>
      </w:r>
      <w:r w:rsidR="005C1B71" w:rsidRPr="009A428B">
        <w:rPr>
          <w:sz w:val="20"/>
          <w:szCs w:val="20"/>
        </w:rPr>
        <w:t xml:space="preserve"> By 2015, Vietnam’s trade </w:t>
      </w:r>
      <w:r w:rsidR="005F443E" w:rsidRPr="009A428B">
        <w:rPr>
          <w:sz w:val="20"/>
          <w:szCs w:val="20"/>
        </w:rPr>
        <w:t>efficiency</w:t>
      </w:r>
      <w:r w:rsidR="005C1B71" w:rsidRPr="009A428B">
        <w:rPr>
          <w:sz w:val="20"/>
          <w:szCs w:val="20"/>
        </w:rPr>
        <w:t xml:space="preserve"> with EU are </w:t>
      </w:r>
      <w:r w:rsidR="008E58B5" w:rsidRPr="009A428B">
        <w:rPr>
          <w:sz w:val="20"/>
          <w:szCs w:val="20"/>
        </w:rPr>
        <w:t xml:space="preserve">on average </w:t>
      </w:r>
      <w:r w:rsidR="005C1B71" w:rsidRPr="009A428B">
        <w:rPr>
          <w:sz w:val="20"/>
          <w:szCs w:val="20"/>
        </w:rPr>
        <w:t>21.21% and 19.78% for exports and import respectively.</w:t>
      </w:r>
      <w:r w:rsidR="009C36D3" w:rsidRPr="009A428B">
        <w:rPr>
          <w:sz w:val="20"/>
          <w:szCs w:val="20"/>
        </w:rPr>
        <w:t xml:space="preserve"> The </w:t>
      </w:r>
      <w:r w:rsidR="005F443E" w:rsidRPr="009A428B">
        <w:rPr>
          <w:sz w:val="20"/>
          <w:szCs w:val="20"/>
        </w:rPr>
        <w:t>efficiency</w:t>
      </w:r>
      <w:r w:rsidR="009C36D3" w:rsidRPr="009A428B">
        <w:rPr>
          <w:sz w:val="20"/>
          <w:szCs w:val="20"/>
        </w:rPr>
        <w:t xml:space="preserve"> with NAFTA’</w:t>
      </w:r>
      <w:r w:rsidR="00D77457" w:rsidRPr="009A428B">
        <w:rPr>
          <w:sz w:val="20"/>
          <w:szCs w:val="20"/>
        </w:rPr>
        <w:t>s member</w:t>
      </w:r>
      <w:r w:rsidR="009C36D3" w:rsidRPr="009A428B">
        <w:rPr>
          <w:sz w:val="20"/>
          <w:szCs w:val="20"/>
        </w:rPr>
        <w:t xml:space="preserve"> countries is also moderate.</w:t>
      </w:r>
      <w:r w:rsidR="00705F25" w:rsidRPr="009A428B">
        <w:rPr>
          <w:sz w:val="20"/>
          <w:szCs w:val="20"/>
        </w:rPr>
        <w:t xml:space="preserve"> In spite of the largest foreign market of Vietnam’s goods (US 21.8%; China 12.4%, Japan 8.3%</w:t>
      </w:r>
      <w:r w:rsidR="0074352B" w:rsidRPr="009A428B">
        <w:rPr>
          <w:sz w:val="20"/>
          <w:szCs w:val="20"/>
        </w:rPr>
        <w:t xml:space="preserve"> in 2015</w:t>
      </w:r>
      <w:r w:rsidR="00705F25" w:rsidRPr="009A428B">
        <w:rPr>
          <w:sz w:val="20"/>
          <w:szCs w:val="20"/>
        </w:rPr>
        <w:t>)</w:t>
      </w:r>
      <w:r w:rsidR="0074352B" w:rsidRPr="009A428B">
        <w:rPr>
          <w:sz w:val="20"/>
          <w:szCs w:val="20"/>
        </w:rPr>
        <w:t>,</w:t>
      </w:r>
      <w:r w:rsidR="003E7429" w:rsidRPr="009A428B">
        <w:rPr>
          <w:sz w:val="20"/>
          <w:szCs w:val="20"/>
        </w:rPr>
        <w:t xml:space="preserve"> the export </w:t>
      </w:r>
      <w:r w:rsidR="005F443E" w:rsidRPr="009A428B">
        <w:rPr>
          <w:sz w:val="20"/>
          <w:szCs w:val="20"/>
        </w:rPr>
        <w:t>efficiency</w:t>
      </w:r>
      <w:r w:rsidR="003E7429" w:rsidRPr="009A428B">
        <w:rPr>
          <w:sz w:val="20"/>
          <w:szCs w:val="20"/>
        </w:rPr>
        <w:t xml:space="preserve"> </w:t>
      </w:r>
      <w:r w:rsidR="00A67E5E" w:rsidRPr="009A428B">
        <w:rPr>
          <w:sz w:val="20"/>
          <w:szCs w:val="20"/>
        </w:rPr>
        <w:t>was</w:t>
      </w:r>
      <w:r w:rsidR="003E7429" w:rsidRPr="009A428B">
        <w:rPr>
          <w:sz w:val="20"/>
          <w:szCs w:val="20"/>
        </w:rPr>
        <w:t xml:space="preserve"> only 41.32%. </w:t>
      </w:r>
      <w:r w:rsidR="00A67E5E" w:rsidRPr="009A428B">
        <w:rPr>
          <w:sz w:val="20"/>
          <w:szCs w:val="20"/>
        </w:rPr>
        <w:t xml:space="preserve">Trade </w:t>
      </w:r>
      <w:r w:rsidR="005F443E" w:rsidRPr="009A428B">
        <w:rPr>
          <w:sz w:val="20"/>
          <w:szCs w:val="20"/>
        </w:rPr>
        <w:t>efficiency</w:t>
      </w:r>
      <w:r w:rsidR="00FD7F73" w:rsidRPr="009A428B">
        <w:rPr>
          <w:sz w:val="20"/>
          <w:szCs w:val="20"/>
        </w:rPr>
        <w:t xml:space="preserve"> with Canada and Mexico were less </w:t>
      </w:r>
      <w:r w:rsidR="00214A77" w:rsidRPr="009A428B">
        <w:rPr>
          <w:sz w:val="20"/>
          <w:szCs w:val="20"/>
        </w:rPr>
        <w:t>than 20% and 10% of the maximum respectively.</w:t>
      </w:r>
      <w:r w:rsidR="00A55FE2" w:rsidRPr="009A428B">
        <w:rPr>
          <w:sz w:val="20"/>
          <w:szCs w:val="20"/>
        </w:rPr>
        <w:t xml:space="preserve"> The estimation expresses that, if man-made trade resistances could be abolished, Vietnam’s trade with those countries surveyed could grow </w:t>
      </w:r>
      <w:r w:rsidR="005057E7" w:rsidRPr="009A428B">
        <w:rPr>
          <w:sz w:val="20"/>
          <w:szCs w:val="20"/>
        </w:rPr>
        <w:t>substantially</w:t>
      </w:r>
      <w:r w:rsidR="00A55FE2" w:rsidRPr="009A428B">
        <w:rPr>
          <w:sz w:val="20"/>
          <w:szCs w:val="20"/>
        </w:rPr>
        <w:t>.</w:t>
      </w:r>
    </w:p>
    <w:p w14:paraId="76A182A3" w14:textId="1E961F62" w:rsidR="00B66FF0" w:rsidRPr="00012545" w:rsidRDefault="008C6A80" w:rsidP="009130ED">
      <w:pPr>
        <w:spacing w:after="80" w:line="240" w:lineRule="exact"/>
        <w:jc w:val="both"/>
        <w:rPr>
          <w:b/>
          <w:sz w:val="20"/>
          <w:szCs w:val="20"/>
        </w:rPr>
      </w:pPr>
      <w:r>
        <w:rPr>
          <w:b/>
          <w:sz w:val="20"/>
          <w:szCs w:val="20"/>
        </w:rPr>
        <w:t>5</w:t>
      </w:r>
      <w:r w:rsidR="00B66FF0" w:rsidRPr="00012545">
        <w:rPr>
          <w:b/>
          <w:sz w:val="20"/>
          <w:szCs w:val="20"/>
        </w:rPr>
        <w:t xml:space="preserve">. Trade </w:t>
      </w:r>
      <w:r w:rsidR="001B3B01" w:rsidRPr="00012545">
        <w:rPr>
          <w:b/>
          <w:sz w:val="20"/>
          <w:szCs w:val="20"/>
        </w:rPr>
        <w:t>Efficiencies</w:t>
      </w:r>
      <w:r w:rsidR="00B66FF0" w:rsidRPr="00012545">
        <w:rPr>
          <w:b/>
          <w:sz w:val="20"/>
          <w:szCs w:val="20"/>
        </w:rPr>
        <w:t xml:space="preserve"> and </w:t>
      </w:r>
      <w:r w:rsidR="00E41C4C">
        <w:rPr>
          <w:b/>
          <w:sz w:val="20"/>
          <w:szCs w:val="20"/>
        </w:rPr>
        <w:t>A</w:t>
      </w:r>
      <w:r w:rsidR="00B66FF0" w:rsidRPr="00012545">
        <w:rPr>
          <w:b/>
          <w:sz w:val="20"/>
          <w:szCs w:val="20"/>
        </w:rPr>
        <w:t>FTA</w:t>
      </w:r>
    </w:p>
    <w:p w14:paraId="42C82FE2" w14:textId="4FCD48D1" w:rsidR="00B02923" w:rsidRPr="009A428B" w:rsidRDefault="00776BDB" w:rsidP="009130ED">
      <w:pPr>
        <w:spacing w:after="80" w:line="240" w:lineRule="exact"/>
        <w:jc w:val="both"/>
        <w:rPr>
          <w:sz w:val="20"/>
          <w:szCs w:val="20"/>
        </w:rPr>
      </w:pPr>
      <w:r w:rsidRPr="009A428B">
        <w:rPr>
          <w:sz w:val="20"/>
          <w:szCs w:val="20"/>
        </w:rPr>
        <w:t xml:space="preserve">Our estimation implies that, Vietnam’s trade attained very high </w:t>
      </w:r>
      <w:r w:rsidR="005F443E" w:rsidRPr="009A428B">
        <w:rPr>
          <w:sz w:val="20"/>
          <w:szCs w:val="20"/>
        </w:rPr>
        <w:t>efficiency</w:t>
      </w:r>
      <w:r w:rsidRPr="009A428B">
        <w:rPr>
          <w:sz w:val="20"/>
          <w:szCs w:val="20"/>
        </w:rPr>
        <w:t xml:space="preserve"> with a few countries such</w:t>
      </w:r>
      <w:r w:rsidR="00DA14E3">
        <w:rPr>
          <w:sz w:val="20"/>
          <w:szCs w:val="20"/>
        </w:rPr>
        <w:t xml:space="preserve"> as Singapore, whereas performing</w:t>
      </w:r>
      <w:r w:rsidRPr="009A428B">
        <w:rPr>
          <w:sz w:val="20"/>
          <w:szCs w:val="20"/>
        </w:rPr>
        <w:t xml:space="preserve"> at very low level with most of its trading partner</w:t>
      </w:r>
      <w:r w:rsidR="00EB12C7" w:rsidRPr="009A428B">
        <w:rPr>
          <w:sz w:val="20"/>
          <w:szCs w:val="20"/>
        </w:rPr>
        <w:t>s, such as China</w:t>
      </w:r>
      <w:r w:rsidR="00E00546" w:rsidRPr="009A428B">
        <w:rPr>
          <w:sz w:val="20"/>
          <w:szCs w:val="20"/>
        </w:rPr>
        <w:t>,</w:t>
      </w:r>
      <w:r w:rsidR="00EB12C7" w:rsidRPr="009A428B">
        <w:rPr>
          <w:sz w:val="20"/>
          <w:szCs w:val="20"/>
        </w:rPr>
        <w:t xml:space="preserve"> </w:t>
      </w:r>
      <w:r w:rsidR="00E00546" w:rsidRPr="009A428B">
        <w:rPr>
          <w:sz w:val="20"/>
          <w:szCs w:val="20"/>
        </w:rPr>
        <w:t xml:space="preserve">India, </w:t>
      </w:r>
      <w:r w:rsidR="00B57D14" w:rsidRPr="009A428B">
        <w:rPr>
          <w:sz w:val="20"/>
          <w:szCs w:val="20"/>
        </w:rPr>
        <w:t>and Canada.</w:t>
      </w:r>
      <w:r w:rsidR="009E3FB1" w:rsidRPr="009A428B">
        <w:rPr>
          <w:sz w:val="20"/>
          <w:szCs w:val="20"/>
        </w:rPr>
        <w:t xml:space="preserve"> In order to enhance the </w:t>
      </w:r>
      <w:r w:rsidR="005F443E" w:rsidRPr="009A428B">
        <w:rPr>
          <w:sz w:val="20"/>
          <w:szCs w:val="20"/>
        </w:rPr>
        <w:t>efficiency</w:t>
      </w:r>
      <w:r w:rsidR="009E3FB1" w:rsidRPr="009A428B">
        <w:rPr>
          <w:sz w:val="20"/>
          <w:szCs w:val="20"/>
        </w:rPr>
        <w:t xml:space="preserve"> of Vietnam’s trade, it is vital to </w:t>
      </w:r>
      <w:r w:rsidR="00023C4B">
        <w:rPr>
          <w:sz w:val="20"/>
          <w:szCs w:val="20"/>
        </w:rPr>
        <w:t>identify</w:t>
      </w:r>
      <w:r w:rsidR="009E3FB1" w:rsidRPr="009A428B">
        <w:rPr>
          <w:sz w:val="20"/>
          <w:szCs w:val="20"/>
        </w:rPr>
        <w:t xml:space="preserve"> driving </w:t>
      </w:r>
      <w:r w:rsidR="00180623" w:rsidRPr="009A428B">
        <w:rPr>
          <w:sz w:val="20"/>
          <w:szCs w:val="20"/>
        </w:rPr>
        <w:t>determinants</w:t>
      </w:r>
      <w:r w:rsidR="009E3FB1" w:rsidRPr="009A428B">
        <w:rPr>
          <w:sz w:val="20"/>
          <w:szCs w:val="20"/>
        </w:rPr>
        <w:t xml:space="preserve"> </w:t>
      </w:r>
      <w:r w:rsidR="00E312A0">
        <w:rPr>
          <w:sz w:val="20"/>
          <w:szCs w:val="20"/>
        </w:rPr>
        <w:t xml:space="preserve">in </w:t>
      </w:r>
      <w:r w:rsidR="008E486D" w:rsidRPr="009A428B">
        <w:rPr>
          <w:sz w:val="20"/>
          <w:szCs w:val="20"/>
        </w:rPr>
        <w:t>diminishing</w:t>
      </w:r>
      <w:r w:rsidR="00A076C2">
        <w:rPr>
          <w:sz w:val="20"/>
          <w:szCs w:val="20"/>
        </w:rPr>
        <w:t xml:space="preserve"> the</w:t>
      </w:r>
      <w:r w:rsidR="009E3FB1" w:rsidRPr="009A428B">
        <w:rPr>
          <w:sz w:val="20"/>
          <w:szCs w:val="20"/>
        </w:rPr>
        <w:t xml:space="preserve"> </w:t>
      </w:r>
      <w:r w:rsidR="005F443E" w:rsidRPr="009A428B">
        <w:rPr>
          <w:sz w:val="20"/>
          <w:szCs w:val="20"/>
        </w:rPr>
        <w:t>efficiency</w:t>
      </w:r>
      <w:r w:rsidR="009E3FB1" w:rsidRPr="009A428B">
        <w:rPr>
          <w:sz w:val="20"/>
          <w:szCs w:val="20"/>
        </w:rPr>
        <w:t xml:space="preserve"> </w:t>
      </w:r>
      <w:r w:rsidR="009E3FB1" w:rsidRPr="009A428B">
        <w:rPr>
          <w:sz w:val="20"/>
          <w:szCs w:val="20"/>
        </w:rPr>
        <w:lastRenderedPageBreak/>
        <w:t>level.</w:t>
      </w:r>
      <w:r w:rsidR="009B6C08" w:rsidRPr="009A428B">
        <w:rPr>
          <w:sz w:val="20"/>
          <w:szCs w:val="20"/>
        </w:rPr>
        <w:t xml:space="preserve"> In this part, we employ regression analysis to </w:t>
      </w:r>
      <w:r w:rsidR="008A6964" w:rsidRPr="009A428B">
        <w:rPr>
          <w:sz w:val="20"/>
          <w:szCs w:val="20"/>
        </w:rPr>
        <w:t>discover</w:t>
      </w:r>
      <w:r w:rsidR="009B6C08" w:rsidRPr="009A428B">
        <w:rPr>
          <w:sz w:val="20"/>
          <w:szCs w:val="20"/>
        </w:rPr>
        <w:t xml:space="preserve"> those determinants.</w:t>
      </w:r>
      <w:r w:rsidR="008A6964" w:rsidRPr="009A428B">
        <w:rPr>
          <w:sz w:val="20"/>
          <w:szCs w:val="20"/>
        </w:rPr>
        <w:t xml:space="preserve"> We consider the following regression models:</w:t>
      </w:r>
    </w:p>
    <w:p w14:paraId="4F05769E" w14:textId="4CC895CB" w:rsidR="001C62DC" w:rsidRPr="009A428B" w:rsidRDefault="00797F1E" w:rsidP="009130ED">
      <w:pPr>
        <w:spacing w:after="80" w:line="240" w:lineRule="exact"/>
        <w:jc w:val="both"/>
        <w:rPr>
          <w:sz w:val="20"/>
          <w:szCs w:val="20"/>
        </w:rPr>
      </w:pPr>
      <w:r>
        <w:rPr>
          <w:sz w:val="20"/>
          <w:szCs w:val="20"/>
        </w:rPr>
        <w:t xml:space="preserve">        </w:t>
      </w:r>
      <m:oMath>
        <m:sSub>
          <m:sSubPr>
            <m:ctrlPr>
              <w:rPr>
                <w:rFonts w:ascii="Cambria Math" w:hAnsi="Cambria Math"/>
                <w:sz w:val="20"/>
                <w:szCs w:val="20"/>
              </w:rPr>
            </m:ctrlPr>
          </m:sSubPr>
          <m:e>
            <m:r>
              <w:rPr>
                <w:rFonts w:ascii="Cambria Math" w:hAnsi="Cambria Math"/>
                <w:sz w:val="20"/>
                <w:szCs w:val="20"/>
              </w:rPr>
              <m:t>TRE</m:t>
            </m:r>
            <m:r>
              <m:rPr>
                <m:sty m:val="p"/>
              </m:rPr>
              <w:rPr>
                <w:rFonts w:ascii="Cambria Math" w:hAnsi="Cambria Math"/>
                <w:sz w:val="20"/>
                <w:szCs w:val="20"/>
              </w:rPr>
              <m:t>_</m:t>
            </m:r>
            <m:r>
              <w:rPr>
                <w:rFonts w:ascii="Cambria Math" w:hAnsi="Cambria Math"/>
                <w:sz w:val="20"/>
                <w:szCs w:val="20"/>
              </w:rPr>
              <m:t>Export</m:t>
            </m:r>
          </m:e>
          <m:sub>
            <m:r>
              <w:rPr>
                <w:rFonts w:ascii="Cambria Math" w:hAnsi="Cambria Math"/>
                <w:sz w:val="20"/>
                <w:szCs w:val="20"/>
              </w:rPr>
              <m:t>it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 xml:space="preserve">0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 xml:space="preserve">1 </m:t>
            </m:r>
          </m:sub>
        </m:sSub>
        <m:sSub>
          <m:sSubPr>
            <m:ctrlPr>
              <w:rPr>
                <w:rFonts w:ascii="Cambria Math" w:hAnsi="Cambria Math"/>
                <w:sz w:val="20"/>
                <w:szCs w:val="20"/>
              </w:rPr>
            </m:ctrlPr>
          </m:sSubPr>
          <m:e>
            <m:r>
              <w:rPr>
                <w:rFonts w:ascii="Cambria Math" w:hAnsi="Cambria Math"/>
                <w:sz w:val="20"/>
                <w:szCs w:val="20"/>
              </w:rPr>
              <m:t>ASEAN</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EF</m:t>
            </m:r>
          </m:e>
          <m:sub>
            <m:r>
              <w:rPr>
                <w:rFonts w:ascii="Cambria Math" w:hAnsi="Cambria Math"/>
                <w:sz w:val="20"/>
                <w:szCs w:val="20"/>
              </w:rPr>
              <m:t>it</m:t>
            </m:r>
            <m:r>
              <m:rPr>
                <m:sty m:val="p"/>
              </m:rPr>
              <w:rPr>
                <w:rFonts w:ascii="Cambria Math" w:hAnsi="Cambria Math"/>
                <w:sz w:val="20"/>
                <w:szCs w:val="20"/>
              </w:rPr>
              <m:t xml:space="preserve"> </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3</m:t>
            </m:r>
          </m:sub>
        </m:sSub>
        <m:sSub>
          <m:sSubPr>
            <m:ctrlPr>
              <w:rPr>
                <w:rFonts w:ascii="Cambria Math" w:hAnsi="Cambria Math"/>
                <w:sz w:val="20"/>
                <w:szCs w:val="20"/>
              </w:rPr>
            </m:ctrlPr>
          </m:sSubPr>
          <m:e>
            <m:r>
              <w:rPr>
                <w:rFonts w:ascii="Cambria Math" w:hAnsi="Cambria Math"/>
                <w:sz w:val="20"/>
                <w:szCs w:val="20"/>
              </w:rPr>
              <m:t>TR</m:t>
            </m:r>
          </m:e>
          <m:sub>
            <m:r>
              <w:rPr>
                <w:rFonts w:ascii="Cambria Math" w:hAnsi="Cambria Math"/>
                <w:sz w:val="20"/>
                <w:szCs w:val="20"/>
              </w:rPr>
              <m:t>it</m:t>
            </m:r>
            <m:r>
              <m:rPr>
                <m:sty m:val="p"/>
              </m:rPr>
              <w:rPr>
                <w:rFonts w:ascii="Cambria Math" w:hAnsi="Cambria Math"/>
                <w:sz w:val="20"/>
                <w:szCs w:val="20"/>
              </w:rPr>
              <m:t xml:space="preserve"> </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 xml:space="preserve">4 </m:t>
            </m:r>
          </m:sub>
        </m:sSub>
        <m:sSub>
          <m:sSubPr>
            <m:ctrlPr>
              <w:rPr>
                <w:rFonts w:ascii="Cambria Math" w:hAnsi="Cambria Math"/>
                <w:sz w:val="20"/>
                <w:szCs w:val="20"/>
              </w:rPr>
            </m:ctrlPr>
          </m:sSubPr>
          <m:e>
            <m:r>
              <w:rPr>
                <w:rFonts w:ascii="Cambria Math" w:hAnsi="Cambria Math"/>
                <w:sz w:val="20"/>
                <w:szCs w:val="20"/>
              </w:rPr>
              <m:t>LnREERVN</m:t>
            </m:r>
          </m:e>
          <m:sub>
            <m:r>
              <w:rPr>
                <w:rFonts w:ascii="Cambria Math" w:hAnsi="Cambria Math"/>
                <w:sz w:val="20"/>
                <w:szCs w:val="20"/>
              </w:rPr>
              <m:t>it</m:t>
            </m:r>
            <m:r>
              <m:rPr>
                <m:sty m:val="p"/>
              </m:rPr>
              <w:rPr>
                <w:rFonts w:ascii="Cambria Math" w:hAnsi="Cambria Math"/>
                <w:sz w:val="20"/>
                <w:szCs w:val="20"/>
              </w:rPr>
              <m:t xml:space="preserve">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ε</m:t>
            </m:r>
          </m:e>
          <m:sub>
            <m:r>
              <m:rPr>
                <m:sty m:val="p"/>
              </m:rPr>
              <w:rPr>
                <w:rFonts w:ascii="Cambria Math" w:hAnsi="Cambria Math"/>
                <w:sz w:val="20"/>
                <w:szCs w:val="20"/>
              </w:rPr>
              <m:t>1</m:t>
            </m:r>
            <m:r>
              <w:rPr>
                <w:rFonts w:ascii="Cambria Math" w:hAnsi="Cambria Math"/>
                <w:sz w:val="20"/>
                <w:szCs w:val="20"/>
              </w:rPr>
              <m:t>t</m:t>
            </m:r>
          </m:sub>
        </m:sSub>
      </m:oMath>
      <w:r w:rsidR="001C62DC" w:rsidRPr="009A428B">
        <w:rPr>
          <w:sz w:val="20"/>
          <w:szCs w:val="20"/>
        </w:rPr>
        <w:t xml:space="preserve">                                          (6)</w:t>
      </w:r>
    </w:p>
    <w:p w14:paraId="1FA45D72" w14:textId="1F8A8418" w:rsidR="001C62DC" w:rsidRPr="009A428B" w:rsidRDefault="00F02937" w:rsidP="009130ED">
      <w:pPr>
        <w:spacing w:after="80" w:line="240" w:lineRule="exact"/>
        <w:jc w:val="both"/>
        <w:rPr>
          <w:sz w:val="20"/>
          <w:szCs w:val="20"/>
        </w:rPr>
      </w:pPr>
      <w:r>
        <w:rPr>
          <w:sz w:val="20"/>
          <w:szCs w:val="20"/>
        </w:rPr>
        <w:t xml:space="preserve">       </w:t>
      </w:r>
      <m:oMath>
        <m:sSub>
          <m:sSubPr>
            <m:ctrlPr>
              <w:rPr>
                <w:rFonts w:ascii="Cambria Math" w:hAnsi="Cambria Math"/>
                <w:sz w:val="20"/>
                <w:szCs w:val="20"/>
              </w:rPr>
            </m:ctrlPr>
          </m:sSubPr>
          <m:e>
            <m:r>
              <w:rPr>
                <w:rFonts w:ascii="Cambria Math" w:hAnsi="Cambria Math"/>
                <w:sz w:val="20"/>
                <w:szCs w:val="20"/>
              </w:rPr>
              <m:t>TRE</m:t>
            </m:r>
            <m:r>
              <m:rPr>
                <m:sty m:val="p"/>
              </m:rPr>
              <w:rPr>
                <w:rFonts w:ascii="Cambria Math" w:hAnsi="Cambria Math"/>
                <w:sz w:val="20"/>
                <w:szCs w:val="20"/>
              </w:rPr>
              <m:t>_</m:t>
            </m:r>
            <m:r>
              <w:rPr>
                <w:rFonts w:ascii="Cambria Math" w:hAnsi="Cambria Math"/>
                <w:sz w:val="20"/>
                <w:szCs w:val="20"/>
              </w:rPr>
              <m:t>Import</m:t>
            </m:r>
          </m:e>
          <m:sub>
            <m:r>
              <w:rPr>
                <w:rFonts w:ascii="Cambria Math" w:hAnsi="Cambria Math"/>
                <w:sz w:val="20"/>
                <w:szCs w:val="20"/>
              </w:rPr>
              <m:t>it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 xml:space="preserve">0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 xml:space="preserve">1 </m:t>
            </m:r>
          </m:sub>
        </m:sSub>
        <m:sSub>
          <m:sSubPr>
            <m:ctrlPr>
              <w:rPr>
                <w:rFonts w:ascii="Cambria Math" w:hAnsi="Cambria Math"/>
                <w:sz w:val="20"/>
                <w:szCs w:val="20"/>
              </w:rPr>
            </m:ctrlPr>
          </m:sSubPr>
          <m:e>
            <m:r>
              <w:rPr>
                <w:rFonts w:ascii="Cambria Math" w:hAnsi="Cambria Math"/>
                <w:sz w:val="20"/>
                <w:szCs w:val="20"/>
              </w:rPr>
              <m:t>ASEAN</m:t>
            </m:r>
          </m:e>
          <m:sub>
            <m:r>
              <w:rPr>
                <w:rFonts w:ascii="Cambria Math" w:hAnsi="Cambria Math"/>
                <w:sz w:val="20"/>
                <w:szCs w:val="20"/>
              </w:rPr>
              <m:t>i</m:t>
            </m:r>
            <m:r>
              <m:rPr>
                <m:sty m:val="p"/>
              </m:rPr>
              <w:rPr>
                <w:rFonts w:ascii="Cambria Math" w:hAnsi="Cambria Math"/>
                <w:sz w:val="20"/>
                <w:szCs w:val="20"/>
              </w:rPr>
              <m:t xml:space="preserve">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 xml:space="preserve">2 </m:t>
            </m:r>
          </m:sub>
        </m:sSub>
        <m:sSub>
          <m:sSubPr>
            <m:ctrlPr>
              <w:rPr>
                <w:rFonts w:ascii="Cambria Math" w:hAnsi="Cambria Math"/>
                <w:sz w:val="20"/>
                <w:szCs w:val="20"/>
              </w:rPr>
            </m:ctrlPr>
          </m:sSubPr>
          <m:e>
            <m:r>
              <w:rPr>
                <w:rFonts w:ascii="Cambria Math" w:hAnsi="Cambria Math"/>
                <w:sz w:val="20"/>
                <w:szCs w:val="20"/>
              </w:rPr>
              <m:t>EF</m:t>
            </m:r>
          </m:e>
          <m:sub>
            <m:r>
              <w:rPr>
                <w:rFonts w:ascii="Cambria Math" w:hAnsi="Cambria Math"/>
                <w:sz w:val="20"/>
                <w:szCs w:val="20"/>
              </w:rPr>
              <m:t>it</m:t>
            </m:r>
            <m:r>
              <m:rPr>
                <m:sty m:val="p"/>
              </m:rPr>
              <w:rPr>
                <w:rFonts w:ascii="Cambria Math" w:hAnsi="Cambria Math"/>
                <w:sz w:val="20"/>
                <w:szCs w:val="20"/>
              </w:rPr>
              <m:t xml:space="preserve">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3</m:t>
            </m:r>
          </m:sub>
        </m:sSub>
        <m:sSub>
          <m:sSubPr>
            <m:ctrlPr>
              <w:rPr>
                <w:rFonts w:ascii="Cambria Math" w:hAnsi="Cambria Math"/>
                <w:sz w:val="20"/>
                <w:szCs w:val="20"/>
              </w:rPr>
            </m:ctrlPr>
          </m:sSubPr>
          <m:e>
            <m:r>
              <w:rPr>
                <w:rFonts w:ascii="Cambria Math" w:hAnsi="Cambria Math"/>
                <w:sz w:val="20"/>
                <w:szCs w:val="20"/>
              </w:rPr>
              <m:t>TR</m:t>
            </m:r>
          </m:e>
          <m:sub>
            <m:r>
              <w:rPr>
                <w:rFonts w:ascii="Cambria Math" w:hAnsi="Cambria Math"/>
                <w:sz w:val="20"/>
                <w:szCs w:val="20"/>
              </w:rPr>
              <m:t>it</m:t>
            </m:r>
            <m:r>
              <m:rPr>
                <m:sty m:val="p"/>
              </m:rPr>
              <w:rPr>
                <w:rFonts w:ascii="Cambria Math" w:hAnsi="Cambria Math"/>
                <w:sz w:val="20"/>
                <w:szCs w:val="20"/>
              </w:rPr>
              <m:t xml:space="preserve">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 xml:space="preserve">4 </m:t>
            </m:r>
          </m:sub>
        </m:sSub>
        <m:sSub>
          <m:sSubPr>
            <m:ctrlPr>
              <w:rPr>
                <w:rFonts w:ascii="Cambria Math" w:hAnsi="Cambria Math"/>
                <w:sz w:val="20"/>
                <w:szCs w:val="20"/>
              </w:rPr>
            </m:ctrlPr>
          </m:sSubPr>
          <m:e>
            <m:r>
              <w:rPr>
                <w:rFonts w:ascii="Cambria Math" w:hAnsi="Cambria Math"/>
                <w:sz w:val="20"/>
                <w:szCs w:val="20"/>
              </w:rPr>
              <m:t>LnREER</m:t>
            </m:r>
          </m:e>
          <m:sub>
            <m:r>
              <w:rPr>
                <w:rFonts w:ascii="Cambria Math" w:hAnsi="Cambria Math"/>
                <w:sz w:val="20"/>
                <w:szCs w:val="20"/>
              </w:rPr>
              <m:t>it</m:t>
            </m:r>
            <m:r>
              <m:rPr>
                <m:sty m:val="p"/>
              </m:rPr>
              <w:rPr>
                <w:rFonts w:ascii="Cambria Math" w:hAnsi="Cambria Math"/>
                <w:sz w:val="20"/>
                <w:szCs w:val="20"/>
              </w:rPr>
              <m:t xml:space="preserve">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5</m:t>
            </m:r>
          </m:sub>
        </m:sSub>
        <m:sSub>
          <m:sSubPr>
            <m:ctrlPr>
              <w:rPr>
                <w:rFonts w:ascii="Cambria Math" w:hAnsi="Cambria Math"/>
                <w:sz w:val="20"/>
                <w:szCs w:val="20"/>
              </w:rPr>
            </m:ctrlPr>
          </m:sSubPr>
          <m:e>
            <m:r>
              <w:rPr>
                <w:rFonts w:ascii="Cambria Math" w:hAnsi="Cambria Math"/>
                <w:sz w:val="20"/>
                <w:szCs w:val="20"/>
              </w:rPr>
              <m:t>EFVN</m:t>
            </m:r>
          </m:e>
          <m:sub>
            <m:r>
              <w:rPr>
                <w:rFonts w:ascii="Cambria Math" w:hAnsi="Cambria Math"/>
                <w:sz w:val="20"/>
                <w:szCs w:val="20"/>
              </w:rPr>
              <m:t>t</m:t>
            </m:r>
            <m:r>
              <m:rPr>
                <m:sty m:val="p"/>
              </m:rPr>
              <w:rPr>
                <w:rFonts w:ascii="Cambria Math" w:hAnsi="Cambria Math"/>
                <w:sz w:val="20"/>
                <w:szCs w:val="20"/>
              </w:rPr>
              <m:t xml:space="preserve"> </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6</m:t>
            </m:r>
          </m:sub>
        </m:sSub>
        <m:sSub>
          <m:sSubPr>
            <m:ctrlPr>
              <w:rPr>
                <w:rFonts w:ascii="Cambria Math" w:hAnsi="Cambria Math"/>
                <w:sz w:val="20"/>
                <w:szCs w:val="20"/>
              </w:rPr>
            </m:ctrlPr>
          </m:sSubPr>
          <m:e>
            <m:r>
              <w:rPr>
                <w:rFonts w:ascii="Cambria Math" w:hAnsi="Cambria Math"/>
                <w:sz w:val="20"/>
                <w:szCs w:val="20"/>
              </w:rPr>
              <m:t>TRVN</m:t>
            </m:r>
          </m:e>
          <m:sub>
            <m:r>
              <w:rPr>
                <w:rFonts w:ascii="Cambria Math" w:hAnsi="Cambria Math"/>
                <w:sz w:val="20"/>
                <w:szCs w:val="20"/>
              </w:rPr>
              <m:t>t</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ε</m:t>
            </m:r>
          </m:e>
          <m:sub>
            <m:r>
              <m:rPr>
                <m:sty m:val="p"/>
              </m:rPr>
              <w:rPr>
                <w:rFonts w:ascii="Cambria Math" w:hAnsi="Cambria Math"/>
                <w:sz w:val="20"/>
                <w:szCs w:val="20"/>
              </w:rPr>
              <m:t>2</m:t>
            </m:r>
            <m:r>
              <w:rPr>
                <w:rFonts w:ascii="Cambria Math" w:hAnsi="Cambria Math"/>
                <w:sz w:val="20"/>
                <w:szCs w:val="20"/>
              </w:rPr>
              <m:t>t</m:t>
            </m:r>
          </m:sub>
        </m:sSub>
      </m:oMath>
      <w:r>
        <w:rPr>
          <w:sz w:val="20"/>
          <w:szCs w:val="20"/>
        </w:rPr>
        <w:t xml:space="preserve">      </w:t>
      </w:r>
      <w:r w:rsidR="00797F1E">
        <w:rPr>
          <w:sz w:val="20"/>
          <w:szCs w:val="20"/>
        </w:rPr>
        <w:t xml:space="preserve"> </w:t>
      </w:r>
      <w:r w:rsidR="001C62DC" w:rsidRPr="009A428B">
        <w:rPr>
          <w:sz w:val="20"/>
          <w:szCs w:val="20"/>
        </w:rPr>
        <w:t>(7)</w:t>
      </w:r>
    </w:p>
    <w:p w14:paraId="5F4CFFB7" w14:textId="214C506C" w:rsidR="00B02923" w:rsidRPr="009A428B" w:rsidRDefault="00397E59" w:rsidP="009130ED">
      <w:pPr>
        <w:spacing w:after="80" w:line="240" w:lineRule="exact"/>
        <w:jc w:val="both"/>
        <w:rPr>
          <w:sz w:val="20"/>
          <w:szCs w:val="20"/>
        </w:rPr>
      </w:pPr>
      <w:r w:rsidRPr="009A428B">
        <w:rPr>
          <w:sz w:val="20"/>
          <w:szCs w:val="20"/>
        </w:rPr>
        <w:t>In equation (6) and (7), ASEAN is the dummy variable, taking value one for the member of ASEAN, zero otherwise.</w:t>
      </w:r>
      <w:r w:rsidR="00A225BE" w:rsidRPr="009A428B">
        <w:rPr>
          <w:sz w:val="20"/>
          <w:szCs w:val="20"/>
        </w:rPr>
        <w:t xml:space="preserve"> TR</w:t>
      </w:r>
      <w:r w:rsidR="00A225BE" w:rsidRPr="009A428B">
        <w:rPr>
          <w:sz w:val="20"/>
          <w:szCs w:val="20"/>
          <w:vertAlign w:val="subscript"/>
        </w:rPr>
        <w:t xml:space="preserve">it </w:t>
      </w:r>
      <w:r w:rsidR="00A225BE" w:rsidRPr="009A428B">
        <w:rPr>
          <w:sz w:val="20"/>
          <w:szCs w:val="20"/>
        </w:rPr>
        <w:t>and TRVN</w:t>
      </w:r>
      <w:r w:rsidR="00A225BE" w:rsidRPr="009A428B">
        <w:rPr>
          <w:sz w:val="20"/>
          <w:szCs w:val="20"/>
          <w:vertAlign w:val="subscript"/>
        </w:rPr>
        <w:t xml:space="preserve">t </w:t>
      </w:r>
      <w:r w:rsidR="00A225BE" w:rsidRPr="009A428B">
        <w:rPr>
          <w:sz w:val="20"/>
          <w:szCs w:val="20"/>
        </w:rPr>
        <w:t>are the weighted tariff levied by country i and Vietnam to imports respectively.</w:t>
      </w:r>
      <w:r w:rsidR="00A84205" w:rsidRPr="009A428B">
        <w:rPr>
          <w:sz w:val="20"/>
          <w:szCs w:val="20"/>
        </w:rPr>
        <w:t xml:space="preserve"> High tariffs reduce the Vietnam’s trade </w:t>
      </w:r>
      <w:r w:rsidR="005F443E" w:rsidRPr="009A428B">
        <w:rPr>
          <w:sz w:val="20"/>
          <w:szCs w:val="20"/>
        </w:rPr>
        <w:t>efficiency</w:t>
      </w:r>
      <w:r w:rsidR="00222F66" w:rsidRPr="009A428B">
        <w:rPr>
          <w:sz w:val="20"/>
          <w:szCs w:val="20"/>
        </w:rPr>
        <w:t>. EF</w:t>
      </w:r>
      <w:r w:rsidR="00A84205" w:rsidRPr="009A428B">
        <w:rPr>
          <w:sz w:val="20"/>
          <w:szCs w:val="20"/>
          <w:vertAlign w:val="subscript"/>
        </w:rPr>
        <w:t>it</w:t>
      </w:r>
      <w:r w:rsidR="00A84205" w:rsidRPr="009A428B">
        <w:rPr>
          <w:sz w:val="20"/>
          <w:szCs w:val="20"/>
        </w:rPr>
        <w:t xml:space="preserve"> and </w:t>
      </w:r>
      <w:r w:rsidR="007807B1" w:rsidRPr="009A428B">
        <w:rPr>
          <w:sz w:val="20"/>
          <w:szCs w:val="20"/>
        </w:rPr>
        <w:t>E</w:t>
      </w:r>
      <w:r w:rsidR="00222F66" w:rsidRPr="009A428B">
        <w:rPr>
          <w:sz w:val="20"/>
          <w:szCs w:val="20"/>
        </w:rPr>
        <w:t>F</w:t>
      </w:r>
      <w:r w:rsidR="00A84205" w:rsidRPr="009A428B">
        <w:rPr>
          <w:sz w:val="20"/>
          <w:szCs w:val="20"/>
        </w:rPr>
        <w:t>VN</w:t>
      </w:r>
      <w:r w:rsidR="00A84205" w:rsidRPr="009A428B">
        <w:rPr>
          <w:sz w:val="20"/>
          <w:szCs w:val="20"/>
          <w:vertAlign w:val="subscript"/>
        </w:rPr>
        <w:t>t</w:t>
      </w:r>
      <w:r w:rsidR="007C23DF" w:rsidRPr="009A428B">
        <w:rPr>
          <w:sz w:val="20"/>
          <w:szCs w:val="20"/>
        </w:rPr>
        <w:t xml:space="preserve"> are the</w:t>
      </w:r>
      <w:r w:rsidR="007807B1" w:rsidRPr="009A428B">
        <w:rPr>
          <w:sz w:val="20"/>
          <w:szCs w:val="20"/>
        </w:rPr>
        <w:t xml:space="preserve"> indexes</w:t>
      </w:r>
      <w:r w:rsidR="007C23DF" w:rsidRPr="009A428B">
        <w:rPr>
          <w:sz w:val="20"/>
          <w:szCs w:val="20"/>
        </w:rPr>
        <w:t xml:space="preserve"> of economic freedom</w:t>
      </w:r>
      <w:r w:rsidR="007807B1" w:rsidRPr="009A428B">
        <w:rPr>
          <w:sz w:val="20"/>
          <w:szCs w:val="20"/>
        </w:rPr>
        <w:t xml:space="preserve"> of country</w:t>
      </w:r>
      <w:r w:rsidR="00534841" w:rsidRPr="009A428B">
        <w:rPr>
          <w:sz w:val="20"/>
          <w:szCs w:val="20"/>
        </w:rPr>
        <w:t xml:space="preserve"> i</w:t>
      </w:r>
      <w:r w:rsidR="007807B1" w:rsidRPr="009A428B">
        <w:rPr>
          <w:sz w:val="20"/>
          <w:szCs w:val="20"/>
        </w:rPr>
        <w:t xml:space="preserve"> and Vietnam at year t, which</w:t>
      </w:r>
      <w:r w:rsidR="00534841" w:rsidRPr="009A428B">
        <w:rPr>
          <w:sz w:val="20"/>
          <w:szCs w:val="20"/>
        </w:rPr>
        <w:t xml:space="preserve"> is a composite measure</w:t>
      </w:r>
      <w:r w:rsidR="0048398A" w:rsidRPr="009A428B">
        <w:rPr>
          <w:sz w:val="20"/>
          <w:szCs w:val="20"/>
        </w:rPr>
        <w:t xml:space="preserve"> by the Heritage Foundations</w:t>
      </w:r>
      <w:r w:rsidR="00534841" w:rsidRPr="009A428B">
        <w:rPr>
          <w:sz w:val="20"/>
          <w:szCs w:val="20"/>
        </w:rPr>
        <w:t xml:space="preserve"> of ten factors, separated into four categories</w:t>
      </w:r>
      <w:r w:rsidR="004A52B0">
        <w:rPr>
          <w:sz w:val="20"/>
          <w:szCs w:val="20"/>
        </w:rPr>
        <w:t xml:space="preserve"> namely</w:t>
      </w:r>
      <w:r w:rsidR="00534841" w:rsidRPr="009A428B">
        <w:rPr>
          <w:sz w:val="20"/>
          <w:szCs w:val="20"/>
        </w:rPr>
        <w:t>, rule of law, limited government, regulatory efficiency, and open market.</w:t>
      </w:r>
      <w:r w:rsidR="00614864" w:rsidRPr="009A428B">
        <w:rPr>
          <w:sz w:val="20"/>
          <w:szCs w:val="20"/>
        </w:rPr>
        <w:t xml:space="preserve"> The indexes take value between 0 and 100 with higher indexes implying lower trade barriers.</w:t>
      </w:r>
      <w:r w:rsidR="007E5318" w:rsidRPr="009A428B">
        <w:rPr>
          <w:sz w:val="20"/>
          <w:szCs w:val="20"/>
        </w:rPr>
        <w:t xml:space="preserve"> While the higher economic</w:t>
      </w:r>
      <w:r w:rsidR="00C55C7B">
        <w:rPr>
          <w:sz w:val="20"/>
          <w:szCs w:val="20"/>
        </w:rPr>
        <w:t xml:space="preserve"> freedom in Vietnam results in</w:t>
      </w:r>
      <w:r w:rsidR="007E5318" w:rsidRPr="009A428B">
        <w:rPr>
          <w:sz w:val="20"/>
          <w:szCs w:val="20"/>
        </w:rPr>
        <w:t xml:space="preserve"> an increase in Vietnam import flows, the greater economic freedom for trading partners induce</w:t>
      </w:r>
      <w:r w:rsidR="00A749CD" w:rsidRPr="009A428B">
        <w:rPr>
          <w:sz w:val="20"/>
          <w:szCs w:val="20"/>
        </w:rPr>
        <w:t>s a lift in their foreign trade flows.</w:t>
      </w:r>
      <w:r w:rsidR="0062440E" w:rsidRPr="009A428B">
        <w:rPr>
          <w:sz w:val="20"/>
          <w:szCs w:val="20"/>
        </w:rPr>
        <w:t xml:space="preserve"> Thus, both economic freedom in Vietnam and its partners are </w:t>
      </w:r>
      <w:r w:rsidR="000820E5" w:rsidRPr="009A428B">
        <w:rPr>
          <w:sz w:val="20"/>
          <w:szCs w:val="20"/>
        </w:rPr>
        <w:t>predicted</w:t>
      </w:r>
      <w:r w:rsidR="0062440E" w:rsidRPr="009A428B">
        <w:rPr>
          <w:sz w:val="20"/>
          <w:szCs w:val="20"/>
        </w:rPr>
        <w:t xml:space="preserve"> to increase Vietnam’s trade </w:t>
      </w:r>
      <w:r w:rsidR="005F443E" w:rsidRPr="009A428B">
        <w:rPr>
          <w:sz w:val="20"/>
          <w:szCs w:val="20"/>
        </w:rPr>
        <w:t>efficiency</w:t>
      </w:r>
      <w:r w:rsidR="0062440E" w:rsidRPr="009A428B">
        <w:rPr>
          <w:sz w:val="20"/>
          <w:szCs w:val="20"/>
        </w:rPr>
        <w:t>.</w:t>
      </w:r>
      <w:r w:rsidR="003F045F" w:rsidRPr="009A428B">
        <w:rPr>
          <w:sz w:val="20"/>
          <w:szCs w:val="20"/>
        </w:rPr>
        <w:t xml:space="preserve"> REER</w:t>
      </w:r>
      <w:r w:rsidR="003F045F" w:rsidRPr="009A428B">
        <w:rPr>
          <w:sz w:val="20"/>
          <w:szCs w:val="20"/>
          <w:vertAlign w:val="subscript"/>
        </w:rPr>
        <w:t>it</w:t>
      </w:r>
      <w:r w:rsidR="003F045F" w:rsidRPr="009A428B">
        <w:rPr>
          <w:sz w:val="20"/>
          <w:szCs w:val="20"/>
        </w:rPr>
        <w:t xml:space="preserve"> and REERVN</w:t>
      </w:r>
      <w:r w:rsidR="003F045F" w:rsidRPr="009A428B">
        <w:rPr>
          <w:sz w:val="20"/>
          <w:szCs w:val="20"/>
          <w:vertAlign w:val="subscript"/>
        </w:rPr>
        <w:t>t</w:t>
      </w:r>
      <w:r w:rsidR="003F045F" w:rsidRPr="009A428B">
        <w:rPr>
          <w:sz w:val="20"/>
          <w:szCs w:val="20"/>
        </w:rPr>
        <w:t xml:space="preserve"> are the real effective exchange rate</w:t>
      </w:r>
      <w:r w:rsidR="00A66630" w:rsidRPr="009A428B">
        <w:rPr>
          <w:sz w:val="20"/>
          <w:szCs w:val="20"/>
        </w:rPr>
        <w:t xml:space="preserve"> of country i and Vietnam at year t.</w:t>
      </w:r>
      <w:r w:rsidR="00632230" w:rsidRPr="009A428B">
        <w:rPr>
          <w:sz w:val="20"/>
          <w:szCs w:val="20"/>
        </w:rPr>
        <w:t xml:space="preserve"> A devaluation of domestic currency is expected to boost exports </w:t>
      </w:r>
      <w:r w:rsidR="00CE54C9" w:rsidRPr="009A428B">
        <w:rPr>
          <w:sz w:val="20"/>
          <w:szCs w:val="20"/>
        </w:rPr>
        <w:t>and undermine</w:t>
      </w:r>
      <w:r w:rsidR="00632230" w:rsidRPr="009A428B">
        <w:rPr>
          <w:sz w:val="20"/>
          <w:szCs w:val="20"/>
        </w:rPr>
        <w:t xml:space="preserve"> imports</w:t>
      </w:r>
      <w:r w:rsidR="00647EF9" w:rsidRPr="009A428B">
        <w:rPr>
          <w:sz w:val="20"/>
          <w:szCs w:val="20"/>
        </w:rPr>
        <w:t>.</w:t>
      </w:r>
    </w:p>
    <w:p w14:paraId="630586A6" w14:textId="4E113C15" w:rsidR="0091774D" w:rsidRPr="009A428B" w:rsidRDefault="00376CBF" w:rsidP="009130ED">
      <w:pPr>
        <w:spacing w:after="80" w:line="240" w:lineRule="exact"/>
        <w:jc w:val="both"/>
        <w:rPr>
          <w:sz w:val="20"/>
          <w:szCs w:val="20"/>
        </w:rPr>
      </w:pPr>
      <w:r>
        <w:rPr>
          <w:sz w:val="20"/>
          <w:szCs w:val="20"/>
        </w:rPr>
        <w:t>Table 3.</w:t>
      </w:r>
      <w:r w:rsidR="0091774D" w:rsidRPr="009A428B">
        <w:rPr>
          <w:sz w:val="20"/>
          <w:szCs w:val="20"/>
        </w:rPr>
        <w:t xml:space="preserve"> Determinants of Trade </w:t>
      </w:r>
      <w:r w:rsidR="005F443E" w:rsidRPr="009A428B">
        <w:rPr>
          <w:sz w:val="20"/>
          <w:szCs w:val="20"/>
        </w:rPr>
        <w:t>Efficiency</w:t>
      </w:r>
    </w:p>
    <w:tbl>
      <w:tblPr>
        <w:tblW w:w="5769" w:type="dxa"/>
        <w:jc w:val="center"/>
        <w:tblLook w:val="04A0" w:firstRow="1" w:lastRow="0" w:firstColumn="1" w:lastColumn="0" w:noHBand="0" w:noVBand="1"/>
      </w:tblPr>
      <w:tblGrid>
        <w:gridCol w:w="1637"/>
        <w:gridCol w:w="2044"/>
        <w:gridCol w:w="2088"/>
      </w:tblGrid>
      <w:tr w:rsidR="0091774D" w:rsidRPr="009A428B" w14:paraId="07FD6E70" w14:textId="77777777" w:rsidTr="003645A7">
        <w:trPr>
          <w:trHeight w:val="300"/>
          <w:jc w:val="center"/>
        </w:trPr>
        <w:tc>
          <w:tcPr>
            <w:tcW w:w="1637" w:type="dxa"/>
            <w:tcBorders>
              <w:top w:val="single" w:sz="4" w:space="0" w:color="auto"/>
              <w:left w:val="nil"/>
              <w:bottom w:val="single" w:sz="4" w:space="0" w:color="auto"/>
              <w:right w:val="nil"/>
            </w:tcBorders>
            <w:shd w:val="clear" w:color="auto" w:fill="auto"/>
            <w:noWrap/>
            <w:vAlign w:val="bottom"/>
            <w:hideMark/>
          </w:tcPr>
          <w:p w14:paraId="1BDD00C5" w14:textId="09A73274"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 </w:t>
            </w:r>
            <w:r w:rsidR="003645A7" w:rsidRPr="009A428B">
              <w:rPr>
                <w:rFonts w:eastAsia="Times New Roman"/>
                <w:color w:val="000000"/>
                <w:sz w:val="20"/>
                <w:szCs w:val="20"/>
              </w:rPr>
              <w:t>Variables</w:t>
            </w:r>
          </w:p>
        </w:tc>
        <w:tc>
          <w:tcPr>
            <w:tcW w:w="2044" w:type="dxa"/>
            <w:tcBorders>
              <w:top w:val="single" w:sz="4" w:space="0" w:color="auto"/>
              <w:left w:val="nil"/>
              <w:bottom w:val="single" w:sz="4" w:space="0" w:color="auto"/>
              <w:right w:val="nil"/>
            </w:tcBorders>
            <w:shd w:val="clear" w:color="auto" w:fill="auto"/>
            <w:noWrap/>
            <w:vAlign w:val="bottom"/>
            <w:hideMark/>
          </w:tcPr>
          <w:p w14:paraId="08735691" w14:textId="188C8A0C" w:rsidR="0091774D" w:rsidRPr="009A428B" w:rsidRDefault="00CA6E73" w:rsidP="009130ED">
            <w:pPr>
              <w:spacing w:after="80" w:line="240" w:lineRule="exact"/>
              <w:jc w:val="center"/>
              <w:rPr>
                <w:rFonts w:eastAsia="Times New Roman"/>
                <w:color w:val="000000"/>
                <w:sz w:val="20"/>
                <w:szCs w:val="20"/>
              </w:rPr>
            </w:pPr>
            <w:r w:rsidRPr="009A428B">
              <w:rPr>
                <w:rFonts w:eastAsia="Times New Roman"/>
                <w:color w:val="000000"/>
                <w:sz w:val="20"/>
                <w:szCs w:val="20"/>
              </w:rPr>
              <w:t>TRE’s Export</w:t>
            </w:r>
          </w:p>
        </w:tc>
        <w:tc>
          <w:tcPr>
            <w:tcW w:w="2088" w:type="dxa"/>
            <w:tcBorders>
              <w:top w:val="single" w:sz="4" w:space="0" w:color="auto"/>
              <w:left w:val="nil"/>
              <w:bottom w:val="single" w:sz="4" w:space="0" w:color="auto"/>
              <w:right w:val="nil"/>
            </w:tcBorders>
            <w:shd w:val="clear" w:color="auto" w:fill="auto"/>
            <w:noWrap/>
            <w:vAlign w:val="bottom"/>
            <w:hideMark/>
          </w:tcPr>
          <w:p w14:paraId="4BCCB9B7" w14:textId="3AA7B26A" w:rsidR="0091774D" w:rsidRPr="009A428B" w:rsidRDefault="00CA6E73" w:rsidP="009130ED">
            <w:pPr>
              <w:spacing w:after="80" w:line="240" w:lineRule="exact"/>
              <w:jc w:val="center"/>
              <w:rPr>
                <w:rFonts w:eastAsia="Times New Roman"/>
                <w:color w:val="000000"/>
                <w:sz w:val="20"/>
                <w:szCs w:val="20"/>
              </w:rPr>
            </w:pPr>
            <w:r w:rsidRPr="009A428B">
              <w:rPr>
                <w:rFonts w:eastAsia="Times New Roman"/>
                <w:color w:val="000000"/>
                <w:sz w:val="20"/>
                <w:szCs w:val="20"/>
              </w:rPr>
              <w:t>TRE’s Import</w:t>
            </w:r>
          </w:p>
        </w:tc>
      </w:tr>
      <w:tr w:rsidR="0091774D" w:rsidRPr="009A428B" w14:paraId="110D7A5A" w14:textId="77777777" w:rsidTr="0057176F">
        <w:trPr>
          <w:trHeight w:val="599"/>
          <w:jc w:val="center"/>
        </w:trPr>
        <w:tc>
          <w:tcPr>
            <w:tcW w:w="1637" w:type="dxa"/>
            <w:tcBorders>
              <w:top w:val="nil"/>
              <w:left w:val="nil"/>
              <w:bottom w:val="nil"/>
              <w:right w:val="nil"/>
            </w:tcBorders>
            <w:shd w:val="clear" w:color="auto" w:fill="auto"/>
            <w:noWrap/>
            <w:vAlign w:val="bottom"/>
            <w:hideMark/>
          </w:tcPr>
          <w:p w14:paraId="689E6402" w14:textId="77777777"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ASEAN</w:t>
            </w:r>
          </w:p>
          <w:p w14:paraId="1F6F98D7"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nil"/>
              <w:right w:val="nil"/>
            </w:tcBorders>
            <w:shd w:val="clear" w:color="auto" w:fill="auto"/>
            <w:vAlign w:val="bottom"/>
            <w:hideMark/>
          </w:tcPr>
          <w:p w14:paraId="17472A1A" w14:textId="688B12C1"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321</w:t>
            </w:r>
            <w:r w:rsidR="00602C71">
              <w:rPr>
                <w:rFonts w:eastAsia="Times New Roman"/>
                <w:color w:val="000000"/>
                <w:sz w:val="20"/>
                <w:szCs w:val="20"/>
              </w:rPr>
              <w:t xml:space="preserve"> 877</w:t>
            </w:r>
            <w:r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019</w:t>
            </w:r>
            <w:r w:rsidR="00602C71">
              <w:rPr>
                <w:rFonts w:eastAsia="Times New Roman"/>
                <w:color w:val="000000"/>
                <w:sz w:val="20"/>
                <w:szCs w:val="20"/>
              </w:rPr>
              <w:t xml:space="preserve"> 987</w:t>
            </w:r>
            <w:r w:rsidRPr="009A428B">
              <w:rPr>
                <w:rFonts w:eastAsia="Times New Roman"/>
                <w:color w:val="000000"/>
                <w:sz w:val="20"/>
                <w:szCs w:val="20"/>
              </w:rPr>
              <w:t>)</w:t>
            </w:r>
          </w:p>
        </w:tc>
        <w:tc>
          <w:tcPr>
            <w:tcW w:w="2088" w:type="dxa"/>
            <w:tcBorders>
              <w:top w:val="nil"/>
              <w:left w:val="nil"/>
              <w:bottom w:val="nil"/>
              <w:right w:val="nil"/>
            </w:tcBorders>
            <w:shd w:val="clear" w:color="auto" w:fill="auto"/>
            <w:vAlign w:val="bottom"/>
            <w:hideMark/>
          </w:tcPr>
          <w:p w14:paraId="2026F18D" w14:textId="7D0FEC7A"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145</w:t>
            </w:r>
            <w:r w:rsidR="00602C71">
              <w:rPr>
                <w:rFonts w:eastAsia="Times New Roman"/>
                <w:color w:val="000000"/>
                <w:sz w:val="20"/>
                <w:szCs w:val="20"/>
              </w:rPr>
              <w:t xml:space="preserve"> 361</w:t>
            </w:r>
            <w:r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023</w:t>
            </w:r>
            <w:r w:rsidR="00602C71">
              <w:rPr>
                <w:rFonts w:eastAsia="Times New Roman"/>
                <w:color w:val="000000"/>
                <w:sz w:val="20"/>
                <w:szCs w:val="20"/>
              </w:rPr>
              <w:t xml:space="preserve"> 169</w:t>
            </w:r>
            <w:r w:rsidRPr="009A428B">
              <w:rPr>
                <w:rFonts w:eastAsia="Times New Roman"/>
                <w:color w:val="000000"/>
                <w:sz w:val="20"/>
                <w:szCs w:val="20"/>
              </w:rPr>
              <w:t>)</w:t>
            </w:r>
          </w:p>
        </w:tc>
      </w:tr>
      <w:tr w:rsidR="0091774D" w:rsidRPr="009A428B" w14:paraId="6094D7F0" w14:textId="77777777" w:rsidTr="0057176F">
        <w:trPr>
          <w:trHeight w:val="599"/>
          <w:jc w:val="center"/>
        </w:trPr>
        <w:tc>
          <w:tcPr>
            <w:tcW w:w="1637" w:type="dxa"/>
            <w:tcBorders>
              <w:top w:val="nil"/>
              <w:left w:val="nil"/>
              <w:bottom w:val="nil"/>
              <w:right w:val="nil"/>
            </w:tcBorders>
            <w:shd w:val="clear" w:color="auto" w:fill="auto"/>
            <w:noWrap/>
            <w:vAlign w:val="bottom"/>
            <w:hideMark/>
          </w:tcPr>
          <w:p w14:paraId="4D1B9727" w14:textId="2FC18988" w:rsidR="0091774D" w:rsidRPr="009A428B" w:rsidRDefault="008F3F61" w:rsidP="009130ED">
            <w:pPr>
              <w:spacing w:after="80" w:line="240" w:lineRule="exact"/>
              <w:rPr>
                <w:rFonts w:eastAsia="Times New Roman"/>
                <w:color w:val="000000"/>
                <w:sz w:val="20"/>
                <w:szCs w:val="20"/>
              </w:rPr>
            </w:pPr>
            <w:r w:rsidRPr="009A428B">
              <w:rPr>
                <w:rFonts w:eastAsia="Times New Roman"/>
                <w:color w:val="000000"/>
                <w:sz w:val="20"/>
                <w:szCs w:val="20"/>
              </w:rPr>
              <w:t>EF</w:t>
            </w:r>
          </w:p>
          <w:p w14:paraId="36827F72"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nil"/>
              <w:right w:val="nil"/>
            </w:tcBorders>
            <w:shd w:val="clear" w:color="auto" w:fill="auto"/>
            <w:vAlign w:val="bottom"/>
            <w:hideMark/>
          </w:tcPr>
          <w:p w14:paraId="47600ECE" w14:textId="4BCC0B8C"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007</w:t>
            </w:r>
            <w:r w:rsidR="00602C71">
              <w:rPr>
                <w:rFonts w:eastAsia="Times New Roman"/>
                <w:color w:val="000000"/>
                <w:sz w:val="20"/>
                <w:szCs w:val="20"/>
              </w:rPr>
              <w:t xml:space="preserve"> 659</w:t>
            </w:r>
            <w:r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000</w:t>
            </w:r>
            <w:r w:rsidR="00602C71">
              <w:rPr>
                <w:rFonts w:eastAsia="Times New Roman"/>
                <w:color w:val="000000"/>
                <w:sz w:val="20"/>
                <w:szCs w:val="20"/>
              </w:rPr>
              <w:t xml:space="preserve"> 758</w:t>
            </w:r>
            <w:r w:rsidRPr="009A428B">
              <w:rPr>
                <w:rFonts w:eastAsia="Times New Roman"/>
                <w:color w:val="000000"/>
                <w:sz w:val="20"/>
                <w:szCs w:val="20"/>
              </w:rPr>
              <w:t>)</w:t>
            </w:r>
          </w:p>
        </w:tc>
        <w:tc>
          <w:tcPr>
            <w:tcW w:w="2088" w:type="dxa"/>
            <w:tcBorders>
              <w:top w:val="nil"/>
              <w:left w:val="nil"/>
              <w:bottom w:val="nil"/>
              <w:right w:val="nil"/>
            </w:tcBorders>
            <w:shd w:val="clear" w:color="auto" w:fill="auto"/>
            <w:vAlign w:val="bottom"/>
            <w:hideMark/>
          </w:tcPr>
          <w:p w14:paraId="4B24DF3C" w14:textId="37E8E26A"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006</w:t>
            </w:r>
            <w:r w:rsidR="00602C71">
              <w:rPr>
                <w:rFonts w:eastAsia="Times New Roman"/>
                <w:color w:val="000000"/>
                <w:sz w:val="20"/>
                <w:szCs w:val="20"/>
              </w:rPr>
              <w:t xml:space="preserve"> 086</w:t>
            </w:r>
            <w:r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000</w:t>
            </w:r>
            <w:r w:rsidR="00602C71">
              <w:rPr>
                <w:rFonts w:eastAsia="Times New Roman"/>
                <w:color w:val="000000"/>
                <w:sz w:val="20"/>
                <w:szCs w:val="20"/>
              </w:rPr>
              <w:t xml:space="preserve"> </w:t>
            </w:r>
            <w:r w:rsidRPr="009A428B">
              <w:rPr>
                <w:rFonts w:eastAsia="Times New Roman"/>
                <w:color w:val="000000"/>
                <w:sz w:val="20"/>
                <w:szCs w:val="20"/>
              </w:rPr>
              <w:t>994)</w:t>
            </w:r>
          </w:p>
        </w:tc>
      </w:tr>
      <w:tr w:rsidR="0091774D" w:rsidRPr="009A428B" w14:paraId="6722A946" w14:textId="77777777" w:rsidTr="0057176F">
        <w:trPr>
          <w:trHeight w:val="599"/>
          <w:jc w:val="center"/>
        </w:trPr>
        <w:tc>
          <w:tcPr>
            <w:tcW w:w="1637" w:type="dxa"/>
            <w:tcBorders>
              <w:top w:val="nil"/>
              <w:left w:val="nil"/>
              <w:bottom w:val="nil"/>
              <w:right w:val="nil"/>
            </w:tcBorders>
            <w:shd w:val="clear" w:color="auto" w:fill="auto"/>
            <w:noWrap/>
            <w:vAlign w:val="bottom"/>
            <w:hideMark/>
          </w:tcPr>
          <w:p w14:paraId="492CF58B" w14:textId="78DCB268" w:rsidR="0091774D" w:rsidRPr="009A428B" w:rsidRDefault="008F3F61" w:rsidP="009130ED">
            <w:pPr>
              <w:spacing w:after="80" w:line="240" w:lineRule="exact"/>
              <w:rPr>
                <w:rFonts w:eastAsia="Times New Roman"/>
                <w:color w:val="000000"/>
                <w:sz w:val="20"/>
                <w:szCs w:val="20"/>
              </w:rPr>
            </w:pPr>
            <w:r w:rsidRPr="009A428B">
              <w:rPr>
                <w:rFonts w:eastAsia="Times New Roman"/>
                <w:color w:val="000000"/>
                <w:sz w:val="20"/>
                <w:szCs w:val="20"/>
              </w:rPr>
              <w:t>TR</w:t>
            </w:r>
          </w:p>
          <w:p w14:paraId="5CD4A9CA"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nil"/>
              <w:right w:val="nil"/>
            </w:tcBorders>
            <w:shd w:val="clear" w:color="auto" w:fill="auto"/>
            <w:vAlign w:val="bottom"/>
            <w:hideMark/>
          </w:tcPr>
          <w:p w14:paraId="6582917B" w14:textId="491CEE68"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003</w:t>
            </w:r>
            <w:r w:rsidR="00602C71">
              <w:rPr>
                <w:rFonts w:eastAsia="Times New Roman"/>
                <w:color w:val="000000"/>
                <w:sz w:val="20"/>
                <w:szCs w:val="20"/>
              </w:rPr>
              <w:t xml:space="preserve"> 449</w:t>
            </w:r>
            <w:r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001</w:t>
            </w:r>
            <w:r w:rsidR="00602C71">
              <w:rPr>
                <w:rFonts w:eastAsia="Times New Roman"/>
                <w:color w:val="000000"/>
                <w:sz w:val="20"/>
                <w:szCs w:val="20"/>
              </w:rPr>
              <w:t xml:space="preserve"> 227</w:t>
            </w:r>
            <w:r w:rsidRPr="009A428B">
              <w:rPr>
                <w:rFonts w:eastAsia="Times New Roman"/>
                <w:color w:val="000000"/>
                <w:sz w:val="20"/>
                <w:szCs w:val="20"/>
              </w:rPr>
              <w:t>)</w:t>
            </w:r>
          </w:p>
        </w:tc>
        <w:tc>
          <w:tcPr>
            <w:tcW w:w="2088" w:type="dxa"/>
            <w:tcBorders>
              <w:top w:val="nil"/>
              <w:left w:val="nil"/>
              <w:bottom w:val="nil"/>
              <w:right w:val="nil"/>
            </w:tcBorders>
            <w:shd w:val="clear" w:color="auto" w:fill="auto"/>
            <w:vAlign w:val="bottom"/>
            <w:hideMark/>
          </w:tcPr>
          <w:p w14:paraId="5D14197D" w14:textId="645D2C66"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001</w:t>
            </w:r>
            <w:r w:rsidR="00602C71">
              <w:rPr>
                <w:rFonts w:eastAsia="Times New Roman"/>
                <w:color w:val="000000"/>
                <w:sz w:val="20"/>
                <w:szCs w:val="20"/>
              </w:rPr>
              <w:t xml:space="preserve"> 870</w:t>
            </w:r>
            <w:r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001</w:t>
            </w:r>
            <w:r w:rsidR="00602C71">
              <w:rPr>
                <w:rFonts w:eastAsia="Times New Roman"/>
                <w:color w:val="000000"/>
                <w:sz w:val="20"/>
                <w:szCs w:val="20"/>
              </w:rPr>
              <w:t xml:space="preserve"> 087</w:t>
            </w:r>
            <w:r w:rsidRPr="009A428B">
              <w:rPr>
                <w:rFonts w:eastAsia="Times New Roman"/>
                <w:color w:val="000000"/>
                <w:sz w:val="20"/>
                <w:szCs w:val="20"/>
              </w:rPr>
              <w:t>)</w:t>
            </w:r>
          </w:p>
        </w:tc>
      </w:tr>
      <w:tr w:rsidR="0091774D" w:rsidRPr="009A428B" w14:paraId="17C92C79" w14:textId="77777777" w:rsidTr="0057176F">
        <w:trPr>
          <w:trHeight w:val="599"/>
          <w:jc w:val="center"/>
        </w:trPr>
        <w:tc>
          <w:tcPr>
            <w:tcW w:w="1637" w:type="dxa"/>
            <w:tcBorders>
              <w:top w:val="nil"/>
              <w:left w:val="nil"/>
              <w:bottom w:val="nil"/>
              <w:right w:val="nil"/>
            </w:tcBorders>
            <w:shd w:val="clear" w:color="auto" w:fill="auto"/>
            <w:noWrap/>
            <w:vAlign w:val="bottom"/>
            <w:hideMark/>
          </w:tcPr>
          <w:p w14:paraId="37C4CC9B" w14:textId="77777777"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LnREERVN</w:t>
            </w:r>
          </w:p>
          <w:p w14:paraId="13EA188C"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nil"/>
              <w:right w:val="nil"/>
            </w:tcBorders>
            <w:shd w:val="clear" w:color="auto" w:fill="auto"/>
            <w:vAlign w:val="bottom"/>
            <w:hideMark/>
          </w:tcPr>
          <w:p w14:paraId="16BC7C38" w14:textId="5116DBB2"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115</w:t>
            </w:r>
            <w:r w:rsidR="00602C71">
              <w:rPr>
                <w:rFonts w:eastAsia="Times New Roman"/>
                <w:color w:val="000000"/>
                <w:sz w:val="20"/>
                <w:szCs w:val="20"/>
              </w:rPr>
              <w:t xml:space="preserve"> 654</w:t>
            </w:r>
            <w:r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047</w:t>
            </w:r>
            <w:r w:rsidR="00602C71">
              <w:rPr>
                <w:rFonts w:eastAsia="Times New Roman"/>
                <w:color w:val="000000"/>
                <w:sz w:val="20"/>
                <w:szCs w:val="20"/>
              </w:rPr>
              <w:t xml:space="preserve"> 863</w:t>
            </w:r>
            <w:r w:rsidRPr="009A428B">
              <w:rPr>
                <w:rFonts w:eastAsia="Times New Roman"/>
                <w:color w:val="000000"/>
                <w:sz w:val="20"/>
                <w:szCs w:val="20"/>
              </w:rPr>
              <w:t>)</w:t>
            </w:r>
          </w:p>
        </w:tc>
        <w:tc>
          <w:tcPr>
            <w:tcW w:w="2088" w:type="dxa"/>
            <w:tcBorders>
              <w:top w:val="nil"/>
              <w:left w:val="nil"/>
              <w:bottom w:val="nil"/>
              <w:right w:val="nil"/>
            </w:tcBorders>
            <w:shd w:val="clear" w:color="auto" w:fill="auto"/>
            <w:vAlign w:val="bottom"/>
            <w:hideMark/>
          </w:tcPr>
          <w:p w14:paraId="57F61D26" w14:textId="77777777" w:rsidR="0091774D" w:rsidRPr="009A428B" w:rsidRDefault="0091774D" w:rsidP="009130ED">
            <w:pPr>
              <w:spacing w:after="80" w:line="240" w:lineRule="exact"/>
              <w:rPr>
                <w:rFonts w:eastAsia="Times New Roman"/>
                <w:color w:val="000000"/>
                <w:sz w:val="20"/>
                <w:szCs w:val="20"/>
              </w:rPr>
            </w:pPr>
          </w:p>
        </w:tc>
      </w:tr>
      <w:tr w:rsidR="0091774D" w:rsidRPr="009A428B" w14:paraId="69DA5A01" w14:textId="77777777" w:rsidTr="0057176F">
        <w:trPr>
          <w:trHeight w:val="599"/>
          <w:jc w:val="center"/>
        </w:trPr>
        <w:tc>
          <w:tcPr>
            <w:tcW w:w="1637" w:type="dxa"/>
            <w:tcBorders>
              <w:top w:val="nil"/>
              <w:left w:val="nil"/>
              <w:bottom w:val="nil"/>
              <w:right w:val="nil"/>
            </w:tcBorders>
            <w:shd w:val="clear" w:color="auto" w:fill="auto"/>
            <w:noWrap/>
            <w:vAlign w:val="bottom"/>
            <w:hideMark/>
          </w:tcPr>
          <w:p w14:paraId="1BBBE67D" w14:textId="77777777"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LnREER</w:t>
            </w:r>
          </w:p>
          <w:p w14:paraId="12861CA9"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nil"/>
              <w:right w:val="nil"/>
            </w:tcBorders>
            <w:shd w:val="clear" w:color="auto" w:fill="auto"/>
            <w:vAlign w:val="bottom"/>
            <w:hideMark/>
          </w:tcPr>
          <w:p w14:paraId="3E062B4E" w14:textId="77777777" w:rsidR="0091774D" w:rsidRPr="009A428B" w:rsidRDefault="0091774D" w:rsidP="009130ED">
            <w:pPr>
              <w:spacing w:after="80" w:line="240" w:lineRule="exact"/>
              <w:rPr>
                <w:rFonts w:eastAsia="Times New Roman"/>
                <w:color w:val="000000"/>
                <w:sz w:val="20"/>
                <w:szCs w:val="20"/>
              </w:rPr>
            </w:pPr>
          </w:p>
        </w:tc>
        <w:tc>
          <w:tcPr>
            <w:tcW w:w="2088" w:type="dxa"/>
            <w:tcBorders>
              <w:top w:val="nil"/>
              <w:left w:val="nil"/>
              <w:bottom w:val="nil"/>
              <w:right w:val="nil"/>
            </w:tcBorders>
            <w:shd w:val="clear" w:color="auto" w:fill="auto"/>
            <w:vAlign w:val="bottom"/>
            <w:hideMark/>
          </w:tcPr>
          <w:p w14:paraId="0DB813C0" w14:textId="3ECBB503"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042</w:t>
            </w:r>
            <w:r w:rsidR="00602C71">
              <w:rPr>
                <w:rFonts w:eastAsia="Times New Roman"/>
                <w:color w:val="000000"/>
                <w:sz w:val="20"/>
                <w:szCs w:val="20"/>
              </w:rPr>
              <w:t xml:space="preserve"> 912</w:t>
            </w:r>
            <w:r w:rsidR="00562D5C" w:rsidRPr="009A428B">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041</w:t>
            </w:r>
            <w:r w:rsidR="00602C71">
              <w:rPr>
                <w:rFonts w:eastAsia="Times New Roman"/>
                <w:color w:val="000000"/>
                <w:sz w:val="20"/>
                <w:szCs w:val="20"/>
              </w:rPr>
              <w:t xml:space="preserve"> 244</w:t>
            </w:r>
            <w:r w:rsidRPr="009A428B">
              <w:rPr>
                <w:rFonts w:eastAsia="Times New Roman"/>
                <w:color w:val="000000"/>
                <w:sz w:val="20"/>
                <w:szCs w:val="20"/>
              </w:rPr>
              <w:t>)</w:t>
            </w:r>
          </w:p>
        </w:tc>
      </w:tr>
      <w:tr w:rsidR="0091774D" w:rsidRPr="009A428B" w14:paraId="4002C566" w14:textId="77777777" w:rsidTr="0057176F">
        <w:trPr>
          <w:trHeight w:val="599"/>
          <w:jc w:val="center"/>
        </w:trPr>
        <w:tc>
          <w:tcPr>
            <w:tcW w:w="1637" w:type="dxa"/>
            <w:tcBorders>
              <w:top w:val="nil"/>
              <w:left w:val="nil"/>
              <w:bottom w:val="nil"/>
              <w:right w:val="nil"/>
            </w:tcBorders>
            <w:shd w:val="clear" w:color="auto" w:fill="auto"/>
            <w:noWrap/>
            <w:vAlign w:val="bottom"/>
            <w:hideMark/>
          </w:tcPr>
          <w:p w14:paraId="78BBCD79" w14:textId="53DD89E2" w:rsidR="0091774D" w:rsidRPr="009A428B" w:rsidRDefault="008F3F61" w:rsidP="009130ED">
            <w:pPr>
              <w:spacing w:after="80" w:line="240" w:lineRule="exact"/>
              <w:rPr>
                <w:rFonts w:eastAsia="Times New Roman"/>
                <w:color w:val="000000"/>
                <w:sz w:val="20"/>
                <w:szCs w:val="20"/>
              </w:rPr>
            </w:pPr>
            <w:r w:rsidRPr="009A428B">
              <w:rPr>
                <w:rFonts w:eastAsia="Times New Roman"/>
                <w:color w:val="000000"/>
                <w:sz w:val="20"/>
                <w:szCs w:val="20"/>
              </w:rPr>
              <w:t>EF</w:t>
            </w:r>
            <w:r w:rsidR="0091774D" w:rsidRPr="009A428B">
              <w:rPr>
                <w:rFonts w:eastAsia="Times New Roman"/>
                <w:color w:val="000000"/>
                <w:sz w:val="20"/>
                <w:szCs w:val="20"/>
              </w:rPr>
              <w:t>VN</w:t>
            </w:r>
          </w:p>
          <w:p w14:paraId="57C6977D"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nil"/>
              <w:right w:val="nil"/>
            </w:tcBorders>
            <w:shd w:val="clear" w:color="auto" w:fill="auto"/>
            <w:vAlign w:val="bottom"/>
            <w:hideMark/>
          </w:tcPr>
          <w:p w14:paraId="78AE6C0D" w14:textId="77777777" w:rsidR="0091774D" w:rsidRPr="009A428B" w:rsidRDefault="0091774D" w:rsidP="009130ED">
            <w:pPr>
              <w:spacing w:after="80" w:line="240" w:lineRule="exact"/>
              <w:rPr>
                <w:rFonts w:eastAsia="Times New Roman"/>
                <w:color w:val="000000"/>
                <w:sz w:val="20"/>
                <w:szCs w:val="20"/>
              </w:rPr>
            </w:pPr>
          </w:p>
        </w:tc>
        <w:tc>
          <w:tcPr>
            <w:tcW w:w="2088" w:type="dxa"/>
            <w:tcBorders>
              <w:top w:val="nil"/>
              <w:left w:val="nil"/>
              <w:bottom w:val="nil"/>
              <w:right w:val="nil"/>
            </w:tcBorders>
            <w:shd w:val="clear" w:color="auto" w:fill="auto"/>
            <w:vAlign w:val="bottom"/>
            <w:hideMark/>
          </w:tcPr>
          <w:p w14:paraId="5674202A" w14:textId="1FDC7B76"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00602C71">
              <w:rPr>
                <w:rFonts w:eastAsia="Times New Roman"/>
                <w:color w:val="000000"/>
                <w:sz w:val="20"/>
                <w:szCs w:val="20"/>
              </w:rPr>
              <w:t>003185</w:t>
            </w:r>
            <w:r w:rsidR="00264D03">
              <w:rPr>
                <w:rFonts w:eastAsia="Times New Roman"/>
                <w:color w:val="000000"/>
                <w:sz w:val="20"/>
                <w:szCs w:val="20"/>
              </w:rPr>
              <w:t>*</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003</w:t>
            </w:r>
            <w:r w:rsidR="00602C71">
              <w:rPr>
                <w:rFonts w:eastAsia="Times New Roman"/>
                <w:color w:val="000000"/>
                <w:sz w:val="20"/>
                <w:szCs w:val="20"/>
              </w:rPr>
              <w:t xml:space="preserve"> 307</w:t>
            </w:r>
            <w:r w:rsidRPr="009A428B">
              <w:rPr>
                <w:rFonts w:eastAsia="Times New Roman"/>
                <w:color w:val="000000"/>
                <w:sz w:val="20"/>
                <w:szCs w:val="20"/>
              </w:rPr>
              <w:t>)</w:t>
            </w:r>
          </w:p>
        </w:tc>
      </w:tr>
      <w:tr w:rsidR="0091774D" w:rsidRPr="009A428B" w14:paraId="1A41D4DA" w14:textId="77777777" w:rsidTr="0057176F">
        <w:trPr>
          <w:trHeight w:val="599"/>
          <w:jc w:val="center"/>
        </w:trPr>
        <w:tc>
          <w:tcPr>
            <w:tcW w:w="1637" w:type="dxa"/>
            <w:tcBorders>
              <w:top w:val="nil"/>
              <w:left w:val="nil"/>
              <w:bottom w:val="nil"/>
              <w:right w:val="nil"/>
            </w:tcBorders>
            <w:shd w:val="clear" w:color="auto" w:fill="auto"/>
            <w:noWrap/>
            <w:vAlign w:val="bottom"/>
            <w:hideMark/>
          </w:tcPr>
          <w:p w14:paraId="455BA13D" w14:textId="072429D7" w:rsidR="0091774D" w:rsidRPr="009A428B" w:rsidRDefault="008F3F61" w:rsidP="009130ED">
            <w:pPr>
              <w:spacing w:after="80" w:line="240" w:lineRule="exact"/>
              <w:rPr>
                <w:rFonts w:eastAsia="Times New Roman"/>
                <w:color w:val="000000"/>
                <w:sz w:val="20"/>
                <w:szCs w:val="20"/>
              </w:rPr>
            </w:pPr>
            <w:r w:rsidRPr="009A428B">
              <w:rPr>
                <w:rFonts w:eastAsia="Times New Roman"/>
                <w:color w:val="000000"/>
                <w:sz w:val="20"/>
                <w:szCs w:val="20"/>
              </w:rPr>
              <w:t>TR</w:t>
            </w:r>
            <w:r w:rsidR="0091774D" w:rsidRPr="009A428B">
              <w:rPr>
                <w:rFonts w:eastAsia="Times New Roman"/>
                <w:color w:val="000000"/>
                <w:sz w:val="20"/>
                <w:szCs w:val="20"/>
              </w:rPr>
              <w:t>VN</w:t>
            </w:r>
          </w:p>
          <w:p w14:paraId="67456A10"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nil"/>
              <w:right w:val="nil"/>
            </w:tcBorders>
            <w:shd w:val="clear" w:color="auto" w:fill="auto"/>
            <w:vAlign w:val="bottom"/>
            <w:hideMark/>
          </w:tcPr>
          <w:p w14:paraId="6D02DDE6" w14:textId="77777777" w:rsidR="0091774D" w:rsidRPr="009A428B" w:rsidRDefault="0091774D" w:rsidP="009130ED">
            <w:pPr>
              <w:spacing w:after="80" w:line="240" w:lineRule="exact"/>
              <w:rPr>
                <w:rFonts w:eastAsia="Times New Roman"/>
                <w:color w:val="000000"/>
                <w:sz w:val="20"/>
                <w:szCs w:val="20"/>
              </w:rPr>
            </w:pPr>
          </w:p>
        </w:tc>
        <w:tc>
          <w:tcPr>
            <w:tcW w:w="2088" w:type="dxa"/>
            <w:tcBorders>
              <w:top w:val="nil"/>
              <w:left w:val="nil"/>
              <w:bottom w:val="nil"/>
              <w:right w:val="nil"/>
            </w:tcBorders>
            <w:shd w:val="clear" w:color="auto" w:fill="auto"/>
            <w:vAlign w:val="bottom"/>
            <w:hideMark/>
          </w:tcPr>
          <w:p w14:paraId="2207A496" w14:textId="73729F5D"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008</w:t>
            </w:r>
            <w:r w:rsidR="00602C71">
              <w:rPr>
                <w:rFonts w:eastAsia="Times New Roman"/>
                <w:color w:val="000000"/>
                <w:sz w:val="20"/>
                <w:szCs w:val="20"/>
              </w:rPr>
              <w:t xml:space="preserve"> </w:t>
            </w:r>
            <w:r w:rsidRPr="009A428B">
              <w:rPr>
                <w:rFonts w:eastAsia="Times New Roman"/>
                <w:color w:val="000000"/>
                <w:sz w:val="20"/>
                <w:szCs w:val="20"/>
              </w:rPr>
              <w:t>85**</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003</w:t>
            </w:r>
            <w:r w:rsidR="00602C71">
              <w:rPr>
                <w:rFonts w:eastAsia="Times New Roman"/>
                <w:color w:val="000000"/>
                <w:sz w:val="20"/>
                <w:szCs w:val="20"/>
              </w:rPr>
              <w:t xml:space="preserve"> 938</w:t>
            </w:r>
            <w:r w:rsidRPr="009A428B">
              <w:rPr>
                <w:rFonts w:eastAsia="Times New Roman"/>
                <w:color w:val="000000"/>
                <w:sz w:val="20"/>
                <w:szCs w:val="20"/>
              </w:rPr>
              <w:t>)</w:t>
            </w:r>
          </w:p>
        </w:tc>
      </w:tr>
      <w:tr w:rsidR="0091774D" w:rsidRPr="009A428B" w14:paraId="09E8841A" w14:textId="77777777" w:rsidTr="0057176F">
        <w:trPr>
          <w:trHeight w:val="599"/>
          <w:jc w:val="center"/>
        </w:trPr>
        <w:tc>
          <w:tcPr>
            <w:tcW w:w="1637" w:type="dxa"/>
            <w:tcBorders>
              <w:top w:val="nil"/>
              <w:left w:val="nil"/>
              <w:bottom w:val="single" w:sz="4" w:space="0" w:color="auto"/>
              <w:right w:val="nil"/>
            </w:tcBorders>
            <w:shd w:val="clear" w:color="auto" w:fill="auto"/>
            <w:noWrap/>
            <w:vAlign w:val="bottom"/>
            <w:hideMark/>
          </w:tcPr>
          <w:p w14:paraId="6A8F782C" w14:textId="77777777"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Constant</w:t>
            </w:r>
          </w:p>
          <w:p w14:paraId="1D022D0B" w14:textId="77777777" w:rsidR="0091774D" w:rsidRPr="009A428B" w:rsidRDefault="0091774D" w:rsidP="009130ED">
            <w:pPr>
              <w:spacing w:after="80" w:line="240" w:lineRule="exact"/>
              <w:rPr>
                <w:rFonts w:eastAsia="Times New Roman"/>
                <w:color w:val="000000"/>
                <w:sz w:val="20"/>
                <w:szCs w:val="20"/>
              </w:rPr>
            </w:pPr>
          </w:p>
        </w:tc>
        <w:tc>
          <w:tcPr>
            <w:tcW w:w="2044" w:type="dxa"/>
            <w:tcBorders>
              <w:top w:val="nil"/>
              <w:left w:val="nil"/>
              <w:bottom w:val="single" w:sz="4" w:space="0" w:color="auto"/>
              <w:right w:val="nil"/>
            </w:tcBorders>
            <w:shd w:val="clear" w:color="auto" w:fill="auto"/>
            <w:vAlign w:val="bottom"/>
            <w:hideMark/>
          </w:tcPr>
          <w:p w14:paraId="7786B88A" w14:textId="06AE597B"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257</w:t>
            </w:r>
            <w:r w:rsidR="00602C71">
              <w:rPr>
                <w:rFonts w:eastAsia="Times New Roman"/>
                <w:color w:val="000000"/>
                <w:sz w:val="20"/>
                <w:szCs w:val="20"/>
              </w:rPr>
              <w:t xml:space="preserve"> 234</w:t>
            </w:r>
            <w:r w:rsidRPr="009A428B">
              <w:rPr>
                <w:rFonts w:eastAsia="Times New Roman"/>
                <w:color w:val="000000"/>
                <w:sz w:val="20"/>
                <w:szCs w:val="20"/>
              </w:rPr>
              <w:br/>
              <w:t>(0</w:t>
            </w:r>
            <w:r w:rsidR="00055FE6" w:rsidRPr="009A428B">
              <w:rPr>
                <w:rFonts w:eastAsia="Times New Roman"/>
                <w:color w:val="000000"/>
                <w:sz w:val="20"/>
                <w:szCs w:val="20"/>
              </w:rPr>
              <w:t>.</w:t>
            </w:r>
            <w:r w:rsidRPr="009A428B">
              <w:rPr>
                <w:rFonts w:eastAsia="Times New Roman"/>
                <w:color w:val="000000"/>
                <w:sz w:val="20"/>
                <w:szCs w:val="20"/>
              </w:rPr>
              <w:t>232</w:t>
            </w:r>
            <w:r w:rsidR="00602C71">
              <w:rPr>
                <w:rFonts w:eastAsia="Times New Roman"/>
                <w:color w:val="000000"/>
                <w:sz w:val="20"/>
                <w:szCs w:val="20"/>
              </w:rPr>
              <w:t xml:space="preserve"> 506</w:t>
            </w:r>
            <w:r w:rsidRPr="009A428B">
              <w:rPr>
                <w:rFonts w:eastAsia="Times New Roman"/>
                <w:color w:val="000000"/>
                <w:sz w:val="20"/>
                <w:szCs w:val="20"/>
              </w:rPr>
              <w:t>)</w:t>
            </w:r>
          </w:p>
        </w:tc>
        <w:tc>
          <w:tcPr>
            <w:tcW w:w="2088" w:type="dxa"/>
            <w:tcBorders>
              <w:top w:val="nil"/>
              <w:left w:val="nil"/>
              <w:bottom w:val="single" w:sz="4" w:space="0" w:color="auto"/>
              <w:right w:val="nil"/>
            </w:tcBorders>
            <w:shd w:val="clear" w:color="auto" w:fill="auto"/>
            <w:vAlign w:val="bottom"/>
            <w:hideMark/>
          </w:tcPr>
          <w:p w14:paraId="06627328" w14:textId="74B9ED9D" w:rsidR="0091774D" w:rsidRPr="009A428B" w:rsidRDefault="0091774D" w:rsidP="009130ED">
            <w:pPr>
              <w:spacing w:after="80" w:line="240" w:lineRule="exact"/>
              <w:rPr>
                <w:rFonts w:eastAsia="Times New Roman"/>
                <w:color w:val="000000"/>
                <w:sz w:val="20"/>
                <w:szCs w:val="20"/>
              </w:rPr>
            </w:pPr>
            <w:r w:rsidRPr="009A428B">
              <w:rPr>
                <w:rFonts w:eastAsia="Times New Roman"/>
                <w:color w:val="000000"/>
                <w:sz w:val="20"/>
                <w:szCs w:val="20"/>
              </w:rPr>
              <w:t>-0</w:t>
            </w:r>
            <w:r w:rsidR="00055FE6" w:rsidRPr="009A428B">
              <w:rPr>
                <w:rFonts w:eastAsia="Times New Roman"/>
                <w:color w:val="000000"/>
                <w:sz w:val="20"/>
                <w:szCs w:val="20"/>
              </w:rPr>
              <w:t>.</w:t>
            </w:r>
            <w:r w:rsidRPr="009A428B">
              <w:rPr>
                <w:rFonts w:eastAsia="Times New Roman"/>
                <w:color w:val="000000"/>
                <w:sz w:val="20"/>
                <w:szCs w:val="20"/>
              </w:rPr>
              <w:t>454</w:t>
            </w:r>
            <w:r w:rsidR="00602C71">
              <w:rPr>
                <w:rFonts w:eastAsia="Times New Roman"/>
                <w:color w:val="000000"/>
                <w:sz w:val="20"/>
                <w:szCs w:val="20"/>
              </w:rPr>
              <w:t xml:space="preserve"> 369</w:t>
            </w:r>
            <w:r w:rsidRPr="009A428B">
              <w:rPr>
                <w:rFonts w:eastAsia="Times New Roman"/>
                <w:color w:val="000000"/>
                <w:sz w:val="20"/>
                <w:szCs w:val="20"/>
              </w:rPr>
              <w:t>*</w:t>
            </w:r>
            <w:r w:rsidRPr="009A428B">
              <w:rPr>
                <w:rFonts w:eastAsia="Times New Roman"/>
                <w:color w:val="000000"/>
                <w:sz w:val="20"/>
                <w:szCs w:val="20"/>
              </w:rPr>
              <w:br/>
              <w:t>(0.270</w:t>
            </w:r>
            <w:r w:rsidR="00602C71">
              <w:rPr>
                <w:rFonts w:eastAsia="Times New Roman"/>
                <w:color w:val="000000"/>
                <w:sz w:val="20"/>
                <w:szCs w:val="20"/>
              </w:rPr>
              <w:t xml:space="preserve"> 737</w:t>
            </w:r>
            <w:r w:rsidRPr="009A428B">
              <w:rPr>
                <w:rFonts w:eastAsia="Times New Roman"/>
                <w:color w:val="000000"/>
                <w:sz w:val="20"/>
                <w:szCs w:val="20"/>
              </w:rPr>
              <w:t>)</w:t>
            </w:r>
          </w:p>
        </w:tc>
      </w:tr>
    </w:tbl>
    <w:p w14:paraId="38208042" w14:textId="11D1A912" w:rsidR="0091774D" w:rsidRPr="009A428B" w:rsidRDefault="006F0064" w:rsidP="009130ED">
      <w:pPr>
        <w:spacing w:after="80" w:line="240" w:lineRule="exact"/>
        <w:jc w:val="both"/>
        <w:rPr>
          <w:sz w:val="20"/>
          <w:szCs w:val="20"/>
        </w:rPr>
      </w:pPr>
      <w:r w:rsidRPr="009A428B">
        <w:rPr>
          <w:sz w:val="20"/>
          <w:szCs w:val="20"/>
        </w:rPr>
        <w:t>Note: numbers in parentheses are standard erro</w:t>
      </w:r>
      <w:r w:rsidR="00320D60" w:rsidRPr="009A428B">
        <w:rPr>
          <w:sz w:val="20"/>
          <w:szCs w:val="20"/>
        </w:rPr>
        <w:t>r</w:t>
      </w:r>
      <w:r w:rsidRPr="009A428B">
        <w:rPr>
          <w:sz w:val="20"/>
          <w:szCs w:val="20"/>
        </w:rPr>
        <w:t>s.</w:t>
      </w:r>
    </w:p>
    <w:p w14:paraId="088143C3" w14:textId="05C22F37" w:rsidR="0091774D" w:rsidRPr="009A428B" w:rsidRDefault="0091774D" w:rsidP="009130ED">
      <w:pPr>
        <w:spacing w:after="80" w:line="240" w:lineRule="exact"/>
        <w:jc w:val="both"/>
        <w:rPr>
          <w:sz w:val="20"/>
          <w:szCs w:val="20"/>
        </w:rPr>
      </w:pPr>
      <w:r w:rsidRPr="009A428B">
        <w:rPr>
          <w:sz w:val="20"/>
          <w:szCs w:val="20"/>
        </w:rPr>
        <w:t xml:space="preserve">*** </w:t>
      </w:r>
      <w:r w:rsidR="006F0064" w:rsidRPr="009A428B">
        <w:rPr>
          <w:sz w:val="20"/>
          <w:szCs w:val="20"/>
        </w:rPr>
        <w:t xml:space="preserve">significance at the </w:t>
      </w:r>
      <w:r w:rsidRPr="009A428B">
        <w:rPr>
          <w:sz w:val="20"/>
          <w:szCs w:val="20"/>
        </w:rPr>
        <w:t>1%</w:t>
      </w:r>
      <w:r w:rsidR="006F0064" w:rsidRPr="009A428B">
        <w:rPr>
          <w:sz w:val="20"/>
          <w:szCs w:val="20"/>
        </w:rPr>
        <w:t xml:space="preserve"> level</w:t>
      </w:r>
      <w:r w:rsidRPr="009A428B">
        <w:rPr>
          <w:sz w:val="20"/>
          <w:szCs w:val="20"/>
        </w:rPr>
        <w:t xml:space="preserve">; ** </w:t>
      </w:r>
      <w:r w:rsidR="006F0064" w:rsidRPr="009A428B">
        <w:rPr>
          <w:sz w:val="20"/>
          <w:szCs w:val="20"/>
        </w:rPr>
        <w:t xml:space="preserve">significance at the </w:t>
      </w:r>
      <w:r w:rsidRPr="009A428B">
        <w:rPr>
          <w:sz w:val="20"/>
          <w:szCs w:val="20"/>
        </w:rPr>
        <w:t>5%</w:t>
      </w:r>
      <w:r w:rsidR="006F0064" w:rsidRPr="009A428B">
        <w:rPr>
          <w:sz w:val="20"/>
          <w:szCs w:val="20"/>
        </w:rPr>
        <w:t xml:space="preserve"> level</w:t>
      </w:r>
      <w:r w:rsidRPr="009A428B">
        <w:rPr>
          <w:sz w:val="20"/>
          <w:szCs w:val="20"/>
        </w:rPr>
        <w:t>; *</w:t>
      </w:r>
      <w:r w:rsidR="006F0064" w:rsidRPr="009A428B">
        <w:rPr>
          <w:sz w:val="20"/>
          <w:szCs w:val="20"/>
        </w:rPr>
        <w:t xml:space="preserve"> significance at the </w:t>
      </w:r>
      <w:r w:rsidRPr="009A428B">
        <w:rPr>
          <w:sz w:val="20"/>
          <w:szCs w:val="20"/>
        </w:rPr>
        <w:t>10%</w:t>
      </w:r>
      <w:r w:rsidR="006F0064" w:rsidRPr="009A428B">
        <w:rPr>
          <w:sz w:val="20"/>
          <w:szCs w:val="20"/>
        </w:rPr>
        <w:t xml:space="preserve"> level</w:t>
      </w:r>
      <w:r w:rsidR="00CA6E73" w:rsidRPr="009A428B">
        <w:rPr>
          <w:sz w:val="20"/>
          <w:szCs w:val="20"/>
        </w:rPr>
        <w:t>.</w:t>
      </w:r>
      <w:r w:rsidRPr="009A428B">
        <w:rPr>
          <w:sz w:val="20"/>
          <w:szCs w:val="20"/>
        </w:rPr>
        <w:t xml:space="preserve"> </w:t>
      </w:r>
    </w:p>
    <w:p w14:paraId="1D4E436F" w14:textId="7DC3D217" w:rsidR="00E1601F" w:rsidRPr="009A428B" w:rsidRDefault="00320D60" w:rsidP="009130ED">
      <w:pPr>
        <w:spacing w:after="80" w:line="240" w:lineRule="exact"/>
        <w:jc w:val="both"/>
        <w:rPr>
          <w:sz w:val="20"/>
          <w:szCs w:val="20"/>
        </w:rPr>
      </w:pPr>
      <w:r w:rsidRPr="009A428B">
        <w:rPr>
          <w:sz w:val="20"/>
          <w:szCs w:val="20"/>
        </w:rPr>
        <w:t>Table 3 shows the regression results.</w:t>
      </w:r>
      <w:r w:rsidR="00055FE6" w:rsidRPr="009A428B">
        <w:rPr>
          <w:sz w:val="20"/>
          <w:szCs w:val="20"/>
        </w:rPr>
        <w:t xml:space="preserve"> The estimated coefficients of ASEAN are 0.3219 and 0.1453 for export and import respectively and all statistically significant at 1% level, suggesting that the ASEAN membership contributes positively to the Vietnam’</w:t>
      </w:r>
      <w:r w:rsidR="005766FF" w:rsidRPr="009A428B">
        <w:rPr>
          <w:sz w:val="20"/>
          <w:szCs w:val="20"/>
        </w:rPr>
        <w:t xml:space="preserve">s trade </w:t>
      </w:r>
      <w:r w:rsidR="005F443E" w:rsidRPr="009A428B">
        <w:rPr>
          <w:sz w:val="20"/>
          <w:szCs w:val="20"/>
        </w:rPr>
        <w:t>efficiency</w:t>
      </w:r>
      <w:r w:rsidR="00316E51" w:rsidRPr="009A428B">
        <w:rPr>
          <w:sz w:val="20"/>
          <w:szCs w:val="20"/>
        </w:rPr>
        <w:t>.</w:t>
      </w:r>
      <w:r w:rsidR="00571D8D" w:rsidRPr="009A428B">
        <w:rPr>
          <w:sz w:val="20"/>
          <w:szCs w:val="20"/>
        </w:rPr>
        <w:t xml:space="preserve"> The estimated coefficients of tariff are negative and</w:t>
      </w:r>
      <w:r w:rsidR="00246278" w:rsidRPr="009A428B">
        <w:rPr>
          <w:sz w:val="20"/>
          <w:szCs w:val="20"/>
        </w:rPr>
        <w:t xml:space="preserve"> statistically significant, implying that tariffs levied by trading partners or by Vietnam plays as one of driving factors to undermine the trade </w:t>
      </w:r>
      <w:r w:rsidR="005F443E" w:rsidRPr="009A428B">
        <w:rPr>
          <w:sz w:val="20"/>
          <w:szCs w:val="20"/>
        </w:rPr>
        <w:t>efficiency</w:t>
      </w:r>
      <w:r w:rsidR="00246278" w:rsidRPr="009A428B">
        <w:rPr>
          <w:sz w:val="20"/>
          <w:szCs w:val="20"/>
        </w:rPr>
        <w:t xml:space="preserve"> between Vietnam and those countries.</w:t>
      </w:r>
      <w:r w:rsidR="00007B9B" w:rsidRPr="009A428B">
        <w:rPr>
          <w:sz w:val="20"/>
          <w:szCs w:val="20"/>
        </w:rPr>
        <w:t xml:space="preserve"> The trading partners’ economic freedom significantly raised trade </w:t>
      </w:r>
      <w:r w:rsidR="005F443E" w:rsidRPr="009A428B">
        <w:rPr>
          <w:sz w:val="20"/>
          <w:szCs w:val="20"/>
        </w:rPr>
        <w:t>efficiency</w:t>
      </w:r>
      <w:r w:rsidR="00007B9B" w:rsidRPr="009A428B">
        <w:rPr>
          <w:sz w:val="20"/>
          <w:szCs w:val="20"/>
        </w:rPr>
        <w:t>, diminishing the gap between the actual and potential trade.</w:t>
      </w:r>
      <w:r w:rsidR="00FC0207" w:rsidRPr="009A428B">
        <w:rPr>
          <w:sz w:val="20"/>
          <w:szCs w:val="20"/>
        </w:rPr>
        <w:t xml:space="preserve"> Vietnam’s ec</w:t>
      </w:r>
      <w:r w:rsidR="00F13A89">
        <w:rPr>
          <w:sz w:val="20"/>
          <w:szCs w:val="20"/>
        </w:rPr>
        <w:t xml:space="preserve">onomic freedom coefficient is </w:t>
      </w:r>
      <w:r w:rsidR="00FC0207" w:rsidRPr="009A428B">
        <w:rPr>
          <w:sz w:val="20"/>
          <w:szCs w:val="20"/>
        </w:rPr>
        <w:t xml:space="preserve">significant </w:t>
      </w:r>
      <w:r w:rsidR="00F13A89">
        <w:rPr>
          <w:sz w:val="20"/>
          <w:szCs w:val="20"/>
        </w:rPr>
        <w:t>and</w:t>
      </w:r>
      <w:r w:rsidR="00655E00" w:rsidRPr="009A428B">
        <w:rPr>
          <w:sz w:val="20"/>
          <w:szCs w:val="20"/>
        </w:rPr>
        <w:t xml:space="preserve"> positive, </w:t>
      </w:r>
      <w:r w:rsidR="0008281D">
        <w:rPr>
          <w:sz w:val="20"/>
          <w:szCs w:val="20"/>
        </w:rPr>
        <w:t>which</w:t>
      </w:r>
      <w:r w:rsidR="00655E00" w:rsidRPr="009A428B">
        <w:rPr>
          <w:sz w:val="20"/>
          <w:szCs w:val="20"/>
        </w:rPr>
        <w:t xml:space="preserve"> reflected the achievements of Vietnam Economic Reform, the so</w:t>
      </w:r>
      <w:r w:rsidR="00927D99" w:rsidRPr="009A428B">
        <w:rPr>
          <w:sz w:val="20"/>
          <w:szCs w:val="20"/>
        </w:rPr>
        <w:t>-</w:t>
      </w:r>
      <w:r w:rsidR="00655E00" w:rsidRPr="009A428B">
        <w:rPr>
          <w:sz w:val="20"/>
          <w:szCs w:val="20"/>
        </w:rPr>
        <w:t>called “Doi Moi”.</w:t>
      </w:r>
      <w:r w:rsidR="00562D5C" w:rsidRPr="009A428B">
        <w:rPr>
          <w:sz w:val="20"/>
          <w:szCs w:val="20"/>
        </w:rPr>
        <w:t xml:space="preserve"> The coefficient of LnREER is 0.0429 and significant at 10% level, whereas that of LnREERVN is -0.1157 and significant at 5%.</w:t>
      </w:r>
      <w:r w:rsidR="00B56952" w:rsidRPr="009A428B">
        <w:rPr>
          <w:sz w:val="20"/>
          <w:szCs w:val="20"/>
        </w:rPr>
        <w:t xml:space="preserve"> It means that Vietnam can not enjoy the benefits from domestic currency’s devaluation as its trading partners do.</w:t>
      </w:r>
      <w:r w:rsidR="00292CAD" w:rsidRPr="009A428B">
        <w:rPr>
          <w:sz w:val="20"/>
          <w:szCs w:val="20"/>
        </w:rPr>
        <w:t xml:space="preserve"> The low competitive ability of </w:t>
      </w:r>
      <w:r w:rsidR="00D72B14" w:rsidRPr="009A428B">
        <w:rPr>
          <w:sz w:val="20"/>
          <w:szCs w:val="20"/>
        </w:rPr>
        <w:t xml:space="preserve">Vietnam’s products is the main reason. Moreover, the loss of Vietnam </w:t>
      </w:r>
      <w:r w:rsidR="00D72B14" w:rsidRPr="009A428B">
        <w:rPr>
          <w:sz w:val="20"/>
          <w:szCs w:val="20"/>
        </w:rPr>
        <w:lastRenderedPageBreak/>
        <w:t xml:space="preserve">dong value increases the </w:t>
      </w:r>
      <w:r w:rsidR="0060080B" w:rsidRPr="009A428B">
        <w:rPr>
          <w:sz w:val="20"/>
          <w:szCs w:val="20"/>
        </w:rPr>
        <w:t xml:space="preserve">price of imported inputs mainly </w:t>
      </w:r>
      <w:r w:rsidR="00D72B14" w:rsidRPr="009A428B">
        <w:rPr>
          <w:sz w:val="20"/>
          <w:szCs w:val="20"/>
        </w:rPr>
        <w:t xml:space="preserve">used to produce exporting goods, </w:t>
      </w:r>
      <w:r w:rsidR="00C42A6A">
        <w:rPr>
          <w:sz w:val="20"/>
          <w:szCs w:val="20"/>
        </w:rPr>
        <w:t xml:space="preserve">which further deteriorates </w:t>
      </w:r>
      <w:r w:rsidR="009A15C1">
        <w:rPr>
          <w:sz w:val="20"/>
          <w:szCs w:val="20"/>
        </w:rPr>
        <w:t>the competitive ability of Vietnam’s exports.</w:t>
      </w:r>
    </w:p>
    <w:p w14:paraId="428816D1" w14:textId="5A9F0186" w:rsidR="00066791" w:rsidRDefault="00C77BF2" w:rsidP="009130ED">
      <w:pPr>
        <w:spacing w:after="80" w:line="240" w:lineRule="exact"/>
        <w:jc w:val="both"/>
        <w:rPr>
          <w:sz w:val="20"/>
          <w:szCs w:val="20"/>
        </w:rPr>
      </w:pPr>
      <w:r w:rsidRPr="009A428B">
        <w:rPr>
          <w:sz w:val="20"/>
          <w:szCs w:val="20"/>
        </w:rPr>
        <w:t xml:space="preserve">It is worthy to explain the reason why export </w:t>
      </w:r>
      <w:r w:rsidR="005F443E" w:rsidRPr="009A428B">
        <w:rPr>
          <w:sz w:val="20"/>
          <w:szCs w:val="20"/>
        </w:rPr>
        <w:t>efficiency</w:t>
      </w:r>
      <w:r w:rsidRPr="009A428B">
        <w:rPr>
          <w:sz w:val="20"/>
          <w:szCs w:val="20"/>
        </w:rPr>
        <w:t xml:space="preserve"> exceeds import</w:t>
      </w:r>
      <w:r w:rsidR="000F4494" w:rsidRPr="009A428B">
        <w:rPr>
          <w:sz w:val="20"/>
          <w:szCs w:val="20"/>
        </w:rPr>
        <w:t>’s</w:t>
      </w:r>
      <w:r w:rsidR="00485A34" w:rsidRPr="009A428B">
        <w:rPr>
          <w:sz w:val="20"/>
          <w:szCs w:val="20"/>
        </w:rPr>
        <w:t xml:space="preserve"> as we saw in Figure 1.</w:t>
      </w:r>
      <w:r w:rsidR="00DF5922" w:rsidRPr="009A428B">
        <w:rPr>
          <w:sz w:val="20"/>
          <w:szCs w:val="20"/>
        </w:rPr>
        <w:t xml:space="preserve"> </w:t>
      </w:r>
      <w:r w:rsidR="00D779A3" w:rsidRPr="009A428B">
        <w:rPr>
          <w:sz w:val="20"/>
          <w:szCs w:val="20"/>
        </w:rPr>
        <w:t xml:space="preserve">The adverse effects of Vietnam’s trade balance deficit in the long term lead to </w:t>
      </w:r>
      <w:r w:rsidR="00BC132E" w:rsidRPr="009A428B">
        <w:rPr>
          <w:sz w:val="20"/>
          <w:szCs w:val="20"/>
        </w:rPr>
        <w:t xml:space="preserve">a </w:t>
      </w:r>
      <w:r w:rsidR="00D779A3" w:rsidRPr="009A428B">
        <w:rPr>
          <w:sz w:val="20"/>
          <w:szCs w:val="20"/>
        </w:rPr>
        <w:t>gap betwe</w:t>
      </w:r>
      <w:r w:rsidR="00D22871" w:rsidRPr="009A428B">
        <w:rPr>
          <w:sz w:val="20"/>
          <w:szCs w:val="20"/>
        </w:rPr>
        <w:t>en exports and imports barriers. Trade deficit comes from the</w:t>
      </w:r>
      <w:r w:rsidR="00D779A3" w:rsidRPr="009A428B">
        <w:rPr>
          <w:sz w:val="20"/>
          <w:szCs w:val="20"/>
        </w:rPr>
        <w:t xml:space="preserve"> prolonged severe imbal</w:t>
      </w:r>
      <w:r w:rsidR="00F261AC" w:rsidRPr="009A428B">
        <w:rPr>
          <w:sz w:val="20"/>
          <w:szCs w:val="20"/>
        </w:rPr>
        <w:t>ance in the structure of export</w:t>
      </w:r>
      <w:r w:rsidR="00BA17D0" w:rsidRPr="009A428B">
        <w:rPr>
          <w:sz w:val="20"/>
          <w:szCs w:val="20"/>
        </w:rPr>
        <w:t>’</w:t>
      </w:r>
      <w:r w:rsidR="00F261AC" w:rsidRPr="009A428B">
        <w:rPr>
          <w:sz w:val="20"/>
          <w:szCs w:val="20"/>
        </w:rPr>
        <w:t>s and import</w:t>
      </w:r>
      <w:r w:rsidR="00BA17D0" w:rsidRPr="009A428B">
        <w:rPr>
          <w:sz w:val="20"/>
          <w:szCs w:val="20"/>
        </w:rPr>
        <w:t>’</w:t>
      </w:r>
      <w:r w:rsidR="00F261AC" w:rsidRPr="009A428B">
        <w:rPr>
          <w:sz w:val="20"/>
          <w:szCs w:val="20"/>
        </w:rPr>
        <w:t>s</w:t>
      </w:r>
      <w:r w:rsidR="00D903D3" w:rsidRPr="009A428B">
        <w:rPr>
          <w:sz w:val="20"/>
          <w:szCs w:val="20"/>
        </w:rPr>
        <w:t xml:space="preserve"> goods</w:t>
      </w:r>
      <w:r w:rsidR="00D006AD" w:rsidRPr="009A428B">
        <w:rPr>
          <w:sz w:val="20"/>
          <w:szCs w:val="20"/>
        </w:rPr>
        <w:t>. To reduce the trade deficit, Vietnam in the past two decades has adjusted t</w:t>
      </w:r>
      <w:r w:rsidR="00BB21BA" w:rsidRPr="009A428B">
        <w:rPr>
          <w:sz w:val="20"/>
          <w:szCs w:val="20"/>
        </w:rPr>
        <w:t xml:space="preserve">he exchange rate policy, </w:t>
      </w:r>
      <w:r w:rsidR="00BD4441" w:rsidRPr="009A428B">
        <w:rPr>
          <w:sz w:val="20"/>
          <w:szCs w:val="20"/>
        </w:rPr>
        <w:t>implemented</w:t>
      </w:r>
      <w:r w:rsidR="00D006AD" w:rsidRPr="009A428B">
        <w:rPr>
          <w:sz w:val="20"/>
          <w:szCs w:val="20"/>
        </w:rPr>
        <w:t xml:space="preserve"> the restructuring of import a</w:t>
      </w:r>
      <w:r w:rsidR="00BB21BA" w:rsidRPr="009A428B">
        <w:rPr>
          <w:sz w:val="20"/>
          <w:szCs w:val="20"/>
        </w:rPr>
        <w:t xml:space="preserve">nd export goods, </w:t>
      </w:r>
      <w:r w:rsidR="00BD4441" w:rsidRPr="009A428B">
        <w:rPr>
          <w:sz w:val="20"/>
          <w:szCs w:val="20"/>
        </w:rPr>
        <w:t>improved</w:t>
      </w:r>
      <w:r w:rsidR="00D006AD" w:rsidRPr="009A428B">
        <w:rPr>
          <w:sz w:val="20"/>
          <w:szCs w:val="20"/>
        </w:rPr>
        <w:t xml:space="preserve"> the institutional environment</w:t>
      </w:r>
      <w:r w:rsidR="00BB21BA" w:rsidRPr="009A428B">
        <w:rPr>
          <w:sz w:val="20"/>
          <w:szCs w:val="20"/>
        </w:rPr>
        <w:t>,</w:t>
      </w:r>
      <w:r w:rsidR="00D006AD" w:rsidRPr="009A428B">
        <w:rPr>
          <w:sz w:val="20"/>
          <w:szCs w:val="20"/>
        </w:rPr>
        <w:t xml:space="preserve"> and </w:t>
      </w:r>
      <w:r w:rsidR="005B4D73" w:rsidRPr="009A428B">
        <w:rPr>
          <w:sz w:val="20"/>
          <w:szCs w:val="20"/>
        </w:rPr>
        <w:t xml:space="preserve">provided </w:t>
      </w:r>
      <w:r w:rsidR="00BB21BA" w:rsidRPr="009A428B">
        <w:rPr>
          <w:sz w:val="20"/>
          <w:szCs w:val="20"/>
        </w:rPr>
        <w:t>policies that</w:t>
      </w:r>
      <w:r w:rsidR="00D006AD" w:rsidRPr="009A428B">
        <w:rPr>
          <w:sz w:val="20"/>
          <w:szCs w:val="20"/>
        </w:rPr>
        <w:t xml:space="preserve"> </w:t>
      </w:r>
      <w:r w:rsidR="00BB21BA" w:rsidRPr="009A428B">
        <w:rPr>
          <w:sz w:val="20"/>
          <w:szCs w:val="20"/>
        </w:rPr>
        <w:t>promote</w:t>
      </w:r>
      <w:r w:rsidR="004D47D6">
        <w:rPr>
          <w:sz w:val="20"/>
          <w:szCs w:val="20"/>
        </w:rPr>
        <w:t>d</w:t>
      </w:r>
      <w:r w:rsidR="00D006AD" w:rsidRPr="009A428B">
        <w:rPr>
          <w:sz w:val="20"/>
          <w:szCs w:val="20"/>
        </w:rPr>
        <w:t xml:space="preserve"> export industries.</w:t>
      </w:r>
      <w:r w:rsidR="00DE1AF5" w:rsidRPr="009A428B">
        <w:rPr>
          <w:sz w:val="20"/>
          <w:szCs w:val="20"/>
        </w:rPr>
        <w:t xml:space="preserve"> As a result, the export </w:t>
      </w:r>
      <w:r w:rsidR="002A3B14" w:rsidRPr="009A428B">
        <w:rPr>
          <w:sz w:val="20"/>
          <w:szCs w:val="20"/>
        </w:rPr>
        <w:t>ba</w:t>
      </w:r>
      <w:r w:rsidR="00360915" w:rsidRPr="009A428B">
        <w:rPr>
          <w:sz w:val="20"/>
          <w:szCs w:val="20"/>
        </w:rPr>
        <w:t>rriers</w:t>
      </w:r>
      <w:r w:rsidR="002A3B14" w:rsidRPr="009A428B">
        <w:rPr>
          <w:sz w:val="20"/>
          <w:szCs w:val="20"/>
        </w:rPr>
        <w:t xml:space="preserve"> </w:t>
      </w:r>
      <w:r w:rsidR="00360915" w:rsidRPr="009A428B">
        <w:rPr>
          <w:sz w:val="20"/>
          <w:szCs w:val="20"/>
        </w:rPr>
        <w:t xml:space="preserve">are </w:t>
      </w:r>
      <w:r w:rsidR="00DE1AF5" w:rsidRPr="009A428B">
        <w:rPr>
          <w:sz w:val="20"/>
          <w:szCs w:val="20"/>
        </w:rPr>
        <w:t xml:space="preserve">lower than </w:t>
      </w:r>
      <w:r w:rsidR="00360915" w:rsidRPr="009A428B">
        <w:rPr>
          <w:sz w:val="20"/>
          <w:szCs w:val="20"/>
        </w:rPr>
        <w:t xml:space="preserve">those </w:t>
      </w:r>
      <w:r w:rsidR="00DE1AF5" w:rsidRPr="009A428B">
        <w:rPr>
          <w:sz w:val="20"/>
          <w:szCs w:val="20"/>
        </w:rPr>
        <w:t>of import</w:t>
      </w:r>
      <w:r w:rsidR="006814EC" w:rsidRPr="009A428B">
        <w:rPr>
          <w:sz w:val="20"/>
          <w:szCs w:val="20"/>
        </w:rPr>
        <w:t>, reflecting the export-</w:t>
      </w:r>
      <w:r w:rsidR="00DE1AF5" w:rsidRPr="009A428B">
        <w:rPr>
          <w:sz w:val="20"/>
          <w:szCs w:val="20"/>
        </w:rPr>
        <w:t xml:space="preserve">oriented </w:t>
      </w:r>
      <w:r w:rsidR="006814EC" w:rsidRPr="009A428B">
        <w:rPr>
          <w:sz w:val="20"/>
          <w:szCs w:val="20"/>
        </w:rPr>
        <w:t>industrialization</w:t>
      </w:r>
      <w:r w:rsidR="00D913AA" w:rsidRPr="009A428B">
        <w:rPr>
          <w:sz w:val="20"/>
          <w:szCs w:val="20"/>
        </w:rPr>
        <w:t xml:space="preserve"> of Vietnam.</w:t>
      </w:r>
      <w:r w:rsidR="00F630D2" w:rsidRPr="009A428B">
        <w:rPr>
          <w:sz w:val="20"/>
          <w:szCs w:val="20"/>
        </w:rPr>
        <w:t xml:space="preserve"> Vietnam’s government has conti</w:t>
      </w:r>
      <w:r w:rsidR="00344F84" w:rsidRPr="009A428B">
        <w:rPr>
          <w:sz w:val="20"/>
          <w:szCs w:val="20"/>
        </w:rPr>
        <w:t xml:space="preserve">nued to implement policies restricting imports to protect domestic industries, the average tax rates of Vietnam are twice higher than </w:t>
      </w:r>
      <w:r w:rsidR="0051102C" w:rsidRPr="009A428B">
        <w:rPr>
          <w:sz w:val="20"/>
          <w:szCs w:val="20"/>
        </w:rPr>
        <w:t xml:space="preserve">its </w:t>
      </w:r>
      <w:r w:rsidR="00344F84" w:rsidRPr="009A428B">
        <w:rPr>
          <w:sz w:val="20"/>
          <w:szCs w:val="20"/>
        </w:rPr>
        <w:t>trad</w:t>
      </w:r>
      <w:r w:rsidR="00FE0B42" w:rsidRPr="009A428B">
        <w:rPr>
          <w:sz w:val="20"/>
          <w:szCs w:val="20"/>
        </w:rPr>
        <w:t>ing partners (11.4% versus 5.7%</w:t>
      </w:r>
      <w:r w:rsidR="00344F84" w:rsidRPr="009A428B">
        <w:rPr>
          <w:sz w:val="20"/>
          <w:szCs w:val="20"/>
        </w:rPr>
        <w:t>)</w:t>
      </w:r>
      <w:r w:rsidR="001937E2" w:rsidRPr="009A428B">
        <w:rPr>
          <w:sz w:val="20"/>
          <w:szCs w:val="20"/>
        </w:rPr>
        <w:t xml:space="preserve"> (World Bank tariff database)</w:t>
      </w:r>
      <w:r w:rsidR="00344F84" w:rsidRPr="009A428B">
        <w:rPr>
          <w:sz w:val="20"/>
          <w:szCs w:val="20"/>
        </w:rPr>
        <w:t xml:space="preserve">. </w:t>
      </w:r>
      <w:r w:rsidR="00FE0B42" w:rsidRPr="009A428B">
        <w:rPr>
          <w:sz w:val="20"/>
          <w:szCs w:val="20"/>
        </w:rPr>
        <w:t>Moreover, regression r</w:t>
      </w:r>
      <w:r w:rsidR="00344F84" w:rsidRPr="009A428B">
        <w:rPr>
          <w:sz w:val="20"/>
          <w:szCs w:val="20"/>
        </w:rPr>
        <w:t>esul</w:t>
      </w:r>
      <w:r w:rsidR="00FE0B42" w:rsidRPr="009A428B">
        <w:rPr>
          <w:sz w:val="20"/>
          <w:szCs w:val="20"/>
        </w:rPr>
        <w:t>ts showed that</w:t>
      </w:r>
      <w:r w:rsidR="00344F84" w:rsidRPr="009A428B">
        <w:rPr>
          <w:sz w:val="20"/>
          <w:szCs w:val="20"/>
        </w:rPr>
        <w:t xml:space="preserve"> </w:t>
      </w:r>
      <w:r w:rsidR="00FE0B42" w:rsidRPr="009A428B">
        <w:rPr>
          <w:sz w:val="20"/>
          <w:szCs w:val="20"/>
        </w:rPr>
        <w:t xml:space="preserve">the absolute value of </w:t>
      </w:r>
      <w:r w:rsidR="00344F84" w:rsidRPr="009A428B">
        <w:rPr>
          <w:sz w:val="20"/>
          <w:szCs w:val="20"/>
        </w:rPr>
        <w:t xml:space="preserve">estimated coefficients </w:t>
      </w:r>
      <w:r w:rsidR="00FE0B42" w:rsidRPr="009A428B">
        <w:rPr>
          <w:sz w:val="20"/>
          <w:szCs w:val="20"/>
        </w:rPr>
        <w:t>of TR</w:t>
      </w:r>
      <w:r w:rsidR="00344F84" w:rsidRPr="009A428B">
        <w:rPr>
          <w:sz w:val="20"/>
          <w:szCs w:val="20"/>
        </w:rPr>
        <w:t xml:space="preserve">VN </w:t>
      </w:r>
      <w:r w:rsidR="00FE0B42" w:rsidRPr="009A428B">
        <w:rPr>
          <w:sz w:val="20"/>
          <w:szCs w:val="20"/>
        </w:rPr>
        <w:t>is five time</w:t>
      </w:r>
      <w:r w:rsidR="00645E8B" w:rsidRPr="009A428B">
        <w:rPr>
          <w:sz w:val="20"/>
          <w:szCs w:val="20"/>
        </w:rPr>
        <w:t>s</w:t>
      </w:r>
      <w:r w:rsidR="00FE0B42" w:rsidRPr="009A428B">
        <w:rPr>
          <w:sz w:val="20"/>
          <w:szCs w:val="20"/>
        </w:rPr>
        <w:t xml:space="preserve"> </w:t>
      </w:r>
      <w:r w:rsidR="004D47D6">
        <w:rPr>
          <w:sz w:val="20"/>
          <w:szCs w:val="20"/>
        </w:rPr>
        <w:t>higher</w:t>
      </w:r>
      <w:r w:rsidR="00FE0B42" w:rsidRPr="009A428B">
        <w:rPr>
          <w:sz w:val="20"/>
          <w:szCs w:val="20"/>
        </w:rPr>
        <w:t xml:space="preserve"> than</w:t>
      </w:r>
      <w:r w:rsidR="00344F84" w:rsidRPr="009A428B">
        <w:rPr>
          <w:sz w:val="20"/>
          <w:szCs w:val="20"/>
        </w:rPr>
        <w:t xml:space="preserve"> </w:t>
      </w:r>
      <w:r w:rsidR="00FE0B42" w:rsidRPr="009A428B">
        <w:rPr>
          <w:sz w:val="20"/>
          <w:szCs w:val="20"/>
        </w:rPr>
        <w:t>that of Tariff,</w:t>
      </w:r>
      <w:r w:rsidR="00344F84" w:rsidRPr="009A428B">
        <w:rPr>
          <w:sz w:val="20"/>
          <w:szCs w:val="20"/>
        </w:rPr>
        <w:t xml:space="preserve"> low</w:t>
      </w:r>
      <w:r w:rsidR="00645E8B" w:rsidRPr="009A428B">
        <w:rPr>
          <w:sz w:val="20"/>
          <w:szCs w:val="20"/>
        </w:rPr>
        <w:t xml:space="preserve">ering import </w:t>
      </w:r>
      <w:r w:rsidR="005F443E" w:rsidRPr="009A428B">
        <w:rPr>
          <w:sz w:val="20"/>
          <w:szCs w:val="20"/>
        </w:rPr>
        <w:t>efficiency</w:t>
      </w:r>
      <w:r w:rsidR="00645E8B" w:rsidRPr="009A428B">
        <w:rPr>
          <w:sz w:val="20"/>
          <w:szCs w:val="20"/>
        </w:rPr>
        <w:t xml:space="preserve"> much more than</w:t>
      </w:r>
      <w:r w:rsidR="00344F84" w:rsidRPr="009A428B">
        <w:rPr>
          <w:sz w:val="20"/>
          <w:szCs w:val="20"/>
        </w:rPr>
        <w:t xml:space="preserve"> </w:t>
      </w:r>
      <w:r w:rsidR="00540041">
        <w:rPr>
          <w:sz w:val="20"/>
          <w:szCs w:val="20"/>
        </w:rPr>
        <w:t>export efficiency</w:t>
      </w:r>
      <w:r w:rsidR="00344F84" w:rsidRPr="009A428B">
        <w:rPr>
          <w:sz w:val="20"/>
          <w:szCs w:val="20"/>
        </w:rPr>
        <w:t>.</w:t>
      </w:r>
    </w:p>
    <w:p w14:paraId="53E1570B" w14:textId="00870725" w:rsidR="00BC132E" w:rsidRPr="00066791" w:rsidRDefault="008C6A80" w:rsidP="009130ED">
      <w:pPr>
        <w:spacing w:after="80" w:line="240" w:lineRule="exact"/>
        <w:jc w:val="both"/>
        <w:rPr>
          <w:b/>
          <w:sz w:val="20"/>
          <w:szCs w:val="20"/>
        </w:rPr>
      </w:pPr>
      <w:r>
        <w:rPr>
          <w:b/>
          <w:sz w:val="20"/>
          <w:szCs w:val="20"/>
        </w:rPr>
        <w:t>6</w:t>
      </w:r>
      <w:r w:rsidR="002A5166" w:rsidRPr="00066791">
        <w:rPr>
          <w:b/>
          <w:sz w:val="20"/>
          <w:szCs w:val="20"/>
        </w:rPr>
        <w:t>. Concluding Remark</w:t>
      </w:r>
      <w:r w:rsidR="00BC132E" w:rsidRPr="00066791">
        <w:rPr>
          <w:b/>
          <w:sz w:val="20"/>
          <w:szCs w:val="20"/>
        </w:rPr>
        <w:t>s</w:t>
      </w:r>
    </w:p>
    <w:p w14:paraId="64086CB5" w14:textId="1D6FF019" w:rsidR="00FE330B" w:rsidRDefault="00B44D1C" w:rsidP="009130ED">
      <w:pPr>
        <w:spacing w:after="80" w:line="240" w:lineRule="exact"/>
        <w:jc w:val="both"/>
        <w:rPr>
          <w:sz w:val="20"/>
          <w:szCs w:val="20"/>
        </w:rPr>
      </w:pPr>
      <w:r w:rsidRPr="009A428B">
        <w:rPr>
          <w:sz w:val="20"/>
          <w:szCs w:val="20"/>
        </w:rPr>
        <w:t>In this paper, we estimate</w:t>
      </w:r>
      <w:r w:rsidR="00BC132E" w:rsidRPr="009A428B">
        <w:rPr>
          <w:sz w:val="20"/>
          <w:szCs w:val="20"/>
        </w:rPr>
        <w:t>d</w:t>
      </w:r>
      <w:r w:rsidRPr="009A428B">
        <w:rPr>
          <w:sz w:val="20"/>
          <w:szCs w:val="20"/>
        </w:rPr>
        <w:t xml:space="preserve"> </w:t>
      </w:r>
      <w:r w:rsidR="00BC132E" w:rsidRPr="009A428B">
        <w:rPr>
          <w:sz w:val="20"/>
          <w:szCs w:val="20"/>
        </w:rPr>
        <w:t xml:space="preserve">the </w:t>
      </w:r>
      <w:r w:rsidRPr="009A428B">
        <w:rPr>
          <w:sz w:val="20"/>
          <w:szCs w:val="20"/>
        </w:rPr>
        <w:t xml:space="preserve">trade </w:t>
      </w:r>
      <w:r w:rsidR="005F443E" w:rsidRPr="009A428B">
        <w:rPr>
          <w:sz w:val="20"/>
          <w:szCs w:val="20"/>
        </w:rPr>
        <w:t>efficiency</w:t>
      </w:r>
      <w:r w:rsidRPr="009A428B">
        <w:rPr>
          <w:sz w:val="20"/>
          <w:szCs w:val="20"/>
        </w:rPr>
        <w:t xml:space="preserve"> of Vietnam with its major</w:t>
      </w:r>
      <w:r w:rsidR="00663109">
        <w:rPr>
          <w:sz w:val="20"/>
          <w:szCs w:val="20"/>
        </w:rPr>
        <w:t xml:space="preserve"> trading partners and determined factors which affect Vietnam’s trade efficiency. Stochastic gravity model was employed with data from 30 countries in the period 1995-2015.</w:t>
      </w:r>
      <w:r w:rsidR="003D678F">
        <w:rPr>
          <w:sz w:val="20"/>
          <w:szCs w:val="20"/>
        </w:rPr>
        <w:t xml:space="preserve"> </w:t>
      </w:r>
      <w:r w:rsidRPr="009A428B">
        <w:rPr>
          <w:sz w:val="20"/>
          <w:szCs w:val="20"/>
        </w:rPr>
        <w:t xml:space="preserve">Our empirical results indicate that, Vietnam’s trade </w:t>
      </w:r>
      <w:r w:rsidR="009F0A58">
        <w:rPr>
          <w:sz w:val="20"/>
          <w:szCs w:val="20"/>
        </w:rPr>
        <w:t>is</w:t>
      </w:r>
      <w:r w:rsidRPr="009A428B">
        <w:rPr>
          <w:sz w:val="20"/>
          <w:szCs w:val="20"/>
        </w:rPr>
        <w:t xml:space="preserve"> much </w:t>
      </w:r>
      <w:r w:rsidR="00BC132E" w:rsidRPr="009A428B">
        <w:rPr>
          <w:sz w:val="20"/>
          <w:szCs w:val="20"/>
        </w:rPr>
        <w:t>be</w:t>
      </w:r>
      <w:r w:rsidRPr="009A428B">
        <w:rPr>
          <w:sz w:val="20"/>
          <w:szCs w:val="20"/>
        </w:rPr>
        <w:t>lo</w:t>
      </w:r>
      <w:r w:rsidR="00484D83" w:rsidRPr="009A428B">
        <w:rPr>
          <w:sz w:val="20"/>
          <w:szCs w:val="20"/>
        </w:rPr>
        <w:t xml:space="preserve">w the highest potentials and exports </w:t>
      </w:r>
      <w:r w:rsidR="00BC132E" w:rsidRPr="009A428B">
        <w:rPr>
          <w:sz w:val="20"/>
          <w:szCs w:val="20"/>
        </w:rPr>
        <w:t xml:space="preserve">contribute more to the overall efficiency </w:t>
      </w:r>
      <w:r w:rsidR="00484D83" w:rsidRPr="009A428B">
        <w:rPr>
          <w:sz w:val="20"/>
          <w:szCs w:val="20"/>
        </w:rPr>
        <w:t>than imports do.</w:t>
      </w:r>
      <w:r w:rsidR="00E96616" w:rsidRPr="009A428B">
        <w:rPr>
          <w:sz w:val="20"/>
          <w:szCs w:val="20"/>
        </w:rPr>
        <w:t xml:space="preserve"> </w:t>
      </w:r>
      <w:r w:rsidR="00FE330B">
        <w:rPr>
          <w:sz w:val="20"/>
          <w:szCs w:val="20"/>
        </w:rPr>
        <w:t>Although increasing over periods surveyed, the Vietnam’</w:t>
      </w:r>
      <w:r w:rsidR="00306EAE">
        <w:rPr>
          <w:sz w:val="20"/>
          <w:szCs w:val="20"/>
        </w:rPr>
        <w:t>s trade efficiencies</w:t>
      </w:r>
      <w:r w:rsidR="00FE330B">
        <w:rPr>
          <w:sz w:val="20"/>
          <w:szCs w:val="20"/>
        </w:rPr>
        <w:t xml:space="preserve"> </w:t>
      </w:r>
      <w:r w:rsidR="00306EAE">
        <w:rPr>
          <w:sz w:val="20"/>
          <w:szCs w:val="20"/>
        </w:rPr>
        <w:t xml:space="preserve">are still very modest, </w:t>
      </w:r>
      <w:r w:rsidR="008A766E">
        <w:rPr>
          <w:sz w:val="20"/>
          <w:szCs w:val="20"/>
        </w:rPr>
        <w:t xml:space="preserve">with </w:t>
      </w:r>
      <w:r w:rsidR="00306EAE">
        <w:rPr>
          <w:sz w:val="20"/>
          <w:szCs w:val="20"/>
        </w:rPr>
        <w:t>the average number being around 30% in 2015.</w:t>
      </w:r>
      <w:r w:rsidR="005550BD">
        <w:rPr>
          <w:sz w:val="20"/>
          <w:szCs w:val="20"/>
        </w:rPr>
        <w:t xml:space="preserve"> </w:t>
      </w:r>
      <w:r w:rsidR="00FE7702">
        <w:rPr>
          <w:sz w:val="20"/>
          <w:szCs w:val="20"/>
        </w:rPr>
        <w:t>This implies that there is still large room for improving trade relation between Vietnam and its trading partners.</w:t>
      </w:r>
      <w:r w:rsidR="001161A3">
        <w:rPr>
          <w:sz w:val="20"/>
          <w:szCs w:val="20"/>
        </w:rPr>
        <w:t xml:space="preserve"> </w:t>
      </w:r>
      <w:r w:rsidR="00513AB9">
        <w:rPr>
          <w:sz w:val="20"/>
          <w:szCs w:val="20"/>
        </w:rPr>
        <w:t>Vietnam’</w:t>
      </w:r>
      <w:r w:rsidR="00492D1C">
        <w:rPr>
          <w:sz w:val="20"/>
          <w:szCs w:val="20"/>
        </w:rPr>
        <w:t>s trade efficiencies with AFTA</w:t>
      </w:r>
      <w:r w:rsidR="00513AB9">
        <w:rPr>
          <w:sz w:val="20"/>
          <w:szCs w:val="20"/>
        </w:rPr>
        <w:t xml:space="preserve"> members are much higher than with EU and NAFTA.</w:t>
      </w:r>
      <w:r w:rsidR="00FE7702">
        <w:rPr>
          <w:sz w:val="20"/>
          <w:szCs w:val="20"/>
        </w:rPr>
        <w:t xml:space="preserve"> </w:t>
      </w:r>
      <w:r w:rsidR="00DA18DC">
        <w:rPr>
          <w:sz w:val="20"/>
          <w:szCs w:val="20"/>
        </w:rPr>
        <w:t>This indicates that there is a need to improve Vietnam’s trade with EU and NAFTA because they are the main trading partners</w:t>
      </w:r>
      <w:r w:rsidR="00BA4BBE">
        <w:rPr>
          <w:sz w:val="20"/>
          <w:szCs w:val="20"/>
        </w:rPr>
        <w:t xml:space="preserve"> of Vietnam</w:t>
      </w:r>
      <w:r w:rsidR="00DA18DC">
        <w:rPr>
          <w:sz w:val="20"/>
          <w:szCs w:val="20"/>
        </w:rPr>
        <w:t>.</w:t>
      </w:r>
    </w:p>
    <w:p w14:paraId="347048DA" w14:textId="13F07D12" w:rsidR="002030B4" w:rsidRPr="009A428B" w:rsidRDefault="00BF1260" w:rsidP="009130ED">
      <w:pPr>
        <w:spacing w:after="80" w:line="240" w:lineRule="exact"/>
        <w:jc w:val="both"/>
        <w:rPr>
          <w:sz w:val="20"/>
          <w:szCs w:val="20"/>
        </w:rPr>
      </w:pPr>
      <w:r>
        <w:rPr>
          <w:sz w:val="20"/>
          <w:szCs w:val="20"/>
        </w:rPr>
        <w:t xml:space="preserve">Our study reveals that joining </w:t>
      </w:r>
      <w:r w:rsidR="00E96616" w:rsidRPr="009A428B">
        <w:rPr>
          <w:sz w:val="20"/>
          <w:szCs w:val="20"/>
        </w:rPr>
        <w:t>AFTA</w:t>
      </w:r>
      <w:r w:rsidR="005B3A5E" w:rsidRPr="009A428B">
        <w:rPr>
          <w:sz w:val="20"/>
          <w:szCs w:val="20"/>
        </w:rPr>
        <w:t xml:space="preserve"> and </w:t>
      </w:r>
      <w:r w:rsidR="00955E06" w:rsidRPr="009A428B">
        <w:rPr>
          <w:sz w:val="20"/>
          <w:szCs w:val="20"/>
        </w:rPr>
        <w:t>relaxing</w:t>
      </w:r>
      <w:r w:rsidR="005B3A5E" w:rsidRPr="009A428B">
        <w:rPr>
          <w:sz w:val="20"/>
          <w:szCs w:val="20"/>
        </w:rPr>
        <w:t xml:space="preserve"> economic </w:t>
      </w:r>
      <w:r w:rsidR="00955E06" w:rsidRPr="009A428B">
        <w:rPr>
          <w:sz w:val="20"/>
          <w:szCs w:val="20"/>
        </w:rPr>
        <w:t>constraints</w:t>
      </w:r>
      <w:r w:rsidR="005B3A5E" w:rsidRPr="009A428B">
        <w:rPr>
          <w:sz w:val="20"/>
          <w:szCs w:val="20"/>
        </w:rPr>
        <w:t xml:space="preserve"> help</w:t>
      </w:r>
      <w:r w:rsidR="00E96616" w:rsidRPr="009A428B">
        <w:rPr>
          <w:sz w:val="20"/>
          <w:szCs w:val="20"/>
        </w:rPr>
        <w:t xml:space="preserve"> to </w:t>
      </w:r>
      <w:r w:rsidR="00DA65E7">
        <w:rPr>
          <w:sz w:val="20"/>
          <w:szCs w:val="20"/>
        </w:rPr>
        <w:t>enhance</w:t>
      </w:r>
      <w:r w:rsidR="00E96616" w:rsidRPr="009A428B">
        <w:rPr>
          <w:sz w:val="20"/>
          <w:szCs w:val="20"/>
        </w:rPr>
        <w:t xml:space="preserve"> Vietnam’s trade </w:t>
      </w:r>
      <w:r w:rsidR="005F443E" w:rsidRPr="009A428B">
        <w:rPr>
          <w:sz w:val="20"/>
          <w:szCs w:val="20"/>
        </w:rPr>
        <w:t>efficiency</w:t>
      </w:r>
      <w:r w:rsidR="00E96616" w:rsidRPr="009A428B">
        <w:rPr>
          <w:sz w:val="20"/>
          <w:szCs w:val="20"/>
        </w:rPr>
        <w:t>,</w:t>
      </w:r>
      <w:r w:rsidR="005B3A5E" w:rsidRPr="009A428B">
        <w:rPr>
          <w:sz w:val="20"/>
          <w:szCs w:val="20"/>
        </w:rPr>
        <w:t xml:space="preserve"> </w:t>
      </w:r>
      <w:r w:rsidR="00336F88">
        <w:rPr>
          <w:sz w:val="20"/>
          <w:szCs w:val="20"/>
        </w:rPr>
        <w:t xml:space="preserve">while </w:t>
      </w:r>
      <w:r w:rsidR="005B3A5E" w:rsidRPr="009A428B">
        <w:rPr>
          <w:sz w:val="20"/>
          <w:szCs w:val="20"/>
        </w:rPr>
        <w:t>imposing tariffs and devaluating Vietnam dong undermines it.</w:t>
      </w:r>
      <w:r w:rsidR="006E4109">
        <w:rPr>
          <w:sz w:val="20"/>
          <w:szCs w:val="20"/>
        </w:rPr>
        <w:t xml:space="preserve"> </w:t>
      </w:r>
      <w:r w:rsidR="00821735">
        <w:rPr>
          <w:sz w:val="20"/>
          <w:szCs w:val="20"/>
        </w:rPr>
        <w:t xml:space="preserve">The benefits </w:t>
      </w:r>
      <w:r w:rsidR="006C3AF5">
        <w:rPr>
          <w:sz w:val="20"/>
          <w:szCs w:val="20"/>
        </w:rPr>
        <w:t xml:space="preserve">of entering AFTA become evident; </w:t>
      </w:r>
      <w:r w:rsidR="00A578FF">
        <w:rPr>
          <w:sz w:val="20"/>
          <w:szCs w:val="20"/>
        </w:rPr>
        <w:t xml:space="preserve">the success of Vietnam’s 1986 economic reform </w:t>
      </w:r>
      <w:r w:rsidR="00321CF4">
        <w:rPr>
          <w:sz w:val="20"/>
          <w:szCs w:val="20"/>
        </w:rPr>
        <w:t xml:space="preserve">improves </w:t>
      </w:r>
      <w:r w:rsidR="009402AB">
        <w:rPr>
          <w:sz w:val="20"/>
          <w:szCs w:val="20"/>
        </w:rPr>
        <w:t xml:space="preserve">the </w:t>
      </w:r>
      <w:r w:rsidR="00321CF4">
        <w:rPr>
          <w:sz w:val="20"/>
          <w:szCs w:val="20"/>
        </w:rPr>
        <w:t>economic environment</w:t>
      </w:r>
      <w:r w:rsidR="000B2142">
        <w:rPr>
          <w:sz w:val="20"/>
          <w:szCs w:val="20"/>
        </w:rPr>
        <w:t xml:space="preserve"> and increase</w:t>
      </w:r>
      <w:r w:rsidR="00637078">
        <w:rPr>
          <w:sz w:val="20"/>
          <w:szCs w:val="20"/>
        </w:rPr>
        <w:t>s the</w:t>
      </w:r>
      <w:r w:rsidR="000B2142">
        <w:rPr>
          <w:sz w:val="20"/>
          <w:szCs w:val="20"/>
        </w:rPr>
        <w:t xml:space="preserve"> trade efficiency. While tariffs are of importance to </w:t>
      </w:r>
      <w:r w:rsidR="003D53D7">
        <w:rPr>
          <w:sz w:val="20"/>
          <w:szCs w:val="20"/>
        </w:rPr>
        <w:t>protect the domestic industries, especially the infant ones, in general they</w:t>
      </w:r>
      <w:r w:rsidR="00756A70">
        <w:rPr>
          <w:sz w:val="20"/>
          <w:szCs w:val="20"/>
        </w:rPr>
        <w:t xml:space="preserve"> can</w:t>
      </w:r>
      <w:r w:rsidR="003D53D7">
        <w:rPr>
          <w:sz w:val="20"/>
          <w:szCs w:val="20"/>
        </w:rPr>
        <w:t xml:space="preserve"> hinder the Vietnam’s trade efficiency.</w:t>
      </w:r>
      <w:r w:rsidR="0094445A">
        <w:rPr>
          <w:sz w:val="20"/>
          <w:szCs w:val="20"/>
        </w:rPr>
        <w:t xml:space="preserve"> </w:t>
      </w:r>
      <w:r w:rsidR="003C2C79">
        <w:rPr>
          <w:sz w:val="20"/>
          <w:szCs w:val="20"/>
        </w:rPr>
        <w:t>Due to the weak competition of export products, Vietnam can not enjoy the benefit</w:t>
      </w:r>
      <w:r w:rsidR="0060454E">
        <w:rPr>
          <w:sz w:val="20"/>
          <w:szCs w:val="20"/>
        </w:rPr>
        <w:t xml:space="preserve"> derived</w:t>
      </w:r>
      <w:r w:rsidR="003C2C79">
        <w:rPr>
          <w:sz w:val="20"/>
          <w:szCs w:val="20"/>
        </w:rPr>
        <w:t xml:space="preserve"> from domestic currency devaluation.</w:t>
      </w:r>
      <w:r w:rsidR="00261CCF">
        <w:rPr>
          <w:sz w:val="20"/>
          <w:szCs w:val="20"/>
        </w:rPr>
        <w:t xml:space="preserve"> </w:t>
      </w:r>
      <w:r w:rsidR="001C6E98">
        <w:rPr>
          <w:sz w:val="20"/>
          <w:szCs w:val="20"/>
        </w:rPr>
        <w:t>Our empirical results</w:t>
      </w:r>
      <w:r w:rsidR="008D0DA7">
        <w:rPr>
          <w:sz w:val="20"/>
          <w:szCs w:val="20"/>
        </w:rPr>
        <w:t xml:space="preserve"> also</w:t>
      </w:r>
      <w:r w:rsidR="001C6E98">
        <w:rPr>
          <w:sz w:val="20"/>
          <w:szCs w:val="20"/>
        </w:rPr>
        <w:t xml:space="preserve"> suggest some policy implication. </w:t>
      </w:r>
      <w:r w:rsidR="002945D3" w:rsidRPr="009A428B">
        <w:rPr>
          <w:sz w:val="20"/>
          <w:szCs w:val="20"/>
        </w:rPr>
        <w:t xml:space="preserve">To improve the Vietnam’s trade </w:t>
      </w:r>
      <w:r w:rsidR="005F443E" w:rsidRPr="009A428B">
        <w:rPr>
          <w:sz w:val="20"/>
          <w:szCs w:val="20"/>
        </w:rPr>
        <w:t>efficiency</w:t>
      </w:r>
      <w:r w:rsidR="002945D3" w:rsidRPr="009A428B">
        <w:rPr>
          <w:sz w:val="20"/>
          <w:szCs w:val="20"/>
        </w:rPr>
        <w:t xml:space="preserve">, it is vital that Vietnam should join more regional FTAs, improve economic freedom, cut tariffs and improve the competitive ability of its products to take the advantage of </w:t>
      </w:r>
      <w:r w:rsidR="009C49D3" w:rsidRPr="009A428B">
        <w:rPr>
          <w:sz w:val="20"/>
          <w:szCs w:val="20"/>
        </w:rPr>
        <w:t>domestic currency devaluation.</w:t>
      </w:r>
    </w:p>
    <w:p w14:paraId="7206E205" w14:textId="77777777" w:rsidR="002030B4" w:rsidRPr="00875E87" w:rsidRDefault="002030B4" w:rsidP="00420071">
      <w:pPr>
        <w:spacing w:after="80" w:line="240" w:lineRule="exact"/>
        <w:jc w:val="both"/>
        <w:rPr>
          <w:b/>
          <w:sz w:val="20"/>
          <w:szCs w:val="20"/>
        </w:rPr>
      </w:pPr>
      <w:r w:rsidRPr="00875E87">
        <w:rPr>
          <w:b/>
          <w:sz w:val="20"/>
          <w:szCs w:val="20"/>
        </w:rPr>
        <w:t>References</w:t>
      </w:r>
    </w:p>
    <w:p w14:paraId="38781A85" w14:textId="77777777" w:rsidR="00941221" w:rsidRPr="001E0B7F" w:rsidRDefault="0096779A" w:rsidP="00655527">
      <w:pPr>
        <w:autoSpaceDE w:val="0"/>
        <w:autoSpaceDN w:val="0"/>
        <w:adjustRightInd w:val="0"/>
        <w:spacing w:after="80" w:line="240" w:lineRule="exact"/>
        <w:rPr>
          <w:sz w:val="20"/>
          <w:szCs w:val="20"/>
        </w:rPr>
      </w:pPr>
      <w:r w:rsidRPr="001E0B7F">
        <w:rPr>
          <w:sz w:val="20"/>
          <w:szCs w:val="20"/>
        </w:rPr>
        <w:t xml:space="preserve">Abrams, R.K. (1980). International Trade Flows under Flexible Exchange Rates. Federal Reserve Bank of Kansas </w:t>
      </w:r>
      <w:r w:rsidR="00233917" w:rsidRPr="001E0B7F">
        <w:rPr>
          <w:sz w:val="20"/>
          <w:szCs w:val="20"/>
        </w:rPr>
        <w:t xml:space="preserve">   </w:t>
      </w:r>
    </w:p>
    <w:p w14:paraId="67181028" w14:textId="5385E72C" w:rsidR="0096779A" w:rsidRPr="001E0B7F" w:rsidRDefault="0096779A" w:rsidP="00655527">
      <w:pPr>
        <w:autoSpaceDE w:val="0"/>
        <w:autoSpaceDN w:val="0"/>
        <w:adjustRightInd w:val="0"/>
        <w:spacing w:after="80" w:line="240" w:lineRule="exact"/>
        <w:ind w:left="720"/>
        <w:rPr>
          <w:rStyle w:val="Hyperlink"/>
          <w:sz w:val="20"/>
          <w:szCs w:val="20"/>
        </w:rPr>
      </w:pPr>
      <w:r w:rsidRPr="001E0B7F">
        <w:rPr>
          <w:sz w:val="20"/>
          <w:szCs w:val="20"/>
        </w:rPr>
        <w:t>City</w:t>
      </w:r>
      <w:r w:rsidR="008F5E17">
        <w:rPr>
          <w:sz w:val="20"/>
          <w:szCs w:val="20"/>
        </w:rPr>
        <w:t>.</w:t>
      </w:r>
      <w:r w:rsidRPr="001E0B7F">
        <w:rPr>
          <w:sz w:val="20"/>
          <w:szCs w:val="20"/>
        </w:rPr>
        <w:t xml:space="preserve"> </w:t>
      </w:r>
      <w:r w:rsidRPr="001E0B7F">
        <w:rPr>
          <w:i/>
          <w:sz w:val="20"/>
          <w:szCs w:val="20"/>
        </w:rPr>
        <w:t>Economic Review</w:t>
      </w:r>
      <w:r w:rsidRPr="001E0B7F">
        <w:rPr>
          <w:sz w:val="20"/>
          <w:szCs w:val="20"/>
        </w:rPr>
        <w:t xml:space="preserve"> 65, No. 3: 3-10.</w:t>
      </w:r>
      <w:r w:rsidR="009F1D8A" w:rsidRPr="001E0B7F">
        <w:rPr>
          <w:sz w:val="20"/>
          <w:szCs w:val="20"/>
        </w:rPr>
        <w:t xml:space="preserve"> </w:t>
      </w:r>
      <w:r w:rsidR="006E335C" w:rsidRPr="001E0B7F">
        <w:rPr>
          <w:sz w:val="20"/>
          <w:szCs w:val="20"/>
        </w:rPr>
        <w:t xml:space="preserve">Retrieved from </w:t>
      </w:r>
      <w:hyperlink r:id="rId8" w:history="1">
        <w:r w:rsidR="009F1D8A" w:rsidRPr="001E0B7F">
          <w:rPr>
            <w:rStyle w:val="Hyperlink"/>
            <w:sz w:val="20"/>
            <w:szCs w:val="20"/>
          </w:rPr>
          <w:t>https://www.kansascityfed.org/PUBLICAT/econrev/EconRevArchive/1980/1q80abra.pdf</w:t>
        </w:r>
      </w:hyperlink>
    </w:p>
    <w:p w14:paraId="77BC3649" w14:textId="77777777" w:rsidR="000F5EB1" w:rsidRPr="001E0B7F" w:rsidRDefault="009C23CF" w:rsidP="00655527">
      <w:pPr>
        <w:widowControl w:val="0"/>
        <w:autoSpaceDE w:val="0"/>
        <w:autoSpaceDN w:val="0"/>
        <w:adjustRightInd w:val="0"/>
        <w:spacing w:after="80" w:line="240" w:lineRule="exact"/>
        <w:rPr>
          <w:sz w:val="20"/>
          <w:szCs w:val="20"/>
        </w:rPr>
      </w:pPr>
      <w:r w:rsidRPr="001E0B7F">
        <w:rPr>
          <w:sz w:val="20"/>
          <w:szCs w:val="20"/>
        </w:rPr>
        <w:t xml:space="preserve">Aghdaie, S. F. A., Seidi, M., &amp; Riasi, A. (2012). Identifying the barriers to Iran’s Saffron export by using Porter’s </w:t>
      </w:r>
    </w:p>
    <w:p w14:paraId="0698F768" w14:textId="3A20DD28" w:rsidR="005D235B" w:rsidRPr="001E0B7F" w:rsidRDefault="009C23CF" w:rsidP="00655527">
      <w:pPr>
        <w:spacing w:after="80" w:line="240" w:lineRule="exact"/>
        <w:ind w:left="720"/>
        <w:rPr>
          <w:rFonts w:eastAsia="Times New Roman"/>
          <w:color w:val="000000"/>
          <w:sz w:val="20"/>
          <w:szCs w:val="20"/>
          <w:shd w:val="clear" w:color="auto" w:fill="FFFFFF"/>
        </w:rPr>
      </w:pPr>
      <w:r w:rsidRPr="001E0B7F">
        <w:rPr>
          <w:sz w:val="20"/>
          <w:szCs w:val="20"/>
        </w:rPr>
        <w:t xml:space="preserve">diamond model. </w:t>
      </w:r>
      <w:r w:rsidR="00A578CC">
        <w:rPr>
          <w:i/>
          <w:iCs/>
          <w:sz w:val="20"/>
          <w:szCs w:val="20"/>
        </w:rPr>
        <w:t>International Journal of Marketing S</w:t>
      </w:r>
      <w:r w:rsidRPr="001E0B7F">
        <w:rPr>
          <w:i/>
          <w:iCs/>
          <w:sz w:val="20"/>
          <w:szCs w:val="20"/>
        </w:rPr>
        <w:t>tudies</w:t>
      </w:r>
      <w:r w:rsidRPr="001E0B7F">
        <w:rPr>
          <w:sz w:val="20"/>
          <w:szCs w:val="20"/>
        </w:rPr>
        <w:t xml:space="preserve">, </w:t>
      </w:r>
      <w:r w:rsidRPr="001E0B7F">
        <w:rPr>
          <w:i/>
          <w:iCs/>
          <w:sz w:val="20"/>
          <w:szCs w:val="20"/>
        </w:rPr>
        <w:t>4</w:t>
      </w:r>
      <w:r w:rsidRPr="001E0B7F">
        <w:rPr>
          <w:sz w:val="20"/>
          <w:szCs w:val="20"/>
        </w:rPr>
        <w:t xml:space="preserve">(5), 129-138. </w:t>
      </w:r>
      <w:hyperlink r:id="rId9" w:history="1">
        <w:r w:rsidR="005D235B" w:rsidRPr="001E0B7F">
          <w:rPr>
            <w:rStyle w:val="Hyperlink"/>
            <w:rFonts w:eastAsia="Times New Roman"/>
            <w:color w:val="808080"/>
            <w:sz w:val="20"/>
            <w:szCs w:val="20"/>
            <w:shd w:val="clear" w:color="auto" w:fill="FFFFFF"/>
          </w:rPr>
          <w:t>http://dx.doi.org/10.5539/ijms.v4n5p129</w:t>
        </w:r>
      </w:hyperlink>
      <w:r w:rsidR="005D235B" w:rsidRPr="001E0B7F">
        <w:rPr>
          <w:rFonts w:eastAsia="Times New Roman"/>
          <w:color w:val="000000"/>
          <w:sz w:val="20"/>
          <w:szCs w:val="20"/>
          <w:shd w:val="clear" w:color="auto" w:fill="FFFFFF"/>
        </w:rPr>
        <w:t xml:space="preserve"> </w:t>
      </w:r>
    </w:p>
    <w:p w14:paraId="4D653B08" w14:textId="77777777" w:rsidR="007E2D70" w:rsidRPr="001E0B7F" w:rsidRDefault="00740B31" w:rsidP="00655527">
      <w:pPr>
        <w:spacing w:after="80" w:line="240" w:lineRule="exact"/>
        <w:rPr>
          <w:rFonts w:eastAsia="Times New Roman"/>
          <w:i/>
          <w:iCs/>
          <w:color w:val="222222"/>
          <w:sz w:val="20"/>
          <w:szCs w:val="20"/>
          <w:shd w:val="clear" w:color="auto" w:fill="FFFFFF"/>
        </w:rPr>
      </w:pPr>
      <w:r w:rsidRPr="001E0B7F">
        <w:rPr>
          <w:rFonts w:eastAsia="Times New Roman"/>
          <w:color w:val="222222"/>
          <w:sz w:val="20"/>
          <w:szCs w:val="20"/>
          <w:shd w:val="clear" w:color="auto" w:fill="FFFFFF"/>
        </w:rPr>
        <w:t>Anderson, J. E., &amp; Van Wincoop, E. (2003). Gravity with gravitas: a solution to the border puzzle.</w:t>
      </w:r>
      <w:r w:rsidRPr="001E0B7F">
        <w:rPr>
          <w:rStyle w:val="apple-converted-space"/>
          <w:rFonts w:eastAsia="Times New Roman"/>
          <w:color w:val="222222"/>
          <w:sz w:val="20"/>
          <w:szCs w:val="20"/>
          <w:shd w:val="clear" w:color="auto" w:fill="FFFFFF"/>
        </w:rPr>
        <w:t> </w:t>
      </w:r>
      <w:r w:rsidR="00945FD3" w:rsidRPr="001E0B7F">
        <w:rPr>
          <w:rFonts w:eastAsia="Times New Roman"/>
          <w:i/>
          <w:iCs/>
          <w:color w:val="222222"/>
          <w:sz w:val="20"/>
          <w:szCs w:val="20"/>
          <w:shd w:val="clear" w:color="auto" w:fill="FFFFFF"/>
        </w:rPr>
        <w:t xml:space="preserve">The </w:t>
      </w:r>
    </w:p>
    <w:p w14:paraId="177D3946" w14:textId="3F967228" w:rsidR="00740B31" w:rsidRPr="001E0B7F" w:rsidRDefault="00945FD3" w:rsidP="00655527">
      <w:pPr>
        <w:spacing w:after="80" w:line="240" w:lineRule="exact"/>
        <w:ind w:firstLine="720"/>
        <w:rPr>
          <w:rFonts w:eastAsia="Times New Roman"/>
          <w:sz w:val="20"/>
          <w:szCs w:val="20"/>
        </w:rPr>
      </w:pPr>
      <w:r w:rsidRPr="001E0B7F">
        <w:rPr>
          <w:rFonts w:eastAsia="Times New Roman"/>
          <w:i/>
          <w:iCs/>
          <w:color w:val="222222"/>
          <w:sz w:val="20"/>
          <w:szCs w:val="20"/>
          <w:shd w:val="clear" w:color="auto" w:fill="FFFFFF"/>
        </w:rPr>
        <w:t>American Economic R</w:t>
      </w:r>
      <w:r w:rsidR="00740B31" w:rsidRPr="001E0B7F">
        <w:rPr>
          <w:rFonts w:eastAsia="Times New Roman"/>
          <w:i/>
          <w:iCs/>
          <w:color w:val="222222"/>
          <w:sz w:val="20"/>
          <w:szCs w:val="20"/>
          <w:shd w:val="clear" w:color="auto" w:fill="FFFFFF"/>
        </w:rPr>
        <w:t>eview</w:t>
      </w:r>
      <w:r w:rsidR="00740B31" w:rsidRPr="001E0B7F">
        <w:rPr>
          <w:rFonts w:eastAsia="Times New Roman"/>
          <w:color w:val="222222"/>
          <w:sz w:val="20"/>
          <w:szCs w:val="20"/>
          <w:shd w:val="clear" w:color="auto" w:fill="FFFFFF"/>
        </w:rPr>
        <w:t>,</w:t>
      </w:r>
      <w:r w:rsidR="00740B31" w:rsidRPr="001E0B7F">
        <w:rPr>
          <w:rStyle w:val="apple-converted-space"/>
          <w:rFonts w:eastAsia="Times New Roman"/>
          <w:color w:val="222222"/>
          <w:sz w:val="20"/>
          <w:szCs w:val="20"/>
          <w:shd w:val="clear" w:color="auto" w:fill="FFFFFF"/>
        </w:rPr>
        <w:t> </w:t>
      </w:r>
      <w:r w:rsidR="00740B31" w:rsidRPr="001E0B7F">
        <w:rPr>
          <w:rFonts w:eastAsia="Times New Roman"/>
          <w:i/>
          <w:iCs/>
          <w:color w:val="222222"/>
          <w:sz w:val="20"/>
          <w:szCs w:val="20"/>
          <w:shd w:val="clear" w:color="auto" w:fill="FFFFFF"/>
        </w:rPr>
        <w:t>93</w:t>
      </w:r>
      <w:r w:rsidR="00740B31" w:rsidRPr="001E0B7F">
        <w:rPr>
          <w:rFonts w:eastAsia="Times New Roman"/>
          <w:color w:val="222222"/>
          <w:sz w:val="20"/>
          <w:szCs w:val="20"/>
          <w:shd w:val="clear" w:color="auto" w:fill="FFFFFF"/>
        </w:rPr>
        <w:t xml:space="preserve">(1), 170-192. </w:t>
      </w:r>
      <w:hyperlink r:id="rId10" w:history="1">
        <w:r w:rsidR="00740B31" w:rsidRPr="001E0B7F">
          <w:rPr>
            <w:rStyle w:val="Hyperlink"/>
            <w:rFonts w:eastAsia="Times New Roman"/>
            <w:color w:val="2A6496"/>
            <w:sz w:val="20"/>
            <w:szCs w:val="20"/>
            <w:shd w:val="clear" w:color="auto" w:fill="FFFFFF"/>
          </w:rPr>
          <w:t>https://doi.org/10.1257/000282803321455214</w:t>
        </w:r>
      </w:hyperlink>
    </w:p>
    <w:p w14:paraId="3BB3DBFF" w14:textId="77777777" w:rsidR="00941221" w:rsidRPr="001E0B7F" w:rsidRDefault="0096779A" w:rsidP="00655527">
      <w:pPr>
        <w:autoSpaceDE w:val="0"/>
        <w:autoSpaceDN w:val="0"/>
        <w:adjustRightInd w:val="0"/>
        <w:spacing w:after="80" w:line="240" w:lineRule="exact"/>
        <w:rPr>
          <w:sz w:val="20"/>
          <w:szCs w:val="20"/>
        </w:rPr>
      </w:pPr>
      <w:r w:rsidRPr="001E0B7F">
        <w:rPr>
          <w:sz w:val="20"/>
          <w:szCs w:val="20"/>
        </w:rPr>
        <w:t xml:space="preserve">Aitken, Norman D. (1973). The Effect of EEC and EFTA on European Trade: A Temporal Cross-Section Analysis. </w:t>
      </w:r>
    </w:p>
    <w:p w14:paraId="38872CAB" w14:textId="7E0B992E" w:rsidR="00771B0E" w:rsidRPr="001E0B7F" w:rsidRDefault="0096779A" w:rsidP="00655527">
      <w:pPr>
        <w:autoSpaceDE w:val="0"/>
        <w:autoSpaceDN w:val="0"/>
        <w:adjustRightInd w:val="0"/>
        <w:spacing w:after="80" w:line="240" w:lineRule="exact"/>
        <w:ind w:firstLine="720"/>
        <w:rPr>
          <w:sz w:val="20"/>
          <w:szCs w:val="20"/>
        </w:rPr>
      </w:pPr>
      <w:r w:rsidRPr="001E0B7F">
        <w:rPr>
          <w:i/>
          <w:sz w:val="20"/>
          <w:szCs w:val="20"/>
        </w:rPr>
        <w:t>American Economic Review</w:t>
      </w:r>
      <w:r w:rsidRPr="001E0B7F">
        <w:rPr>
          <w:sz w:val="20"/>
          <w:szCs w:val="20"/>
        </w:rPr>
        <w:t xml:space="preserve"> 5: 881-892.</w:t>
      </w:r>
      <w:r w:rsidR="00771B0E" w:rsidRPr="001E0B7F">
        <w:rPr>
          <w:sz w:val="20"/>
          <w:szCs w:val="20"/>
        </w:rPr>
        <w:t xml:space="preserve"> </w:t>
      </w:r>
      <w:hyperlink r:id="rId11" w:history="1">
        <w:r w:rsidR="00771B0E" w:rsidRPr="001E0B7F">
          <w:rPr>
            <w:rStyle w:val="Hyperlink"/>
            <w:sz w:val="20"/>
            <w:szCs w:val="20"/>
          </w:rPr>
          <w:t>http://www.jstor.org/stable/1813911</w:t>
        </w:r>
      </w:hyperlink>
    </w:p>
    <w:p w14:paraId="1E0067DC" w14:textId="77777777" w:rsidR="00941221" w:rsidRPr="001E0B7F" w:rsidRDefault="00184BF6" w:rsidP="00655527">
      <w:pPr>
        <w:spacing w:after="80" w:line="240" w:lineRule="exact"/>
        <w:rPr>
          <w:sz w:val="20"/>
          <w:szCs w:val="20"/>
        </w:rPr>
      </w:pPr>
      <w:r w:rsidRPr="001E0B7F">
        <w:rPr>
          <w:sz w:val="20"/>
          <w:szCs w:val="20"/>
        </w:rPr>
        <w:t xml:space="preserve">Armstrong, S. (2007). Measuring Trade and Trade Potential: A Survey. </w:t>
      </w:r>
      <w:r w:rsidRPr="001E0B7F">
        <w:rPr>
          <w:i/>
          <w:sz w:val="20"/>
          <w:szCs w:val="20"/>
        </w:rPr>
        <w:t>Asia Pacific Economic Papers,</w:t>
      </w:r>
      <w:r w:rsidRPr="001E0B7F">
        <w:rPr>
          <w:sz w:val="20"/>
          <w:szCs w:val="20"/>
        </w:rPr>
        <w:t xml:space="preserve"> No. 368, 1-</w:t>
      </w:r>
    </w:p>
    <w:p w14:paraId="1D19ED85" w14:textId="758817B0" w:rsidR="00184BF6" w:rsidRPr="001E0B7F" w:rsidRDefault="00941221" w:rsidP="00655527">
      <w:pPr>
        <w:spacing w:after="80" w:line="240" w:lineRule="exact"/>
        <w:rPr>
          <w:rStyle w:val="Hyperlink"/>
          <w:sz w:val="20"/>
          <w:szCs w:val="20"/>
        </w:rPr>
      </w:pPr>
      <w:r w:rsidRPr="001E0B7F">
        <w:rPr>
          <w:sz w:val="20"/>
          <w:szCs w:val="20"/>
        </w:rPr>
        <w:t xml:space="preserve"> </w:t>
      </w:r>
      <w:r w:rsidRPr="001E0B7F">
        <w:rPr>
          <w:sz w:val="20"/>
          <w:szCs w:val="20"/>
        </w:rPr>
        <w:tab/>
      </w:r>
      <w:r w:rsidR="00184BF6" w:rsidRPr="001E0B7F">
        <w:rPr>
          <w:sz w:val="20"/>
          <w:szCs w:val="20"/>
        </w:rPr>
        <w:t>19.</w:t>
      </w:r>
      <w:r w:rsidR="0053240D" w:rsidRPr="001E0B7F">
        <w:rPr>
          <w:sz w:val="20"/>
          <w:szCs w:val="20"/>
        </w:rPr>
        <w:t xml:space="preserve"> </w:t>
      </w:r>
      <w:hyperlink r:id="rId12" w:history="1">
        <w:r w:rsidR="0053240D" w:rsidRPr="001E0B7F">
          <w:rPr>
            <w:rStyle w:val="Hyperlink"/>
            <w:sz w:val="20"/>
            <w:szCs w:val="20"/>
          </w:rPr>
          <w:t>http://dx.doi.org/10.2139/ssrn.1760426</w:t>
        </w:r>
      </w:hyperlink>
    </w:p>
    <w:p w14:paraId="39BAD2FC" w14:textId="59474EF7" w:rsidR="00CF1B6C" w:rsidRPr="001E0B7F" w:rsidRDefault="00CF1B6C" w:rsidP="00655527">
      <w:pPr>
        <w:spacing w:after="80" w:line="240" w:lineRule="exact"/>
        <w:rPr>
          <w:rFonts w:eastAsia="Times New Roman"/>
          <w:sz w:val="20"/>
          <w:szCs w:val="20"/>
        </w:rPr>
      </w:pPr>
      <w:r w:rsidRPr="001E0B7F">
        <w:rPr>
          <w:rFonts w:eastAsia="Times New Roman"/>
          <w:color w:val="222222"/>
          <w:sz w:val="20"/>
          <w:szCs w:val="20"/>
          <w:shd w:val="clear" w:color="auto" w:fill="FFFFFF"/>
        </w:rPr>
        <w:t>Baier, S. L., &amp; Ber</w:t>
      </w:r>
      <w:r w:rsidR="00104B53">
        <w:rPr>
          <w:rFonts w:eastAsia="Times New Roman"/>
          <w:color w:val="222222"/>
          <w:sz w:val="20"/>
          <w:szCs w:val="20"/>
          <w:shd w:val="clear" w:color="auto" w:fill="FFFFFF"/>
        </w:rPr>
        <w:t xml:space="preserve">gstrand, J. H. (2009). Bonus </w:t>
      </w:r>
      <w:r w:rsidR="002A227E">
        <w:rPr>
          <w:rFonts w:eastAsia="Times New Roman"/>
          <w:color w:val="222222"/>
          <w:sz w:val="20"/>
          <w:szCs w:val="20"/>
          <w:shd w:val="clear" w:color="auto" w:fill="FFFFFF"/>
        </w:rPr>
        <w:t>vet</w:t>
      </w:r>
      <w:r w:rsidRPr="001E0B7F">
        <w:rPr>
          <w:rFonts w:eastAsia="Times New Roman"/>
          <w:color w:val="222222"/>
          <w:sz w:val="20"/>
          <w:szCs w:val="20"/>
          <w:shd w:val="clear" w:color="auto" w:fill="FFFFFF"/>
        </w:rPr>
        <w:t>us OLS: A simple method for approximating international trade-cost effects using the gravity equation.</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Journal of International Economics</w:t>
      </w:r>
      <w:r w:rsidRPr="001E0B7F">
        <w:rPr>
          <w:rFonts w:eastAsia="Times New Roman"/>
          <w:color w:val="222222"/>
          <w:sz w:val="20"/>
          <w:szCs w:val="20"/>
          <w:shd w:val="clear" w:color="auto" w:fill="FFFFFF"/>
        </w:rPr>
        <w:t>,</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77</w:t>
      </w:r>
      <w:r w:rsidRPr="001E0B7F">
        <w:rPr>
          <w:rFonts w:eastAsia="Times New Roman"/>
          <w:color w:val="222222"/>
          <w:sz w:val="20"/>
          <w:szCs w:val="20"/>
          <w:shd w:val="clear" w:color="auto" w:fill="FFFFFF"/>
        </w:rPr>
        <w:t>(1), 77-85.</w:t>
      </w:r>
      <w:r w:rsidR="009E4C0D" w:rsidRPr="001E0B7F">
        <w:rPr>
          <w:rFonts w:eastAsia="Times New Roman"/>
          <w:color w:val="222222"/>
          <w:sz w:val="20"/>
          <w:szCs w:val="20"/>
          <w:shd w:val="clear" w:color="auto" w:fill="FFFFFF"/>
        </w:rPr>
        <w:t xml:space="preserve"> </w:t>
      </w:r>
      <w:hyperlink r:id="rId13" w:tgtFrame="doilink" w:history="1">
        <w:r w:rsidR="009E4C0D" w:rsidRPr="001E0B7F">
          <w:rPr>
            <w:rFonts w:eastAsia="Times New Roman"/>
            <w:color w:val="316C9D"/>
            <w:sz w:val="20"/>
            <w:szCs w:val="20"/>
            <w:u w:val="single"/>
            <w:bdr w:val="none" w:sz="0" w:space="0" w:color="auto" w:frame="1"/>
            <w:shd w:val="clear" w:color="auto" w:fill="FFFFFF"/>
          </w:rPr>
          <w:t>http://dx.doi.org/10.1016/j.jinteco.2008.10.004</w:t>
        </w:r>
      </w:hyperlink>
    </w:p>
    <w:p w14:paraId="0101C017" w14:textId="77777777" w:rsidR="00941221" w:rsidRPr="001E0B7F" w:rsidRDefault="00184BF6" w:rsidP="00655527">
      <w:pPr>
        <w:spacing w:after="80" w:line="240" w:lineRule="exact"/>
        <w:rPr>
          <w:sz w:val="20"/>
          <w:szCs w:val="20"/>
        </w:rPr>
      </w:pPr>
      <w:r w:rsidRPr="001E0B7F">
        <w:rPr>
          <w:sz w:val="20"/>
          <w:szCs w:val="20"/>
        </w:rPr>
        <w:t xml:space="preserve">Battese, G.E., &amp; Coelli, T. (1992). Frontier Production Functions, Technical Efficiency and Panel Data: with </w:t>
      </w:r>
    </w:p>
    <w:p w14:paraId="0404EA7D" w14:textId="3B32DD4A" w:rsidR="0053240D" w:rsidRPr="001E0B7F" w:rsidRDefault="00184BF6" w:rsidP="00655527">
      <w:pPr>
        <w:spacing w:after="80" w:line="240" w:lineRule="exact"/>
        <w:ind w:left="720"/>
        <w:rPr>
          <w:rFonts w:eastAsia="Times New Roman"/>
          <w:color w:val="333333"/>
          <w:spacing w:val="4"/>
          <w:sz w:val="20"/>
          <w:szCs w:val="20"/>
          <w:shd w:val="clear" w:color="auto" w:fill="FCFCFC"/>
        </w:rPr>
      </w:pPr>
      <w:r w:rsidRPr="001E0B7F">
        <w:rPr>
          <w:sz w:val="20"/>
          <w:szCs w:val="20"/>
        </w:rPr>
        <w:lastRenderedPageBreak/>
        <w:t xml:space="preserve">Application to Paddy Farmers in India. </w:t>
      </w:r>
      <w:r w:rsidRPr="001E0B7F">
        <w:rPr>
          <w:i/>
          <w:sz w:val="20"/>
          <w:szCs w:val="20"/>
        </w:rPr>
        <w:t>Journal of Productivity Analysis,</w:t>
      </w:r>
      <w:r w:rsidRPr="001E0B7F">
        <w:rPr>
          <w:sz w:val="20"/>
          <w:szCs w:val="20"/>
        </w:rPr>
        <w:t xml:space="preserve"> 3(1/2), 153-169.</w:t>
      </w:r>
      <w:r w:rsidR="0053240D" w:rsidRPr="001E0B7F">
        <w:rPr>
          <w:sz w:val="20"/>
          <w:szCs w:val="20"/>
        </w:rPr>
        <w:t xml:space="preserve"> </w:t>
      </w:r>
      <w:hyperlink r:id="rId14" w:history="1">
        <w:r w:rsidR="0053240D" w:rsidRPr="001E0B7F">
          <w:rPr>
            <w:rStyle w:val="Hyperlink"/>
            <w:sz w:val="20"/>
            <w:szCs w:val="20"/>
          </w:rPr>
          <w:t>http://dx.doi.org/</w:t>
        </w:r>
        <w:r w:rsidR="0053240D" w:rsidRPr="001E0B7F">
          <w:rPr>
            <w:rStyle w:val="Hyperlink"/>
            <w:rFonts w:eastAsia="Times New Roman"/>
            <w:spacing w:val="4"/>
            <w:sz w:val="20"/>
            <w:szCs w:val="20"/>
            <w:shd w:val="clear" w:color="auto" w:fill="FCFCFC"/>
          </w:rPr>
          <w:t>10.1007/BF00158774</w:t>
        </w:r>
      </w:hyperlink>
    </w:p>
    <w:p w14:paraId="29603CCC" w14:textId="77777777" w:rsidR="00941221" w:rsidRPr="001E0B7F" w:rsidRDefault="00CC310B" w:rsidP="00655527">
      <w:pPr>
        <w:spacing w:after="80" w:line="240" w:lineRule="exact"/>
        <w:rPr>
          <w:sz w:val="20"/>
          <w:szCs w:val="20"/>
        </w:rPr>
      </w:pPr>
      <w:r w:rsidRPr="001E0B7F">
        <w:rPr>
          <w:sz w:val="20"/>
          <w:szCs w:val="20"/>
        </w:rPr>
        <w:t xml:space="preserve">Battese, G., &amp; Corra, G.S. (1977). Estimation of A Production Frontier Model: With Application to the Pastoral </w:t>
      </w:r>
    </w:p>
    <w:p w14:paraId="37601C1A" w14:textId="6C09260A" w:rsidR="00AC10D7" w:rsidRPr="001E0B7F" w:rsidRDefault="00CC310B" w:rsidP="00655527">
      <w:pPr>
        <w:spacing w:after="80" w:line="240" w:lineRule="exact"/>
        <w:ind w:left="720"/>
        <w:rPr>
          <w:rFonts w:eastAsia="Times New Roman"/>
          <w:sz w:val="20"/>
          <w:szCs w:val="20"/>
        </w:rPr>
      </w:pPr>
      <w:r w:rsidRPr="001E0B7F">
        <w:rPr>
          <w:sz w:val="20"/>
          <w:szCs w:val="20"/>
        </w:rPr>
        <w:t xml:space="preserve">Zone of Eastern Australia. </w:t>
      </w:r>
      <w:r w:rsidRPr="001E0B7F">
        <w:rPr>
          <w:i/>
          <w:sz w:val="20"/>
          <w:szCs w:val="20"/>
        </w:rPr>
        <w:t xml:space="preserve">Australian Journal of Agricultural Economics. </w:t>
      </w:r>
      <w:r w:rsidRPr="001E0B7F">
        <w:rPr>
          <w:sz w:val="20"/>
          <w:szCs w:val="20"/>
        </w:rPr>
        <w:t>21(03).</w:t>
      </w:r>
      <w:r w:rsidR="00AC10D7" w:rsidRPr="001E0B7F">
        <w:rPr>
          <w:sz w:val="20"/>
          <w:szCs w:val="20"/>
        </w:rPr>
        <w:t xml:space="preserve"> </w:t>
      </w:r>
      <w:hyperlink r:id="rId15" w:history="1">
        <w:r w:rsidR="00941D33" w:rsidRPr="001E0B7F">
          <w:rPr>
            <w:rFonts w:eastAsia="Times New Roman"/>
            <w:color w:val="D00403"/>
            <w:sz w:val="20"/>
            <w:szCs w:val="20"/>
            <w:u w:val="single"/>
            <w:shd w:val="clear" w:color="auto" w:fill="EEFFEE"/>
          </w:rPr>
          <w:t>http://dx.doi.org/10.1111/j.1467-8489.1977.tb00204.x</w:t>
        </w:r>
      </w:hyperlink>
    </w:p>
    <w:p w14:paraId="360535DC" w14:textId="77777777" w:rsidR="00941221" w:rsidRPr="001E0B7F" w:rsidRDefault="00ED0CC4" w:rsidP="00655527">
      <w:pPr>
        <w:spacing w:after="80" w:line="240" w:lineRule="exact"/>
        <w:rPr>
          <w:sz w:val="20"/>
          <w:szCs w:val="20"/>
        </w:rPr>
      </w:pPr>
      <w:r w:rsidRPr="001E0B7F">
        <w:rPr>
          <w:sz w:val="20"/>
          <w:szCs w:val="20"/>
        </w:rPr>
        <w:t xml:space="preserve">Bergstrand, Jeffrey H. (1985). The Gravity Equation in International Trade: Some Microeconomic Foundations and </w:t>
      </w:r>
    </w:p>
    <w:p w14:paraId="168EB58C" w14:textId="00F005E1" w:rsidR="0084394E" w:rsidRPr="001E0B7F" w:rsidRDefault="00ED0CC4" w:rsidP="00655527">
      <w:pPr>
        <w:spacing w:after="80" w:line="240" w:lineRule="exact"/>
        <w:ind w:left="720"/>
        <w:rPr>
          <w:rFonts w:eastAsia="Times New Roman"/>
          <w:sz w:val="20"/>
          <w:szCs w:val="20"/>
        </w:rPr>
      </w:pPr>
      <w:r w:rsidRPr="001E0B7F">
        <w:rPr>
          <w:sz w:val="20"/>
          <w:szCs w:val="20"/>
        </w:rPr>
        <w:t xml:space="preserve">Empirical Evidence. </w:t>
      </w:r>
      <w:r w:rsidRPr="001E0B7F">
        <w:rPr>
          <w:i/>
          <w:sz w:val="20"/>
          <w:szCs w:val="20"/>
        </w:rPr>
        <w:t>Review of Economics and Statistics,</w:t>
      </w:r>
      <w:r w:rsidRPr="001E0B7F">
        <w:rPr>
          <w:sz w:val="20"/>
          <w:szCs w:val="20"/>
        </w:rPr>
        <w:t xml:space="preserve"> 67 (3), 474–81. </w:t>
      </w:r>
      <w:hyperlink r:id="rId16" w:history="1">
        <w:r w:rsidR="0084394E" w:rsidRPr="001E0B7F">
          <w:rPr>
            <w:rFonts w:eastAsia="Times New Roman"/>
            <w:color w:val="D00403"/>
            <w:sz w:val="20"/>
            <w:szCs w:val="20"/>
            <w:u w:val="single"/>
            <w:shd w:val="clear" w:color="auto" w:fill="EEFFEE"/>
          </w:rPr>
          <w:t>http://dx.doi.org/10.2307/1925976</w:t>
        </w:r>
      </w:hyperlink>
    </w:p>
    <w:p w14:paraId="518CE7F2" w14:textId="77777777" w:rsidR="005649BE" w:rsidRPr="001E0B7F" w:rsidRDefault="0096779A" w:rsidP="00655527">
      <w:pPr>
        <w:autoSpaceDE w:val="0"/>
        <w:autoSpaceDN w:val="0"/>
        <w:adjustRightInd w:val="0"/>
        <w:spacing w:after="80" w:line="240" w:lineRule="exact"/>
        <w:jc w:val="both"/>
        <w:rPr>
          <w:sz w:val="20"/>
          <w:szCs w:val="20"/>
        </w:rPr>
      </w:pPr>
      <w:r w:rsidRPr="001E0B7F">
        <w:rPr>
          <w:sz w:val="20"/>
          <w:szCs w:val="20"/>
        </w:rPr>
        <w:t xml:space="preserve">Brade, J.C., &amp; Mendez, J.A. (1983). Regional Economic Integration and the Volume of Intra-regional Trade: A </w:t>
      </w:r>
    </w:p>
    <w:p w14:paraId="16F0BB0B" w14:textId="25AB1CE9" w:rsidR="0096779A" w:rsidRPr="001E0B7F" w:rsidRDefault="0096779A" w:rsidP="00655527">
      <w:pPr>
        <w:autoSpaceDE w:val="0"/>
        <w:autoSpaceDN w:val="0"/>
        <w:adjustRightInd w:val="0"/>
        <w:spacing w:after="80" w:line="240" w:lineRule="exact"/>
        <w:ind w:left="720"/>
        <w:jc w:val="both"/>
        <w:rPr>
          <w:sz w:val="20"/>
          <w:szCs w:val="20"/>
        </w:rPr>
      </w:pPr>
      <w:r w:rsidRPr="001E0B7F">
        <w:rPr>
          <w:sz w:val="20"/>
          <w:szCs w:val="20"/>
        </w:rPr>
        <w:t xml:space="preserve">Comparison of Developed and Developing Country Experience. </w:t>
      </w:r>
      <w:r w:rsidRPr="001E0B7F">
        <w:rPr>
          <w:i/>
          <w:sz w:val="20"/>
          <w:szCs w:val="20"/>
        </w:rPr>
        <w:t>Kyklos</w:t>
      </w:r>
      <w:r w:rsidRPr="001E0B7F">
        <w:rPr>
          <w:sz w:val="20"/>
          <w:szCs w:val="20"/>
        </w:rPr>
        <w:t>. 36(4): 589-603.</w:t>
      </w:r>
      <w:r w:rsidR="001B3136" w:rsidRPr="001E0B7F">
        <w:rPr>
          <w:sz w:val="20"/>
          <w:szCs w:val="20"/>
        </w:rPr>
        <w:t xml:space="preserve"> </w:t>
      </w:r>
      <w:r w:rsidR="00233917" w:rsidRPr="001E0B7F">
        <w:rPr>
          <w:sz w:val="20"/>
          <w:szCs w:val="20"/>
        </w:rPr>
        <w:t xml:space="preserve">Retrieved from </w:t>
      </w:r>
      <w:hyperlink r:id="rId17" w:history="1">
        <w:r w:rsidR="001B3136" w:rsidRPr="001E0B7F">
          <w:rPr>
            <w:rStyle w:val="Hyperlink"/>
            <w:sz w:val="20"/>
            <w:szCs w:val="20"/>
          </w:rPr>
          <w:t>https://asu.pure.elsevier.com/en/publications/regional-economic-integration-and-the-volume-of-intra-regional-tr</w:t>
        </w:r>
      </w:hyperlink>
    </w:p>
    <w:p w14:paraId="363D327E" w14:textId="77777777" w:rsidR="00BD21D9" w:rsidRPr="001E0B7F" w:rsidRDefault="0096779A" w:rsidP="00655527">
      <w:pPr>
        <w:spacing w:after="80" w:line="240" w:lineRule="exact"/>
        <w:jc w:val="both"/>
        <w:rPr>
          <w:i/>
          <w:sz w:val="20"/>
          <w:szCs w:val="20"/>
        </w:rPr>
      </w:pPr>
      <w:r w:rsidRPr="001E0B7F">
        <w:rPr>
          <w:sz w:val="20"/>
          <w:szCs w:val="20"/>
        </w:rPr>
        <w:t xml:space="preserve">Frankel, J., Stein, E., &amp; Wei, S.J. (1996). Regional Trading Agreements: Natural or Supernatural? </w:t>
      </w:r>
      <w:r w:rsidRPr="001E0B7F">
        <w:rPr>
          <w:i/>
          <w:sz w:val="20"/>
          <w:szCs w:val="20"/>
        </w:rPr>
        <w:t xml:space="preserve">American Economic </w:t>
      </w:r>
    </w:p>
    <w:p w14:paraId="33232B76" w14:textId="64C6D640" w:rsidR="00AC7A38" w:rsidRPr="001E0B7F" w:rsidRDefault="0096779A" w:rsidP="00655527">
      <w:pPr>
        <w:spacing w:after="80" w:line="240" w:lineRule="exact"/>
        <w:ind w:firstLine="720"/>
        <w:jc w:val="both"/>
        <w:rPr>
          <w:sz w:val="20"/>
          <w:szCs w:val="20"/>
        </w:rPr>
      </w:pPr>
      <w:r w:rsidRPr="001E0B7F">
        <w:rPr>
          <w:i/>
          <w:sz w:val="20"/>
          <w:szCs w:val="20"/>
        </w:rPr>
        <w:t>Review</w:t>
      </w:r>
      <w:r w:rsidRPr="001E0B7F">
        <w:rPr>
          <w:sz w:val="20"/>
          <w:szCs w:val="20"/>
        </w:rPr>
        <w:t xml:space="preserve"> 86(2): 52-56.</w:t>
      </w:r>
      <w:r w:rsidR="00AC7A38" w:rsidRPr="001E0B7F">
        <w:rPr>
          <w:sz w:val="20"/>
          <w:szCs w:val="20"/>
        </w:rPr>
        <w:t xml:space="preserve"> </w:t>
      </w:r>
      <w:hyperlink r:id="rId18" w:history="1">
        <w:r w:rsidR="00AC7A38" w:rsidRPr="001E0B7F">
          <w:rPr>
            <w:rStyle w:val="Hyperlink"/>
            <w:sz w:val="20"/>
            <w:szCs w:val="20"/>
          </w:rPr>
          <w:t>http://users.nber.org/~wei/data/fsw1996/fsw1996.pdf</w:t>
        </w:r>
      </w:hyperlink>
    </w:p>
    <w:p w14:paraId="3B164438" w14:textId="3CC8D654" w:rsidR="00BD21D9" w:rsidRPr="001E0B7F" w:rsidRDefault="00C26F8F" w:rsidP="00655527">
      <w:pPr>
        <w:spacing w:after="80" w:line="240" w:lineRule="exact"/>
        <w:rPr>
          <w:rFonts w:eastAsia="Times New Roman"/>
          <w:color w:val="222222"/>
          <w:sz w:val="20"/>
          <w:szCs w:val="20"/>
          <w:shd w:val="clear" w:color="auto" w:fill="FFFFFF"/>
        </w:rPr>
      </w:pPr>
      <w:r w:rsidRPr="001E0B7F">
        <w:rPr>
          <w:rFonts w:eastAsia="Times New Roman"/>
          <w:color w:val="222222"/>
          <w:sz w:val="20"/>
          <w:szCs w:val="20"/>
          <w:shd w:val="clear" w:color="auto" w:fill="FFFFFF"/>
        </w:rPr>
        <w:t>Head, K.</w:t>
      </w:r>
      <w:r w:rsidR="00CE383E" w:rsidRPr="001E0B7F">
        <w:rPr>
          <w:rFonts w:eastAsia="Times New Roman"/>
          <w:color w:val="222222"/>
          <w:sz w:val="20"/>
          <w:szCs w:val="20"/>
          <w:shd w:val="clear" w:color="auto" w:fill="FFFFFF"/>
        </w:rPr>
        <w:t xml:space="preserve">, &amp; Mayer, T. (2010). Illusory Border Effects: Distance Mismeasurement Inflates Estimates of Home Bias </w:t>
      </w:r>
    </w:p>
    <w:p w14:paraId="341B06F3" w14:textId="6043F28E" w:rsidR="00C26F8F" w:rsidRPr="001E0B7F" w:rsidRDefault="00CE383E" w:rsidP="00655527">
      <w:pPr>
        <w:spacing w:after="80" w:line="240" w:lineRule="exact"/>
        <w:ind w:firstLine="720"/>
        <w:rPr>
          <w:rFonts w:eastAsia="Times New Roman"/>
          <w:sz w:val="20"/>
          <w:szCs w:val="20"/>
        </w:rPr>
      </w:pPr>
      <w:r w:rsidRPr="001E0B7F">
        <w:rPr>
          <w:rFonts w:eastAsia="Times New Roman"/>
          <w:color w:val="222222"/>
          <w:sz w:val="20"/>
          <w:szCs w:val="20"/>
          <w:shd w:val="clear" w:color="auto" w:fill="FFFFFF"/>
        </w:rPr>
        <w:t>in T</w:t>
      </w:r>
      <w:r w:rsidR="00C26F8F" w:rsidRPr="001E0B7F">
        <w:rPr>
          <w:rFonts w:eastAsia="Times New Roman"/>
          <w:color w:val="222222"/>
          <w:sz w:val="20"/>
          <w:szCs w:val="20"/>
          <w:shd w:val="clear" w:color="auto" w:fill="FFFFFF"/>
        </w:rPr>
        <w:t>rade. </w:t>
      </w:r>
      <w:r w:rsidR="00C26F8F" w:rsidRPr="001E0B7F">
        <w:rPr>
          <w:rFonts w:eastAsia="Times New Roman"/>
          <w:i/>
          <w:iCs/>
          <w:color w:val="222222"/>
          <w:sz w:val="20"/>
          <w:szCs w:val="20"/>
          <w:shd w:val="clear" w:color="auto" w:fill="FFFFFF"/>
        </w:rPr>
        <w:t>The gravity model in international trade: Advances and applications</w:t>
      </w:r>
      <w:r w:rsidR="00C26F8F" w:rsidRPr="001E0B7F">
        <w:rPr>
          <w:rFonts w:eastAsia="Times New Roman"/>
          <w:color w:val="222222"/>
          <w:sz w:val="20"/>
          <w:szCs w:val="20"/>
          <w:shd w:val="clear" w:color="auto" w:fill="FFFFFF"/>
        </w:rPr>
        <w:t>, 165-192.</w:t>
      </w:r>
    </w:p>
    <w:p w14:paraId="74C224E9" w14:textId="77777777" w:rsidR="00BD21D9" w:rsidRPr="001E0B7F" w:rsidRDefault="00184BF6" w:rsidP="00655527">
      <w:pPr>
        <w:spacing w:after="80" w:line="240" w:lineRule="exact"/>
        <w:jc w:val="both"/>
        <w:rPr>
          <w:sz w:val="20"/>
          <w:szCs w:val="20"/>
        </w:rPr>
      </w:pPr>
      <w:r w:rsidRPr="001E0B7F">
        <w:rPr>
          <w:sz w:val="20"/>
          <w:szCs w:val="20"/>
        </w:rPr>
        <w:t xml:space="preserve">Kalirajan, K. </w:t>
      </w:r>
      <w:r w:rsidR="004A21EE" w:rsidRPr="001E0B7F">
        <w:rPr>
          <w:sz w:val="20"/>
          <w:szCs w:val="20"/>
        </w:rPr>
        <w:t>&amp;</w:t>
      </w:r>
      <w:r w:rsidRPr="001E0B7F">
        <w:rPr>
          <w:sz w:val="20"/>
          <w:szCs w:val="20"/>
        </w:rPr>
        <w:t xml:space="preserve"> Findlay, C., (2005). Estimating Potential Trade Using Gravity </w:t>
      </w:r>
      <w:r w:rsidR="00561759" w:rsidRPr="001E0B7F">
        <w:rPr>
          <w:sz w:val="20"/>
          <w:szCs w:val="20"/>
        </w:rPr>
        <w:t>Models: A Suggested Methodology.</w:t>
      </w:r>
      <w:r w:rsidRPr="001E0B7F">
        <w:rPr>
          <w:sz w:val="20"/>
          <w:szCs w:val="20"/>
        </w:rPr>
        <w:t xml:space="preserve"> </w:t>
      </w:r>
    </w:p>
    <w:p w14:paraId="732A442B" w14:textId="570EFD0C" w:rsidR="00184BF6" w:rsidRPr="001E0B7F" w:rsidRDefault="00184BF6" w:rsidP="00655527">
      <w:pPr>
        <w:spacing w:after="80" w:line="240" w:lineRule="exact"/>
        <w:ind w:firstLine="720"/>
        <w:jc w:val="both"/>
        <w:rPr>
          <w:sz w:val="20"/>
          <w:szCs w:val="20"/>
        </w:rPr>
      </w:pPr>
      <w:r w:rsidRPr="001E0B7F">
        <w:rPr>
          <w:sz w:val="20"/>
          <w:szCs w:val="20"/>
        </w:rPr>
        <w:t>Foundation for Advanced Studies on International Development, Tokyo.</w:t>
      </w:r>
    </w:p>
    <w:p w14:paraId="750E9FAE" w14:textId="77777777" w:rsidR="00BD21D9" w:rsidRPr="001E0B7F" w:rsidRDefault="002B4508" w:rsidP="00655527">
      <w:pPr>
        <w:spacing w:after="80" w:line="240" w:lineRule="exact"/>
        <w:rPr>
          <w:sz w:val="20"/>
          <w:szCs w:val="20"/>
          <w:shd w:val="clear" w:color="auto" w:fill="FFFFFF"/>
        </w:rPr>
      </w:pPr>
      <w:r w:rsidRPr="001E0B7F">
        <w:rPr>
          <w:sz w:val="20"/>
          <w:szCs w:val="20"/>
          <w:shd w:val="clear" w:color="auto" w:fill="FFFFFF"/>
        </w:rPr>
        <w:t>Le, Q. P., Nguyen, D. T., &amp; Bandara, J. S. (1996). Vietnam's foreign trade in the context of ASEAN and the Asia-</w:t>
      </w:r>
    </w:p>
    <w:p w14:paraId="38A5FE99" w14:textId="4D10CCBF" w:rsidR="00360880" w:rsidRPr="001E0B7F" w:rsidRDefault="002B4508" w:rsidP="00655527">
      <w:pPr>
        <w:spacing w:after="80" w:line="240" w:lineRule="exact"/>
        <w:ind w:firstLine="720"/>
        <w:rPr>
          <w:rStyle w:val="Hyperlink"/>
          <w:rFonts w:eastAsia="Times New Roman"/>
          <w:sz w:val="20"/>
          <w:szCs w:val="20"/>
          <w:shd w:val="clear" w:color="auto" w:fill="FFFFFF"/>
        </w:rPr>
      </w:pPr>
      <w:r w:rsidRPr="001E0B7F">
        <w:rPr>
          <w:sz w:val="20"/>
          <w:szCs w:val="20"/>
          <w:shd w:val="clear" w:color="auto" w:fill="FFFFFF"/>
        </w:rPr>
        <w:t>Pacific region: a gravity approach. </w:t>
      </w:r>
      <w:r w:rsidRPr="001E0B7F">
        <w:rPr>
          <w:i/>
          <w:iCs/>
          <w:sz w:val="20"/>
          <w:szCs w:val="20"/>
          <w:shd w:val="clear" w:color="auto" w:fill="FFFFFF"/>
        </w:rPr>
        <w:t>ASEAN Economic Bulletin</w:t>
      </w:r>
      <w:r w:rsidRPr="001E0B7F">
        <w:rPr>
          <w:sz w:val="20"/>
          <w:szCs w:val="20"/>
          <w:shd w:val="clear" w:color="auto" w:fill="FFFFFF"/>
        </w:rPr>
        <w:t>, 185-199.</w:t>
      </w:r>
      <w:r w:rsidR="009B4B9F" w:rsidRPr="001E0B7F">
        <w:rPr>
          <w:sz w:val="20"/>
          <w:szCs w:val="20"/>
          <w:shd w:val="clear" w:color="auto" w:fill="FFFFFF"/>
        </w:rPr>
        <w:t xml:space="preserve"> </w:t>
      </w:r>
      <w:hyperlink r:id="rId19" w:history="1">
        <w:r w:rsidR="00360880" w:rsidRPr="001E0B7F">
          <w:rPr>
            <w:rStyle w:val="Hyperlink"/>
            <w:sz w:val="20"/>
            <w:szCs w:val="20"/>
            <w:shd w:val="clear" w:color="auto" w:fill="FFFFFF"/>
          </w:rPr>
          <w:t>http://dx.doi.org/</w:t>
        </w:r>
        <w:r w:rsidR="00360880" w:rsidRPr="001E0B7F">
          <w:rPr>
            <w:rStyle w:val="Hyperlink"/>
            <w:rFonts w:eastAsia="Times New Roman"/>
            <w:sz w:val="20"/>
            <w:szCs w:val="20"/>
            <w:shd w:val="clear" w:color="auto" w:fill="FFFFFF"/>
          </w:rPr>
          <w:t>10.1355/ae13-2c</w:t>
        </w:r>
      </w:hyperlink>
    </w:p>
    <w:p w14:paraId="664332F9" w14:textId="77777777" w:rsidR="002C08CE" w:rsidRPr="001E0B7F" w:rsidRDefault="00D46888" w:rsidP="00655527">
      <w:pPr>
        <w:spacing w:after="80" w:line="240" w:lineRule="exact"/>
        <w:rPr>
          <w:rFonts w:eastAsia="Times New Roman"/>
          <w:color w:val="222222"/>
          <w:sz w:val="20"/>
          <w:szCs w:val="20"/>
          <w:shd w:val="clear" w:color="auto" w:fill="FFFFFF"/>
        </w:rPr>
      </w:pPr>
      <w:r w:rsidRPr="001E0B7F">
        <w:rPr>
          <w:rFonts w:eastAsia="Times New Roman"/>
          <w:color w:val="222222"/>
          <w:sz w:val="20"/>
          <w:szCs w:val="20"/>
          <w:shd w:val="clear" w:color="auto" w:fill="FFFFFF"/>
        </w:rPr>
        <w:t>Linnemann, H. (1966).</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An econometric study of international trade flows</w:t>
      </w:r>
      <w:r w:rsidRPr="001E0B7F">
        <w:rPr>
          <w:rStyle w:val="apple-converted-space"/>
          <w:rFonts w:eastAsia="Times New Roman"/>
          <w:color w:val="222222"/>
          <w:sz w:val="20"/>
          <w:szCs w:val="20"/>
          <w:shd w:val="clear" w:color="auto" w:fill="FFFFFF"/>
        </w:rPr>
        <w:t> </w:t>
      </w:r>
      <w:r w:rsidRPr="001E0B7F">
        <w:rPr>
          <w:rFonts w:eastAsia="Times New Roman"/>
          <w:color w:val="222222"/>
          <w:sz w:val="20"/>
          <w:szCs w:val="20"/>
          <w:shd w:val="clear" w:color="auto" w:fill="FFFFFF"/>
        </w:rPr>
        <w:t>(Vol. 234). Amsterdam: North-</w:t>
      </w:r>
    </w:p>
    <w:p w14:paraId="0CEDA787" w14:textId="3B07678E" w:rsidR="00D46888" w:rsidRPr="001E0B7F" w:rsidRDefault="00D46888" w:rsidP="00655527">
      <w:pPr>
        <w:spacing w:after="80" w:line="240" w:lineRule="exact"/>
        <w:ind w:firstLine="720"/>
        <w:rPr>
          <w:rFonts w:eastAsia="Times New Roman"/>
          <w:sz w:val="20"/>
          <w:szCs w:val="20"/>
        </w:rPr>
      </w:pPr>
      <w:r w:rsidRPr="001E0B7F">
        <w:rPr>
          <w:rFonts w:eastAsia="Times New Roman"/>
          <w:color w:val="222222"/>
          <w:sz w:val="20"/>
          <w:szCs w:val="20"/>
          <w:shd w:val="clear" w:color="auto" w:fill="FFFFFF"/>
        </w:rPr>
        <w:t>Holland Publishing Company.</w:t>
      </w:r>
    </w:p>
    <w:p w14:paraId="188BA304" w14:textId="77777777" w:rsidR="00BD21D9" w:rsidRPr="001E0B7F" w:rsidRDefault="009F0231" w:rsidP="00655527">
      <w:pPr>
        <w:spacing w:after="80" w:line="240" w:lineRule="exact"/>
        <w:rPr>
          <w:sz w:val="20"/>
          <w:szCs w:val="20"/>
          <w:shd w:val="clear" w:color="auto" w:fill="FFFFFF"/>
        </w:rPr>
      </w:pPr>
      <w:r w:rsidRPr="001E0B7F">
        <w:rPr>
          <w:sz w:val="20"/>
          <w:szCs w:val="20"/>
          <w:shd w:val="clear" w:color="auto" w:fill="FFFFFF"/>
        </w:rPr>
        <w:t xml:space="preserve">Narayan, S., &amp; Nguyen, T. T. (2016). Does the trade gravity model depend on trading partners? Some evidence from </w:t>
      </w:r>
    </w:p>
    <w:p w14:paraId="41220289" w14:textId="3FF98BF2" w:rsidR="007E47B6" w:rsidRPr="001E0B7F" w:rsidRDefault="009F0231" w:rsidP="00655527">
      <w:pPr>
        <w:spacing w:after="80" w:line="240" w:lineRule="exact"/>
        <w:ind w:left="720"/>
        <w:rPr>
          <w:rFonts w:eastAsia="Times New Roman"/>
          <w:sz w:val="20"/>
          <w:szCs w:val="20"/>
        </w:rPr>
      </w:pPr>
      <w:r w:rsidRPr="001E0B7F">
        <w:rPr>
          <w:sz w:val="20"/>
          <w:szCs w:val="20"/>
          <w:shd w:val="clear" w:color="auto" w:fill="FFFFFF"/>
        </w:rPr>
        <w:t>Vietnam and her 54 trading partners. </w:t>
      </w:r>
      <w:r w:rsidRPr="001E0B7F">
        <w:rPr>
          <w:i/>
          <w:iCs/>
          <w:sz w:val="20"/>
          <w:szCs w:val="20"/>
          <w:shd w:val="clear" w:color="auto" w:fill="FFFFFF"/>
        </w:rPr>
        <w:t>International Review of Economics &amp; Finance</w:t>
      </w:r>
      <w:r w:rsidRPr="001E0B7F">
        <w:rPr>
          <w:sz w:val="20"/>
          <w:szCs w:val="20"/>
          <w:shd w:val="clear" w:color="auto" w:fill="FFFFFF"/>
        </w:rPr>
        <w:t>, </w:t>
      </w:r>
      <w:r w:rsidRPr="001E0B7F">
        <w:rPr>
          <w:i/>
          <w:iCs/>
          <w:sz w:val="20"/>
          <w:szCs w:val="20"/>
          <w:shd w:val="clear" w:color="auto" w:fill="FFFFFF"/>
        </w:rPr>
        <w:t>41</w:t>
      </w:r>
      <w:r w:rsidRPr="001E0B7F">
        <w:rPr>
          <w:sz w:val="20"/>
          <w:szCs w:val="20"/>
          <w:shd w:val="clear" w:color="auto" w:fill="FFFFFF"/>
        </w:rPr>
        <w:t>, 220-237.</w:t>
      </w:r>
      <w:r w:rsidR="007E47B6" w:rsidRPr="001E0B7F">
        <w:rPr>
          <w:sz w:val="20"/>
          <w:szCs w:val="20"/>
          <w:shd w:val="clear" w:color="auto" w:fill="FFFFFF"/>
        </w:rPr>
        <w:t xml:space="preserve"> </w:t>
      </w:r>
      <w:hyperlink r:id="rId20" w:history="1">
        <w:r w:rsidR="007E47B6" w:rsidRPr="001E0B7F">
          <w:rPr>
            <w:rFonts w:eastAsia="Times New Roman"/>
            <w:color w:val="D00403"/>
            <w:sz w:val="20"/>
            <w:szCs w:val="20"/>
            <w:u w:val="single"/>
            <w:shd w:val="clear" w:color="auto" w:fill="EEFFEE"/>
          </w:rPr>
          <w:t>http://dx.doi.org/10.1016/j.iref.2015.08.010</w:t>
        </w:r>
      </w:hyperlink>
    </w:p>
    <w:p w14:paraId="637AA54B" w14:textId="77777777" w:rsidR="00BD21D9" w:rsidRPr="001E0B7F" w:rsidRDefault="00B131E6" w:rsidP="00655527">
      <w:pPr>
        <w:spacing w:after="80" w:line="240" w:lineRule="exact"/>
        <w:rPr>
          <w:sz w:val="20"/>
          <w:szCs w:val="20"/>
          <w:shd w:val="clear" w:color="auto" w:fill="FFFFFF"/>
        </w:rPr>
      </w:pPr>
      <w:r w:rsidRPr="001E0B7F">
        <w:rPr>
          <w:sz w:val="20"/>
          <w:szCs w:val="20"/>
          <w:shd w:val="clear" w:color="auto" w:fill="FFFFFF"/>
        </w:rPr>
        <w:t>Nguyen, T.K.</w:t>
      </w:r>
      <w:r w:rsidR="00D3550D" w:rsidRPr="001E0B7F">
        <w:rPr>
          <w:sz w:val="20"/>
          <w:szCs w:val="20"/>
          <w:shd w:val="clear" w:color="auto" w:fill="FFFFFF"/>
        </w:rPr>
        <w:t xml:space="preserve"> </w:t>
      </w:r>
      <w:r w:rsidR="005C4D67" w:rsidRPr="001E0B7F">
        <w:rPr>
          <w:sz w:val="20"/>
          <w:szCs w:val="20"/>
          <w:shd w:val="clear" w:color="auto" w:fill="FFFFFF"/>
        </w:rPr>
        <w:t xml:space="preserve">(2009). Gravity model by panel data approach: an empirical application with implications for the </w:t>
      </w:r>
    </w:p>
    <w:p w14:paraId="1E7573E7" w14:textId="73241B0A" w:rsidR="005C4D67" w:rsidRDefault="005C4D67" w:rsidP="00655527">
      <w:pPr>
        <w:spacing w:after="80" w:line="240" w:lineRule="exact"/>
        <w:ind w:firstLine="720"/>
        <w:rPr>
          <w:rStyle w:val="Hyperlink"/>
          <w:rFonts w:eastAsia="Times New Roman"/>
          <w:sz w:val="20"/>
          <w:szCs w:val="20"/>
          <w:shd w:val="clear" w:color="auto" w:fill="FFFFFF"/>
        </w:rPr>
      </w:pPr>
      <w:r w:rsidRPr="001E0B7F">
        <w:rPr>
          <w:sz w:val="20"/>
          <w:szCs w:val="20"/>
          <w:shd w:val="clear" w:color="auto" w:fill="FFFFFF"/>
        </w:rPr>
        <w:t>ASEAN free trade area. </w:t>
      </w:r>
      <w:r w:rsidRPr="001E0B7F">
        <w:rPr>
          <w:i/>
          <w:iCs/>
          <w:sz w:val="20"/>
          <w:szCs w:val="20"/>
          <w:shd w:val="clear" w:color="auto" w:fill="FFFFFF"/>
        </w:rPr>
        <w:t>ASEAN Economic Bulletin</w:t>
      </w:r>
      <w:r w:rsidRPr="001E0B7F">
        <w:rPr>
          <w:sz w:val="20"/>
          <w:szCs w:val="20"/>
          <w:shd w:val="clear" w:color="auto" w:fill="FFFFFF"/>
        </w:rPr>
        <w:t>, </w:t>
      </w:r>
      <w:r w:rsidRPr="001E0B7F">
        <w:rPr>
          <w:i/>
          <w:iCs/>
          <w:sz w:val="20"/>
          <w:szCs w:val="20"/>
          <w:shd w:val="clear" w:color="auto" w:fill="FFFFFF"/>
        </w:rPr>
        <w:t>26</w:t>
      </w:r>
      <w:r w:rsidRPr="001E0B7F">
        <w:rPr>
          <w:sz w:val="20"/>
          <w:szCs w:val="20"/>
          <w:shd w:val="clear" w:color="auto" w:fill="FFFFFF"/>
        </w:rPr>
        <w:t>(3), 266-277.</w:t>
      </w:r>
      <w:r w:rsidR="00104DBC" w:rsidRPr="001E0B7F">
        <w:rPr>
          <w:sz w:val="20"/>
          <w:szCs w:val="20"/>
          <w:shd w:val="clear" w:color="auto" w:fill="FFFFFF"/>
        </w:rPr>
        <w:t xml:space="preserve"> </w:t>
      </w:r>
      <w:hyperlink r:id="rId21" w:history="1">
        <w:r w:rsidR="00104DBC" w:rsidRPr="001E0B7F">
          <w:rPr>
            <w:rStyle w:val="Hyperlink"/>
            <w:sz w:val="20"/>
            <w:szCs w:val="20"/>
            <w:shd w:val="clear" w:color="auto" w:fill="FFFFFF"/>
          </w:rPr>
          <w:t>http://dx.doi.org/</w:t>
        </w:r>
        <w:r w:rsidR="00104DBC" w:rsidRPr="001E0B7F">
          <w:rPr>
            <w:rStyle w:val="Hyperlink"/>
            <w:rFonts w:eastAsia="Times New Roman"/>
            <w:sz w:val="20"/>
            <w:szCs w:val="20"/>
            <w:shd w:val="clear" w:color="auto" w:fill="FFFFFF"/>
          </w:rPr>
          <w:t>10.1355/ae26-3c</w:t>
        </w:r>
      </w:hyperlink>
    </w:p>
    <w:p w14:paraId="42D66AAB" w14:textId="77777777" w:rsidR="00674673" w:rsidRPr="001E0B7F" w:rsidRDefault="00674673" w:rsidP="00655527">
      <w:pPr>
        <w:widowControl w:val="0"/>
        <w:autoSpaceDE w:val="0"/>
        <w:autoSpaceDN w:val="0"/>
        <w:adjustRightInd w:val="0"/>
        <w:spacing w:after="80" w:line="240" w:lineRule="exact"/>
        <w:rPr>
          <w:i/>
          <w:iCs/>
          <w:sz w:val="20"/>
          <w:szCs w:val="20"/>
        </w:rPr>
      </w:pPr>
      <w:r w:rsidRPr="001E0B7F">
        <w:rPr>
          <w:sz w:val="20"/>
          <w:szCs w:val="20"/>
        </w:rPr>
        <w:t xml:space="preserve">Riasi, A. (2015). Barriers to international supply chain management in Iranian flower industry. </w:t>
      </w:r>
      <w:r w:rsidRPr="001E0B7F">
        <w:rPr>
          <w:i/>
          <w:iCs/>
          <w:sz w:val="20"/>
          <w:szCs w:val="20"/>
        </w:rPr>
        <w:t xml:space="preserve">Management Science </w:t>
      </w:r>
    </w:p>
    <w:p w14:paraId="36C6E93B" w14:textId="77777777" w:rsidR="00674673" w:rsidRPr="001E0B7F" w:rsidRDefault="00674673" w:rsidP="00655527">
      <w:pPr>
        <w:spacing w:after="80" w:line="240" w:lineRule="exact"/>
        <w:rPr>
          <w:sz w:val="20"/>
          <w:szCs w:val="20"/>
        </w:rPr>
      </w:pPr>
      <w:r w:rsidRPr="001E0B7F">
        <w:rPr>
          <w:i/>
          <w:iCs/>
          <w:sz w:val="20"/>
          <w:szCs w:val="20"/>
        </w:rPr>
        <w:t xml:space="preserve"> </w:t>
      </w:r>
      <w:r w:rsidRPr="001E0B7F">
        <w:rPr>
          <w:i/>
          <w:iCs/>
          <w:sz w:val="20"/>
          <w:szCs w:val="20"/>
        </w:rPr>
        <w:tab/>
        <w:t>Letters</w:t>
      </w:r>
      <w:r w:rsidRPr="001E0B7F">
        <w:rPr>
          <w:sz w:val="20"/>
          <w:szCs w:val="20"/>
        </w:rPr>
        <w:t xml:space="preserve">, </w:t>
      </w:r>
      <w:r w:rsidRPr="001E0B7F">
        <w:rPr>
          <w:i/>
          <w:iCs/>
          <w:sz w:val="20"/>
          <w:szCs w:val="20"/>
        </w:rPr>
        <w:t>5</w:t>
      </w:r>
      <w:r w:rsidRPr="001E0B7F">
        <w:rPr>
          <w:sz w:val="20"/>
          <w:szCs w:val="20"/>
        </w:rPr>
        <w:t xml:space="preserve">(4), 363-368. </w:t>
      </w:r>
      <w:hyperlink r:id="rId22" w:history="1">
        <w:r w:rsidRPr="001E0B7F">
          <w:rPr>
            <w:rStyle w:val="Hyperlink"/>
            <w:sz w:val="20"/>
            <w:szCs w:val="20"/>
          </w:rPr>
          <w:t>http://dx.dox.org/10.5267/j.msl.2015.2.005</w:t>
        </w:r>
      </w:hyperlink>
    </w:p>
    <w:p w14:paraId="07EE3E60" w14:textId="77777777" w:rsidR="00674673" w:rsidRPr="001E0B7F" w:rsidRDefault="00674673" w:rsidP="00655527">
      <w:pPr>
        <w:widowControl w:val="0"/>
        <w:autoSpaceDE w:val="0"/>
        <w:autoSpaceDN w:val="0"/>
        <w:adjustRightInd w:val="0"/>
        <w:spacing w:after="80" w:line="240" w:lineRule="exact"/>
        <w:rPr>
          <w:sz w:val="20"/>
          <w:szCs w:val="20"/>
        </w:rPr>
      </w:pPr>
      <w:r w:rsidRPr="001E0B7F">
        <w:rPr>
          <w:sz w:val="20"/>
          <w:szCs w:val="20"/>
        </w:rPr>
        <w:t xml:space="preserve">Riasi, A., &amp; Amiri Aghdaie, S. F. (2013). Effects of a hypothetical Iranian accession to the world trade organization  </w:t>
      </w:r>
    </w:p>
    <w:p w14:paraId="3E28EB44" w14:textId="582404B6" w:rsidR="00674673" w:rsidRPr="00674673" w:rsidRDefault="00674673" w:rsidP="00655527">
      <w:pPr>
        <w:widowControl w:val="0"/>
        <w:autoSpaceDE w:val="0"/>
        <w:autoSpaceDN w:val="0"/>
        <w:adjustRightInd w:val="0"/>
        <w:spacing w:after="80" w:line="240" w:lineRule="exact"/>
        <w:ind w:left="720"/>
        <w:rPr>
          <w:rStyle w:val="Hyperlink"/>
          <w:color w:val="auto"/>
          <w:sz w:val="20"/>
          <w:szCs w:val="20"/>
          <w:u w:val="none"/>
        </w:rPr>
      </w:pPr>
      <w:r w:rsidRPr="001E0B7F">
        <w:rPr>
          <w:sz w:val="20"/>
          <w:szCs w:val="20"/>
        </w:rPr>
        <w:t xml:space="preserve">on Iran's flower industry. </w:t>
      </w:r>
      <w:r w:rsidRPr="001E0B7F">
        <w:rPr>
          <w:i/>
          <w:iCs/>
          <w:sz w:val="20"/>
          <w:szCs w:val="20"/>
        </w:rPr>
        <w:t>Consilience: The Journal of Sustainable Development</w:t>
      </w:r>
      <w:r w:rsidRPr="001E0B7F">
        <w:rPr>
          <w:sz w:val="20"/>
          <w:szCs w:val="20"/>
        </w:rPr>
        <w:t xml:space="preserve">, </w:t>
      </w:r>
      <w:r w:rsidRPr="001E0B7F">
        <w:rPr>
          <w:i/>
          <w:iCs/>
          <w:sz w:val="20"/>
          <w:szCs w:val="20"/>
        </w:rPr>
        <w:t>10</w:t>
      </w:r>
      <w:r w:rsidRPr="001E0B7F">
        <w:rPr>
          <w:sz w:val="20"/>
          <w:szCs w:val="20"/>
        </w:rPr>
        <w:t xml:space="preserve">(1), 99-110. </w:t>
      </w:r>
      <w:hyperlink r:id="rId23" w:history="1">
        <w:r w:rsidRPr="001E0B7F">
          <w:rPr>
            <w:rStyle w:val="Hyperlink"/>
            <w:sz w:val="20"/>
            <w:szCs w:val="20"/>
          </w:rPr>
          <w:t>http://dx.dox.org/10.7916/D8HQ3ZK8</w:t>
        </w:r>
      </w:hyperlink>
    </w:p>
    <w:p w14:paraId="137C1AB5" w14:textId="77777777" w:rsidR="00B20E91" w:rsidRPr="001E0B7F" w:rsidRDefault="000B5AFA" w:rsidP="00655527">
      <w:pPr>
        <w:spacing w:after="80" w:line="240" w:lineRule="exact"/>
        <w:rPr>
          <w:rFonts w:eastAsia="Times New Roman"/>
          <w:i/>
          <w:iCs/>
          <w:color w:val="222222"/>
          <w:sz w:val="20"/>
          <w:szCs w:val="20"/>
          <w:shd w:val="clear" w:color="auto" w:fill="FFFFFF"/>
        </w:rPr>
      </w:pPr>
      <w:r w:rsidRPr="001E0B7F">
        <w:rPr>
          <w:rFonts w:eastAsia="Times New Roman"/>
          <w:color w:val="222222"/>
          <w:sz w:val="20"/>
          <w:szCs w:val="20"/>
          <w:shd w:val="clear" w:color="auto" w:fill="FFFFFF"/>
        </w:rPr>
        <w:t>Thanh, V. T., &amp; Duong, N. A. (2011). Revisiting exports and foreign direct investment in Vietnam.</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 xml:space="preserve">Asian Economic </w:t>
      </w:r>
    </w:p>
    <w:p w14:paraId="50806799" w14:textId="1B1940A9" w:rsidR="000B5AFA" w:rsidRPr="001E0B7F" w:rsidRDefault="000B5AFA" w:rsidP="00655527">
      <w:pPr>
        <w:spacing w:after="80" w:line="240" w:lineRule="exact"/>
        <w:ind w:firstLine="720"/>
        <w:rPr>
          <w:rFonts w:eastAsia="Times New Roman"/>
          <w:sz w:val="20"/>
          <w:szCs w:val="20"/>
        </w:rPr>
      </w:pPr>
      <w:r w:rsidRPr="001E0B7F">
        <w:rPr>
          <w:rFonts w:eastAsia="Times New Roman"/>
          <w:i/>
          <w:iCs/>
          <w:color w:val="222222"/>
          <w:sz w:val="20"/>
          <w:szCs w:val="20"/>
          <w:shd w:val="clear" w:color="auto" w:fill="FFFFFF"/>
        </w:rPr>
        <w:t>Policy Review</w:t>
      </w:r>
      <w:r w:rsidRPr="001E0B7F">
        <w:rPr>
          <w:rFonts w:eastAsia="Times New Roman"/>
          <w:color w:val="222222"/>
          <w:sz w:val="20"/>
          <w:szCs w:val="20"/>
          <w:shd w:val="clear" w:color="auto" w:fill="FFFFFF"/>
        </w:rPr>
        <w:t>,</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6</w:t>
      </w:r>
      <w:r w:rsidRPr="001E0B7F">
        <w:rPr>
          <w:rFonts w:eastAsia="Times New Roman"/>
          <w:color w:val="222222"/>
          <w:sz w:val="20"/>
          <w:szCs w:val="20"/>
          <w:shd w:val="clear" w:color="auto" w:fill="FFFFFF"/>
        </w:rPr>
        <w:t>(1), 112-131.</w:t>
      </w:r>
      <w:r w:rsidRPr="001E0B7F">
        <w:rPr>
          <w:rFonts w:eastAsia="Times New Roman"/>
          <w:sz w:val="20"/>
          <w:szCs w:val="20"/>
        </w:rPr>
        <w:t xml:space="preserve"> </w:t>
      </w:r>
      <w:hyperlink r:id="rId24" w:history="1">
        <w:r w:rsidRPr="001E0B7F">
          <w:rPr>
            <w:rStyle w:val="Hyperlink"/>
            <w:sz w:val="20"/>
            <w:szCs w:val="20"/>
          </w:rPr>
          <w:t>http://dx.doi.org/10.1111/j.1748-3131.2011.01187.x</w:t>
        </w:r>
      </w:hyperlink>
    </w:p>
    <w:p w14:paraId="4B2E44F2" w14:textId="77777777" w:rsidR="00BD21D9" w:rsidRPr="001E0B7F" w:rsidRDefault="001E6C93" w:rsidP="00655527">
      <w:pPr>
        <w:spacing w:after="80" w:line="240" w:lineRule="exact"/>
        <w:rPr>
          <w:sz w:val="20"/>
          <w:szCs w:val="20"/>
        </w:rPr>
      </w:pPr>
      <w:r w:rsidRPr="001E0B7F">
        <w:rPr>
          <w:sz w:val="20"/>
          <w:szCs w:val="20"/>
        </w:rPr>
        <w:t xml:space="preserve">Tinbergen, J., 1962. Shaping the World Economy: Suggestions for an International Economic Policy, The Twentieth </w:t>
      </w:r>
    </w:p>
    <w:p w14:paraId="2B774183" w14:textId="4917CA8F" w:rsidR="008A41CF" w:rsidRPr="001E0B7F" w:rsidRDefault="001E6C93" w:rsidP="00655527">
      <w:pPr>
        <w:spacing w:after="80" w:line="240" w:lineRule="exact"/>
        <w:ind w:firstLine="720"/>
        <w:rPr>
          <w:rStyle w:val="Hyperlink"/>
          <w:rFonts w:eastAsia="Times New Roman"/>
          <w:sz w:val="20"/>
          <w:szCs w:val="20"/>
          <w:shd w:val="clear" w:color="auto" w:fill="FFFFFF"/>
        </w:rPr>
      </w:pPr>
      <w:r w:rsidRPr="001E0B7F">
        <w:rPr>
          <w:sz w:val="20"/>
          <w:szCs w:val="20"/>
        </w:rPr>
        <w:t>Century Fund, New York</w:t>
      </w:r>
      <w:r w:rsidR="008A41CF" w:rsidRPr="001E0B7F">
        <w:rPr>
          <w:sz w:val="20"/>
          <w:szCs w:val="20"/>
        </w:rPr>
        <w:t xml:space="preserve">. </w:t>
      </w:r>
      <w:hyperlink r:id="rId25" w:history="1">
        <w:r w:rsidR="008A41CF" w:rsidRPr="001E0B7F">
          <w:rPr>
            <w:rStyle w:val="Hyperlink"/>
            <w:sz w:val="20"/>
            <w:szCs w:val="20"/>
          </w:rPr>
          <w:t>http://dx.doi.org/</w:t>
        </w:r>
        <w:r w:rsidR="008A41CF" w:rsidRPr="001E0B7F">
          <w:rPr>
            <w:rStyle w:val="Hyperlink"/>
            <w:rFonts w:eastAsia="Times New Roman"/>
            <w:sz w:val="20"/>
            <w:szCs w:val="20"/>
            <w:shd w:val="clear" w:color="auto" w:fill="FFFFFF"/>
          </w:rPr>
          <w:t>10.2307/2229041</w:t>
        </w:r>
      </w:hyperlink>
    </w:p>
    <w:p w14:paraId="08EC197B" w14:textId="77777777" w:rsidR="00FE0FE5" w:rsidRPr="001E0B7F" w:rsidRDefault="00C86ED2" w:rsidP="00655527">
      <w:pPr>
        <w:spacing w:after="80" w:line="240" w:lineRule="exact"/>
        <w:rPr>
          <w:rFonts w:eastAsia="Times New Roman"/>
          <w:i/>
          <w:iCs/>
          <w:color w:val="222222"/>
          <w:sz w:val="20"/>
          <w:szCs w:val="20"/>
          <w:shd w:val="clear" w:color="auto" w:fill="FFFFFF"/>
        </w:rPr>
      </w:pPr>
      <w:r w:rsidRPr="001E0B7F">
        <w:rPr>
          <w:rFonts w:eastAsia="Times New Roman"/>
          <w:color w:val="222222"/>
          <w:sz w:val="20"/>
          <w:szCs w:val="20"/>
          <w:shd w:val="clear" w:color="auto" w:fill="FFFFFF"/>
        </w:rPr>
        <w:t>Wall, H. J. (1999). Using the gravity model to estimate the costs of protection.</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 xml:space="preserve">REVIEW-FEDERAL </w:t>
      </w:r>
    </w:p>
    <w:p w14:paraId="31486C9B" w14:textId="649A3236" w:rsidR="00576BCF" w:rsidRPr="001E0B7F" w:rsidRDefault="00C86ED2" w:rsidP="00655527">
      <w:pPr>
        <w:spacing w:after="80" w:line="240" w:lineRule="exact"/>
        <w:ind w:left="720"/>
        <w:rPr>
          <w:rFonts w:eastAsia="Times New Roman"/>
          <w:sz w:val="20"/>
          <w:szCs w:val="20"/>
        </w:rPr>
      </w:pPr>
      <w:r w:rsidRPr="001E0B7F">
        <w:rPr>
          <w:rFonts w:eastAsia="Times New Roman"/>
          <w:i/>
          <w:iCs/>
          <w:color w:val="222222"/>
          <w:sz w:val="20"/>
          <w:szCs w:val="20"/>
          <w:shd w:val="clear" w:color="auto" w:fill="FFFFFF"/>
        </w:rPr>
        <w:t>RESERVE BANK OF SAINT LOUIS</w:t>
      </w:r>
      <w:r w:rsidRPr="001E0B7F">
        <w:rPr>
          <w:rFonts w:eastAsia="Times New Roman"/>
          <w:color w:val="222222"/>
          <w:sz w:val="20"/>
          <w:szCs w:val="20"/>
          <w:shd w:val="clear" w:color="auto" w:fill="FFFFFF"/>
        </w:rPr>
        <w:t>,</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81</w:t>
      </w:r>
      <w:r w:rsidRPr="001E0B7F">
        <w:rPr>
          <w:rFonts w:eastAsia="Times New Roman"/>
          <w:color w:val="222222"/>
          <w:sz w:val="20"/>
          <w:szCs w:val="20"/>
          <w:shd w:val="clear" w:color="auto" w:fill="FFFFFF"/>
        </w:rPr>
        <w:t>, 33-40.</w:t>
      </w:r>
      <w:r w:rsidR="00163AEB" w:rsidRPr="001E0B7F">
        <w:rPr>
          <w:rFonts w:eastAsia="Times New Roman"/>
          <w:sz w:val="20"/>
          <w:szCs w:val="20"/>
        </w:rPr>
        <w:t xml:space="preserve"> </w:t>
      </w:r>
      <w:hyperlink r:id="rId26" w:history="1">
        <w:r w:rsidR="00163AEB" w:rsidRPr="001E0B7F">
          <w:rPr>
            <w:rStyle w:val="Hyperlink"/>
            <w:rFonts w:eastAsia="Times New Roman"/>
            <w:sz w:val="20"/>
            <w:szCs w:val="20"/>
          </w:rPr>
          <w:t>http://citeseerx.ist.psu.edu/viewdoc/download?doi=10.1.1.6.5455&amp;rep=rep1&amp;type=pdf</w:t>
        </w:r>
      </w:hyperlink>
    </w:p>
    <w:p w14:paraId="6A4C4FF1" w14:textId="77777777" w:rsidR="00704AA8" w:rsidRPr="001E0B7F" w:rsidRDefault="00904883" w:rsidP="00655527">
      <w:pPr>
        <w:spacing w:after="80" w:line="240" w:lineRule="exact"/>
        <w:rPr>
          <w:rFonts w:eastAsia="Times New Roman"/>
          <w:i/>
          <w:iCs/>
          <w:color w:val="222222"/>
          <w:sz w:val="20"/>
          <w:szCs w:val="20"/>
          <w:shd w:val="clear" w:color="auto" w:fill="FFFFFF"/>
        </w:rPr>
      </w:pPr>
      <w:r w:rsidRPr="001E0B7F">
        <w:rPr>
          <w:rFonts w:eastAsia="Times New Roman"/>
          <w:color w:val="222222"/>
          <w:sz w:val="20"/>
          <w:szCs w:val="20"/>
          <w:shd w:val="clear" w:color="auto" w:fill="FFFFFF"/>
        </w:rPr>
        <w:t xml:space="preserve">Xuan, N. T., &amp; Xing, Y. (2008). Foreign direct investment and exports The experiences of </w:t>
      </w:r>
      <w:r w:rsidR="00591C5D" w:rsidRPr="001E0B7F">
        <w:rPr>
          <w:rFonts w:eastAsia="Times New Roman"/>
          <w:color w:val="222222"/>
          <w:sz w:val="20"/>
          <w:szCs w:val="20"/>
          <w:shd w:val="clear" w:color="auto" w:fill="FFFFFF"/>
        </w:rPr>
        <w:t>Vietnam</w:t>
      </w:r>
      <w:r w:rsidRPr="001E0B7F">
        <w:rPr>
          <w:rFonts w:eastAsia="Times New Roman"/>
          <w:color w:val="222222"/>
          <w:sz w:val="20"/>
          <w:szCs w:val="20"/>
          <w:shd w:val="clear" w:color="auto" w:fill="FFFFFF"/>
        </w:rPr>
        <w:t>.</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 xml:space="preserve">Economics of </w:t>
      </w:r>
    </w:p>
    <w:p w14:paraId="299D36F5" w14:textId="0CA3CFB5" w:rsidR="00904883" w:rsidRPr="001E0B7F" w:rsidRDefault="00904883" w:rsidP="00655527">
      <w:pPr>
        <w:spacing w:after="80" w:line="240" w:lineRule="exact"/>
        <w:ind w:firstLine="720"/>
        <w:rPr>
          <w:rFonts w:eastAsia="Times New Roman"/>
          <w:color w:val="222222"/>
          <w:sz w:val="20"/>
          <w:szCs w:val="20"/>
          <w:shd w:val="clear" w:color="auto" w:fill="FFFFFF"/>
        </w:rPr>
      </w:pPr>
      <w:r w:rsidRPr="001E0B7F">
        <w:rPr>
          <w:rFonts w:eastAsia="Times New Roman"/>
          <w:i/>
          <w:iCs/>
          <w:color w:val="222222"/>
          <w:sz w:val="20"/>
          <w:szCs w:val="20"/>
          <w:shd w:val="clear" w:color="auto" w:fill="FFFFFF"/>
        </w:rPr>
        <w:t>transition</w:t>
      </w:r>
      <w:r w:rsidRPr="001E0B7F">
        <w:rPr>
          <w:rFonts w:eastAsia="Times New Roman"/>
          <w:color w:val="222222"/>
          <w:sz w:val="20"/>
          <w:szCs w:val="20"/>
          <w:shd w:val="clear" w:color="auto" w:fill="FFFFFF"/>
        </w:rPr>
        <w:t>,</w:t>
      </w:r>
      <w:r w:rsidRPr="001E0B7F">
        <w:rPr>
          <w:rStyle w:val="apple-converted-space"/>
          <w:rFonts w:eastAsia="Times New Roman"/>
          <w:color w:val="222222"/>
          <w:sz w:val="20"/>
          <w:szCs w:val="20"/>
          <w:shd w:val="clear" w:color="auto" w:fill="FFFFFF"/>
        </w:rPr>
        <w:t> </w:t>
      </w:r>
      <w:r w:rsidRPr="001E0B7F">
        <w:rPr>
          <w:rFonts w:eastAsia="Times New Roman"/>
          <w:i/>
          <w:iCs/>
          <w:color w:val="222222"/>
          <w:sz w:val="20"/>
          <w:szCs w:val="20"/>
          <w:shd w:val="clear" w:color="auto" w:fill="FFFFFF"/>
        </w:rPr>
        <w:t>16</w:t>
      </w:r>
      <w:r w:rsidRPr="001E0B7F">
        <w:rPr>
          <w:rFonts w:eastAsia="Times New Roman"/>
          <w:color w:val="222222"/>
          <w:sz w:val="20"/>
          <w:szCs w:val="20"/>
          <w:shd w:val="clear" w:color="auto" w:fill="FFFFFF"/>
        </w:rPr>
        <w:t>(2), 183-197.</w:t>
      </w:r>
      <w:r w:rsidR="00704AA8" w:rsidRPr="001E0B7F">
        <w:rPr>
          <w:rFonts w:eastAsia="Times New Roman"/>
          <w:color w:val="222222"/>
          <w:sz w:val="20"/>
          <w:szCs w:val="20"/>
          <w:shd w:val="clear" w:color="auto" w:fill="FFFFFF"/>
        </w:rPr>
        <w:t xml:space="preserve"> </w:t>
      </w:r>
      <w:hyperlink r:id="rId27" w:history="1">
        <w:r w:rsidRPr="001E0B7F">
          <w:rPr>
            <w:rStyle w:val="Hyperlink"/>
            <w:rFonts w:eastAsia="Times New Roman"/>
            <w:sz w:val="20"/>
            <w:szCs w:val="20"/>
            <w:shd w:val="clear" w:color="auto" w:fill="FFFFFF"/>
          </w:rPr>
          <w:t>http://dx.doi.org/10.1111/j.1468-0351.2008.00321.x</w:t>
        </w:r>
      </w:hyperlink>
    </w:p>
    <w:p w14:paraId="25A53648" w14:textId="77777777" w:rsidR="00F874E4" w:rsidRDefault="00F874E4" w:rsidP="00420071">
      <w:pPr>
        <w:spacing w:after="80" w:line="240" w:lineRule="exact"/>
        <w:jc w:val="both"/>
        <w:rPr>
          <w:rFonts w:eastAsia="Times New Roman"/>
          <w:color w:val="222222"/>
          <w:sz w:val="20"/>
          <w:szCs w:val="20"/>
          <w:shd w:val="clear" w:color="auto" w:fill="FFFFFF"/>
        </w:rPr>
      </w:pPr>
    </w:p>
    <w:p w14:paraId="44712D46" w14:textId="77A295CB" w:rsidR="00DE1B98" w:rsidRPr="000D20E9" w:rsidRDefault="004A76C2" w:rsidP="00420071">
      <w:pPr>
        <w:spacing w:after="80" w:line="240" w:lineRule="exact"/>
        <w:jc w:val="both"/>
        <w:rPr>
          <w:sz w:val="20"/>
          <w:szCs w:val="20"/>
        </w:rPr>
      </w:pPr>
      <w:bookmarkStart w:id="0" w:name="_GoBack"/>
      <w:bookmarkEnd w:id="0"/>
      <w:r w:rsidRPr="000D20E9">
        <w:rPr>
          <w:b/>
          <w:sz w:val="20"/>
          <w:szCs w:val="20"/>
        </w:rPr>
        <w:lastRenderedPageBreak/>
        <w:t>Appendi</w:t>
      </w:r>
      <w:r w:rsidR="00DE1B98" w:rsidRPr="000D20E9">
        <w:rPr>
          <w:b/>
          <w:sz w:val="20"/>
          <w:szCs w:val="20"/>
        </w:rPr>
        <w:t>x</w:t>
      </w:r>
    </w:p>
    <w:p w14:paraId="64675B46" w14:textId="6B4E1353" w:rsidR="00A06787" w:rsidRPr="000D20E9" w:rsidRDefault="00E8482B" w:rsidP="000D20E9">
      <w:pPr>
        <w:spacing w:line="240" w:lineRule="exact"/>
        <w:rPr>
          <w:sz w:val="20"/>
          <w:szCs w:val="20"/>
        </w:rPr>
      </w:pPr>
      <w:r>
        <w:rPr>
          <w:sz w:val="20"/>
          <w:szCs w:val="20"/>
        </w:rPr>
        <w:t>Table 4.</w:t>
      </w:r>
      <w:r w:rsidR="00A06787" w:rsidRPr="000D20E9">
        <w:rPr>
          <w:sz w:val="20"/>
          <w:szCs w:val="20"/>
        </w:rPr>
        <w:t xml:space="preserve"> Vietnam’s Trading Partners</w:t>
      </w:r>
    </w:p>
    <w:tbl>
      <w:tblPr>
        <w:tblW w:w="7560" w:type="dxa"/>
        <w:jc w:val="center"/>
        <w:tblLook w:val="04A0" w:firstRow="1" w:lastRow="0" w:firstColumn="1" w:lastColumn="0" w:noHBand="0" w:noVBand="1"/>
      </w:tblPr>
      <w:tblGrid>
        <w:gridCol w:w="271"/>
        <w:gridCol w:w="1939"/>
        <w:gridCol w:w="908"/>
        <w:gridCol w:w="960"/>
        <w:gridCol w:w="266"/>
        <w:gridCol w:w="2521"/>
        <w:gridCol w:w="739"/>
      </w:tblGrid>
      <w:tr w:rsidR="00A06787" w:rsidRPr="000D20E9" w14:paraId="2A3BB9D7" w14:textId="77777777" w:rsidTr="003105B7">
        <w:trPr>
          <w:trHeight w:val="315"/>
          <w:jc w:val="center"/>
        </w:trPr>
        <w:tc>
          <w:tcPr>
            <w:tcW w:w="3118" w:type="dxa"/>
            <w:gridSpan w:val="3"/>
            <w:tcBorders>
              <w:top w:val="single" w:sz="4" w:space="0" w:color="auto"/>
              <w:left w:val="nil"/>
              <w:bottom w:val="single" w:sz="4" w:space="0" w:color="auto"/>
              <w:right w:val="nil"/>
            </w:tcBorders>
            <w:shd w:val="clear" w:color="auto" w:fill="auto"/>
            <w:noWrap/>
            <w:vAlign w:val="bottom"/>
            <w:hideMark/>
          </w:tcPr>
          <w:p w14:paraId="2D03E574" w14:textId="77777777" w:rsidR="00A06787" w:rsidRPr="000D20E9" w:rsidRDefault="00A06787" w:rsidP="000D20E9">
            <w:pPr>
              <w:spacing w:line="240" w:lineRule="exact"/>
              <w:jc w:val="center"/>
              <w:rPr>
                <w:rFonts w:eastAsia="Times New Roman"/>
                <w:b/>
                <w:bCs/>
                <w:color w:val="000000"/>
                <w:sz w:val="20"/>
                <w:szCs w:val="20"/>
              </w:rPr>
            </w:pPr>
            <w:r w:rsidRPr="000D20E9">
              <w:rPr>
                <w:rFonts w:eastAsia="Times New Roman"/>
                <w:b/>
                <w:bCs/>
                <w:color w:val="000000"/>
                <w:sz w:val="20"/>
                <w:szCs w:val="20"/>
              </w:rPr>
              <w:t>Region/Country</w:t>
            </w:r>
          </w:p>
        </w:tc>
        <w:tc>
          <w:tcPr>
            <w:tcW w:w="960" w:type="dxa"/>
            <w:tcBorders>
              <w:top w:val="single" w:sz="4" w:space="0" w:color="auto"/>
              <w:left w:val="nil"/>
              <w:bottom w:val="single" w:sz="4" w:space="0" w:color="auto"/>
              <w:right w:val="nil"/>
            </w:tcBorders>
            <w:shd w:val="clear" w:color="auto" w:fill="auto"/>
            <w:noWrap/>
            <w:vAlign w:val="bottom"/>
            <w:hideMark/>
          </w:tcPr>
          <w:p w14:paraId="098650F6"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 </w:t>
            </w:r>
          </w:p>
        </w:tc>
        <w:tc>
          <w:tcPr>
            <w:tcW w:w="3482" w:type="dxa"/>
            <w:gridSpan w:val="3"/>
            <w:tcBorders>
              <w:top w:val="single" w:sz="4" w:space="0" w:color="auto"/>
              <w:left w:val="nil"/>
              <w:bottom w:val="single" w:sz="4" w:space="0" w:color="auto"/>
              <w:right w:val="nil"/>
            </w:tcBorders>
            <w:shd w:val="clear" w:color="auto" w:fill="auto"/>
            <w:noWrap/>
            <w:vAlign w:val="bottom"/>
            <w:hideMark/>
          </w:tcPr>
          <w:p w14:paraId="00DC9B3A" w14:textId="77777777" w:rsidR="00A06787" w:rsidRPr="000D20E9" w:rsidRDefault="00A06787" w:rsidP="000D20E9">
            <w:pPr>
              <w:spacing w:line="240" w:lineRule="exact"/>
              <w:jc w:val="center"/>
              <w:rPr>
                <w:rFonts w:eastAsia="Times New Roman"/>
                <w:b/>
                <w:bCs/>
                <w:color w:val="000000"/>
                <w:sz w:val="20"/>
                <w:szCs w:val="20"/>
              </w:rPr>
            </w:pPr>
            <w:r w:rsidRPr="000D20E9">
              <w:rPr>
                <w:rFonts w:eastAsia="Times New Roman"/>
                <w:b/>
                <w:bCs/>
                <w:color w:val="000000"/>
                <w:sz w:val="20"/>
                <w:szCs w:val="20"/>
              </w:rPr>
              <w:t>Region/Country</w:t>
            </w:r>
          </w:p>
        </w:tc>
      </w:tr>
      <w:tr w:rsidR="00A06787" w:rsidRPr="000D20E9" w14:paraId="432E8901" w14:textId="77777777" w:rsidTr="003105B7">
        <w:trPr>
          <w:trHeight w:val="315"/>
          <w:jc w:val="center"/>
        </w:trPr>
        <w:tc>
          <w:tcPr>
            <w:tcW w:w="2210" w:type="dxa"/>
            <w:gridSpan w:val="2"/>
            <w:tcBorders>
              <w:top w:val="single" w:sz="4" w:space="0" w:color="auto"/>
              <w:left w:val="nil"/>
              <w:bottom w:val="single" w:sz="4" w:space="0" w:color="auto"/>
              <w:right w:val="nil"/>
            </w:tcBorders>
            <w:shd w:val="clear" w:color="auto" w:fill="auto"/>
            <w:noWrap/>
            <w:vAlign w:val="bottom"/>
            <w:hideMark/>
          </w:tcPr>
          <w:p w14:paraId="505548AB" w14:textId="77777777" w:rsidR="00A06787" w:rsidRPr="000D20E9" w:rsidRDefault="00A06787" w:rsidP="000D20E9">
            <w:pPr>
              <w:spacing w:line="240" w:lineRule="exact"/>
              <w:rPr>
                <w:rFonts w:eastAsia="Times New Roman"/>
                <w:b/>
                <w:bCs/>
                <w:color w:val="000000"/>
                <w:sz w:val="20"/>
                <w:szCs w:val="20"/>
              </w:rPr>
            </w:pPr>
            <w:r w:rsidRPr="000D20E9">
              <w:rPr>
                <w:rFonts w:eastAsia="Times New Roman"/>
                <w:b/>
                <w:bCs/>
                <w:color w:val="000000"/>
                <w:sz w:val="20"/>
                <w:szCs w:val="20"/>
              </w:rPr>
              <w:t>ASEAN</w:t>
            </w:r>
          </w:p>
        </w:tc>
        <w:tc>
          <w:tcPr>
            <w:tcW w:w="908" w:type="dxa"/>
            <w:tcBorders>
              <w:top w:val="nil"/>
              <w:left w:val="nil"/>
              <w:bottom w:val="single" w:sz="4" w:space="0" w:color="auto"/>
              <w:right w:val="nil"/>
            </w:tcBorders>
            <w:shd w:val="clear" w:color="auto" w:fill="auto"/>
            <w:noWrap/>
            <w:vAlign w:val="bottom"/>
            <w:hideMark/>
          </w:tcPr>
          <w:p w14:paraId="72D1AC1C"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70C4AA8D" w14:textId="77777777" w:rsidR="00A06787" w:rsidRPr="000D20E9" w:rsidRDefault="00A06787" w:rsidP="000D20E9">
            <w:pPr>
              <w:spacing w:line="240" w:lineRule="exact"/>
              <w:rPr>
                <w:rFonts w:eastAsia="Times New Roman"/>
                <w:color w:val="000000"/>
                <w:sz w:val="20"/>
                <w:szCs w:val="20"/>
              </w:rPr>
            </w:pPr>
          </w:p>
        </w:tc>
        <w:tc>
          <w:tcPr>
            <w:tcW w:w="2743" w:type="dxa"/>
            <w:gridSpan w:val="2"/>
            <w:tcBorders>
              <w:top w:val="single" w:sz="4" w:space="0" w:color="auto"/>
              <w:left w:val="nil"/>
              <w:bottom w:val="single" w:sz="4" w:space="0" w:color="auto"/>
              <w:right w:val="nil"/>
            </w:tcBorders>
            <w:shd w:val="clear" w:color="auto" w:fill="auto"/>
            <w:noWrap/>
            <w:vAlign w:val="bottom"/>
            <w:hideMark/>
          </w:tcPr>
          <w:p w14:paraId="43CFD124" w14:textId="77777777" w:rsidR="00A06787" w:rsidRPr="000D20E9" w:rsidRDefault="00A06787" w:rsidP="000D20E9">
            <w:pPr>
              <w:spacing w:line="240" w:lineRule="exact"/>
              <w:rPr>
                <w:rFonts w:eastAsia="Times New Roman"/>
                <w:b/>
                <w:bCs/>
                <w:color w:val="000000"/>
                <w:sz w:val="20"/>
                <w:szCs w:val="20"/>
              </w:rPr>
            </w:pPr>
            <w:r w:rsidRPr="000D20E9">
              <w:rPr>
                <w:rFonts w:eastAsia="Times New Roman"/>
                <w:b/>
                <w:bCs/>
                <w:color w:val="000000"/>
                <w:sz w:val="20"/>
                <w:szCs w:val="20"/>
              </w:rPr>
              <w:t>EU</w:t>
            </w:r>
          </w:p>
        </w:tc>
        <w:tc>
          <w:tcPr>
            <w:tcW w:w="739" w:type="dxa"/>
            <w:tcBorders>
              <w:top w:val="nil"/>
              <w:left w:val="nil"/>
              <w:bottom w:val="single" w:sz="4" w:space="0" w:color="auto"/>
              <w:right w:val="nil"/>
            </w:tcBorders>
            <w:shd w:val="clear" w:color="auto" w:fill="auto"/>
            <w:noWrap/>
            <w:vAlign w:val="bottom"/>
            <w:hideMark/>
          </w:tcPr>
          <w:p w14:paraId="16973DE7"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 </w:t>
            </w:r>
          </w:p>
        </w:tc>
      </w:tr>
      <w:tr w:rsidR="00A06787" w:rsidRPr="000D20E9" w14:paraId="3C6B0085"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6B4ACD24"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2FACDFDB"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Indonesia</w:t>
            </w:r>
          </w:p>
        </w:tc>
        <w:tc>
          <w:tcPr>
            <w:tcW w:w="908" w:type="dxa"/>
            <w:tcBorders>
              <w:top w:val="nil"/>
              <w:left w:val="nil"/>
              <w:bottom w:val="nil"/>
              <w:right w:val="nil"/>
            </w:tcBorders>
            <w:shd w:val="clear" w:color="auto" w:fill="auto"/>
            <w:noWrap/>
            <w:vAlign w:val="bottom"/>
            <w:hideMark/>
          </w:tcPr>
          <w:p w14:paraId="16149F1D"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IDN</w:t>
            </w:r>
          </w:p>
        </w:tc>
        <w:tc>
          <w:tcPr>
            <w:tcW w:w="960" w:type="dxa"/>
            <w:tcBorders>
              <w:top w:val="nil"/>
              <w:left w:val="nil"/>
              <w:bottom w:val="nil"/>
              <w:right w:val="nil"/>
            </w:tcBorders>
            <w:shd w:val="clear" w:color="auto" w:fill="auto"/>
            <w:noWrap/>
            <w:vAlign w:val="bottom"/>
            <w:hideMark/>
          </w:tcPr>
          <w:p w14:paraId="3028EB1C"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2CD06744"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52166A3A"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Belgium</w:t>
            </w:r>
          </w:p>
        </w:tc>
        <w:tc>
          <w:tcPr>
            <w:tcW w:w="739" w:type="dxa"/>
            <w:tcBorders>
              <w:top w:val="nil"/>
              <w:left w:val="nil"/>
              <w:bottom w:val="nil"/>
              <w:right w:val="nil"/>
            </w:tcBorders>
            <w:shd w:val="clear" w:color="auto" w:fill="auto"/>
            <w:noWrap/>
            <w:vAlign w:val="bottom"/>
            <w:hideMark/>
          </w:tcPr>
          <w:p w14:paraId="40F61AB2"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BEL</w:t>
            </w:r>
          </w:p>
        </w:tc>
      </w:tr>
      <w:tr w:rsidR="00A06787" w:rsidRPr="000D20E9" w14:paraId="61AAF1EB"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6FFFD0B2"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43F62976"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Cambodia</w:t>
            </w:r>
          </w:p>
        </w:tc>
        <w:tc>
          <w:tcPr>
            <w:tcW w:w="908" w:type="dxa"/>
            <w:tcBorders>
              <w:top w:val="nil"/>
              <w:left w:val="nil"/>
              <w:bottom w:val="nil"/>
              <w:right w:val="nil"/>
            </w:tcBorders>
            <w:shd w:val="clear" w:color="auto" w:fill="auto"/>
            <w:noWrap/>
            <w:vAlign w:val="bottom"/>
            <w:hideMark/>
          </w:tcPr>
          <w:p w14:paraId="55A163D1"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KHM</w:t>
            </w:r>
          </w:p>
        </w:tc>
        <w:tc>
          <w:tcPr>
            <w:tcW w:w="960" w:type="dxa"/>
            <w:tcBorders>
              <w:top w:val="nil"/>
              <w:left w:val="nil"/>
              <w:bottom w:val="nil"/>
              <w:right w:val="nil"/>
            </w:tcBorders>
            <w:shd w:val="clear" w:color="auto" w:fill="auto"/>
            <w:noWrap/>
            <w:vAlign w:val="bottom"/>
            <w:hideMark/>
          </w:tcPr>
          <w:p w14:paraId="2B7F1B80"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464EB76B"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54DF6D5F"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Germany</w:t>
            </w:r>
          </w:p>
        </w:tc>
        <w:tc>
          <w:tcPr>
            <w:tcW w:w="739" w:type="dxa"/>
            <w:tcBorders>
              <w:top w:val="nil"/>
              <w:left w:val="nil"/>
              <w:bottom w:val="nil"/>
              <w:right w:val="nil"/>
            </w:tcBorders>
            <w:shd w:val="clear" w:color="auto" w:fill="auto"/>
            <w:noWrap/>
            <w:vAlign w:val="bottom"/>
            <w:hideMark/>
          </w:tcPr>
          <w:p w14:paraId="1A73A5C3"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DEU</w:t>
            </w:r>
          </w:p>
        </w:tc>
      </w:tr>
      <w:tr w:rsidR="00A06787" w:rsidRPr="000D20E9" w14:paraId="77C8C72C"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760FBA88"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5473DE67"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Lao PDR</w:t>
            </w:r>
          </w:p>
        </w:tc>
        <w:tc>
          <w:tcPr>
            <w:tcW w:w="908" w:type="dxa"/>
            <w:tcBorders>
              <w:top w:val="nil"/>
              <w:left w:val="nil"/>
              <w:bottom w:val="nil"/>
              <w:right w:val="nil"/>
            </w:tcBorders>
            <w:shd w:val="clear" w:color="auto" w:fill="auto"/>
            <w:noWrap/>
            <w:vAlign w:val="bottom"/>
            <w:hideMark/>
          </w:tcPr>
          <w:p w14:paraId="7C27FDF1"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LAO</w:t>
            </w:r>
          </w:p>
        </w:tc>
        <w:tc>
          <w:tcPr>
            <w:tcW w:w="960" w:type="dxa"/>
            <w:tcBorders>
              <w:top w:val="nil"/>
              <w:left w:val="nil"/>
              <w:bottom w:val="nil"/>
              <w:right w:val="nil"/>
            </w:tcBorders>
            <w:shd w:val="clear" w:color="auto" w:fill="auto"/>
            <w:noWrap/>
            <w:vAlign w:val="bottom"/>
            <w:hideMark/>
          </w:tcPr>
          <w:p w14:paraId="2545EF4D"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06FA346B"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47B99F5F"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Denmark</w:t>
            </w:r>
          </w:p>
        </w:tc>
        <w:tc>
          <w:tcPr>
            <w:tcW w:w="739" w:type="dxa"/>
            <w:tcBorders>
              <w:top w:val="nil"/>
              <w:left w:val="nil"/>
              <w:bottom w:val="nil"/>
              <w:right w:val="nil"/>
            </w:tcBorders>
            <w:shd w:val="clear" w:color="auto" w:fill="auto"/>
            <w:noWrap/>
            <w:vAlign w:val="bottom"/>
            <w:hideMark/>
          </w:tcPr>
          <w:p w14:paraId="3723E9B0"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DNK</w:t>
            </w:r>
          </w:p>
        </w:tc>
      </w:tr>
      <w:tr w:rsidR="00A06787" w:rsidRPr="000D20E9" w14:paraId="1B4AA8CE"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6C8DD2B3"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17D916A4"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Myanmar</w:t>
            </w:r>
          </w:p>
        </w:tc>
        <w:tc>
          <w:tcPr>
            <w:tcW w:w="908" w:type="dxa"/>
            <w:tcBorders>
              <w:top w:val="nil"/>
              <w:left w:val="nil"/>
              <w:bottom w:val="nil"/>
              <w:right w:val="nil"/>
            </w:tcBorders>
            <w:shd w:val="clear" w:color="auto" w:fill="auto"/>
            <w:noWrap/>
            <w:vAlign w:val="bottom"/>
            <w:hideMark/>
          </w:tcPr>
          <w:p w14:paraId="7E463D8F"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MMR</w:t>
            </w:r>
          </w:p>
        </w:tc>
        <w:tc>
          <w:tcPr>
            <w:tcW w:w="960" w:type="dxa"/>
            <w:tcBorders>
              <w:top w:val="nil"/>
              <w:left w:val="nil"/>
              <w:bottom w:val="nil"/>
              <w:right w:val="nil"/>
            </w:tcBorders>
            <w:shd w:val="clear" w:color="auto" w:fill="auto"/>
            <w:noWrap/>
            <w:vAlign w:val="bottom"/>
            <w:hideMark/>
          </w:tcPr>
          <w:p w14:paraId="67B488B0"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13ECBDF4"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7C3FF056"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Spain</w:t>
            </w:r>
          </w:p>
        </w:tc>
        <w:tc>
          <w:tcPr>
            <w:tcW w:w="739" w:type="dxa"/>
            <w:tcBorders>
              <w:top w:val="nil"/>
              <w:left w:val="nil"/>
              <w:bottom w:val="nil"/>
              <w:right w:val="nil"/>
            </w:tcBorders>
            <w:shd w:val="clear" w:color="auto" w:fill="auto"/>
            <w:noWrap/>
            <w:vAlign w:val="bottom"/>
            <w:hideMark/>
          </w:tcPr>
          <w:p w14:paraId="3BF40403"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ESP</w:t>
            </w:r>
          </w:p>
        </w:tc>
      </w:tr>
      <w:tr w:rsidR="00A06787" w:rsidRPr="000D20E9" w14:paraId="6ABBDF33"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1A3AA5C7"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56F68CF2"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Malaysia</w:t>
            </w:r>
          </w:p>
        </w:tc>
        <w:tc>
          <w:tcPr>
            <w:tcW w:w="908" w:type="dxa"/>
            <w:tcBorders>
              <w:top w:val="nil"/>
              <w:left w:val="nil"/>
              <w:bottom w:val="nil"/>
              <w:right w:val="nil"/>
            </w:tcBorders>
            <w:shd w:val="clear" w:color="auto" w:fill="auto"/>
            <w:noWrap/>
            <w:vAlign w:val="bottom"/>
            <w:hideMark/>
          </w:tcPr>
          <w:p w14:paraId="4B8A0EF5"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MYS</w:t>
            </w:r>
          </w:p>
        </w:tc>
        <w:tc>
          <w:tcPr>
            <w:tcW w:w="960" w:type="dxa"/>
            <w:tcBorders>
              <w:top w:val="nil"/>
              <w:left w:val="nil"/>
              <w:bottom w:val="nil"/>
              <w:right w:val="nil"/>
            </w:tcBorders>
            <w:shd w:val="clear" w:color="auto" w:fill="auto"/>
            <w:noWrap/>
            <w:vAlign w:val="bottom"/>
            <w:hideMark/>
          </w:tcPr>
          <w:p w14:paraId="0A6CAE31"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06633178"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266D8DC1"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Finland</w:t>
            </w:r>
          </w:p>
        </w:tc>
        <w:tc>
          <w:tcPr>
            <w:tcW w:w="739" w:type="dxa"/>
            <w:tcBorders>
              <w:top w:val="nil"/>
              <w:left w:val="nil"/>
              <w:bottom w:val="nil"/>
              <w:right w:val="nil"/>
            </w:tcBorders>
            <w:shd w:val="clear" w:color="auto" w:fill="auto"/>
            <w:noWrap/>
            <w:vAlign w:val="bottom"/>
            <w:hideMark/>
          </w:tcPr>
          <w:p w14:paraId="53E3F1B0"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FIN</w:t>
            </w:r>
          </w:p>
        </w:tc>
      </w:tr>
      <w:tr w:rsidR="00A06787" w:rsidRPr="000D20E9" w14:paraId="3BA2A1DF"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446EA7CE"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64286279"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Philippines</w:t>
            </w:r>
          </w:p>
        </w:tc>
        <w:tc>
          <w:tcPr>
            <w:tcW w:w="908" w:type="dxa"/>
            <w:tcBorders>
              <w:top w:val="nil"/>
              <w:left w:val="nil"/>
              <w:bottom w:val="nil"/>
              <w:right w:val="nil"/>
            </w:tcBorders>
            <w:shd w:val="clear" w:color="auto" w:fill="auto"/>
            <w:noWrap/>
            <w:vAlign w:val="bottom"/>
            <w:hideMark/>
          </w:tcPr>
          <w:p w14:paraId="7C56B796"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PHL</w:t>
            </w:r>
          </w:p>
        </w:tc>
        <w:tc>
          <w:tcPr>
            <w:tcW w:w="960" w:type="dxa"/>
            <w:tcBorders>
              <w:top w:val="nil"/>
              <w:left w:val="nil"/>
              <w:bottom w:val="nil"/>
              <w:right w:val="nil"/>
            </w:tcBorders>
            <w:shd w:val="clear" w:color="auto" w:fill="auto"/>
            <w:noWrap/>
            <w:vAlign w:val="bottom"/>
            <w:hideMark/>
          </w:tcPr>
          <w:p w14:paraId="25CDEA75"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67A852CF"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3F7DB3E7"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France</w:t>
            </w:r>
          </w:p>
        </w:tc>
        <w:tc>
          <w:tcPr>
            <w:tcW w:w="739" w:type="dxa"/>
            <w:tcBorders>
              <w:top w:val="nil"/>
              <w:left w:val="nil"/>
              <w:bottom w:val="nil"/>
              <w:right w:val="nil"/>
            </w:tcBorders>
            <w:shd w:val="clear" w:color="auto" w:fill="auto"/>
            <w:noWrap/>
            <w:vAlign w:val="bottom"/>
            <w:hideMark/>
          </w:tcPr>
          <w:p w14:paraId="546B838D"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FRA</w:t>
            </w:r>
          </w:p>
        </w:tc>
      </w:tr>
      <w:tr w:rsidR="00A06787" w:rsidRPr="000D20E9" w14:paraId="54F0D197"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6928C632"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5C48525D"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Singapore</w:t>
            </w:r>
          </w:p>
        </w:tc>
        <w:tc>
          <w:tcPr>
            <w:tcW w:w="908" w:type="dxa"/>
            <w:tcBorders>
              <w:top w:val="nil"/>
              <w:left w:val="nil"/>
              <w:bottom w:val="nil"/>
              <w:right w:val="nil"/>
            </w:tcBorders>
            <w:shd w:val="clear" w:color="auto" w:fill="auto"/>
            <w:noWrap/>
            <w:vAlign w:val="bottom"/>
            <w:hideMark/>
          </w:tcPr>
          <w:p w14:paraId="5D8CB0B2"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SGP</w:t>
            </w:r>
          </w:p>
        </w:tc>
        <w:tc>
          <w:tcPr>
            <w:tcW w:w="960" w:type="dxa"/>
            <w:tcBorders>
              <w:top w:val="nil"/>
              <w:left w:val="nil"/>
              <w:bottom w:val="nil"/>
              <w:right w:val="nil"/>
            </w:tcBorders>
            <w:shd w:val="clear" w:color="auto" w:fill="auto"/>
            <w:noWrap/>
            <w:vAlign w:val="bottom"/>
            <w:hideMark/>
          </w:tcPr>
          <w:p w14:paraId="7963809D"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794A1313"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29CAAC7A"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United Kingdom</w:t>
            </w:r>
          </w:p>
        </w:tc>
        <w:tc>
          <w:tcPr>
            <w:tcW w:w="739" w:type="dxa"/>
            <w:tcBorders>
              <w:top w:val="nil"/>
              <w:left w:val="nil"/>
              <w:bottom w:val="nil"/>
              <w:right w:val="nil"/>
            </w:tcBorders>
            <w:shd w:val="clear" w:color="auto" w:fill="auto"/>
            <w:noWrap/>
            <w:vAlign w:val="bottom"/>
            <w:hideMark/>
          </w:tcPr>
          <w:p w14:paraId="5F477F70"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GBR</w:t>
            </w:r>
          </w:p>
        </w:tc>
      </w:tr>
      <w:tr w:rsidR="00A06787" w:rsidRPr="000D20E9" w14:paraId="577C6BC7"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35A568E5"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25B5E745"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Thailand</w:t>
            </w:r>
          </w:p>
        </w:tc>
        <w:tc>
          <w:tcPr>
            <w:tcW w:w="908" w:type="dxa"/>
            <w:tcBorders>
              <w:top w:val="nil"/>
              <w:left w:val="nil"/>
              <w:bottom w:val="nil"/>
              <w:right w:val="nil"/>
            </w:tcBorders>
            <w:shd w:val="clear" w:color="auto" w:fill="auto"/>
            <w:noWrap/>
            <w:vAlign w:val="bottom"/>
            <w:hideMark/>
          </w:tcPr>
          <w:p w14:paraId="4E75FFE2"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THA</w:t>
            </w:r>
          </w:p>
        </w:tc>
        <w:tc>
          <w:tcPr>
            <w:tcW w:w="960" w:type="dxa"/>
            <w:tcBorders>
              <w:top w:val="nil"/>
              <w:left w:val="nil"/>
              <w:bottom w:val="nil"/>
              <w:right w:val="nil"/>
            </w:tcBorders>
            <w:shd w:val="clear" w:color="auto" w:fill="auto"/>
            <w:noWrap/>
            <w:vAlign w:val="bottom"/>
            <w:hideMark/>
          </w:tcPr>
          <w:p w14:paraId="1FE65553"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62640AEC"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3303DB4C"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Greece</w:t>
            </w:r>
          </w:p>
        </w:tc>
        <w:tc>
          <w:tcPr>
            <w:tcW w:w="739" w:type="dxa"/>
            <w:tcBorders>
              <w:top w:val="nil"/>
              <w:left w:val="nil"/>
              <w:bottom w:val="nil"/>
              <w:right w:val="nil"/>
            </w:tcBorders>
            <w:shd w:val="clear" w:color="auto" w:fill="auto"/>
            <w:noWrap/>
            <w:vAlign w:val="bottom"/>
            <w:hideMark/>
          </w:tcPr>
          <w:p w14:paraId="3600CB1A"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GRC</w:t>
            </w:r>
          </w:p>
        </w:tc>
      </w:tr>
      <w:tr w:rsidR="00A06787" w:rsidRPr="000D20E9" w14:paraId="5B7F3863" w14:textId="77777777" w:rsidTr="003105B7">
        <w:trPr>
          <w:trHeight w:val="315"/>
          <w:jc w:val="center"/>
        </w:trPr>
        <w:tc>
          <w:tcPr>
            <w:tcW w:w="2210" w:type="dxa"/>
            <w:gridSpan w:val="2"/>
            <w:tcBorders>
              <w:top w:val="nil"/>
              <w:left w:val="nil"/>
              <w:bottom w:val="single" w:sz="4" w:space="0" w:color="auto"/>
              <w:right w:val="nil"/>
            </w:tcBorders>
            <w:shd w:val="clear" w:color="auto" w:fill="auto"/>
            <w:noWrap/>
            <w:vAlign w:val="bottom"/>
            <w:hideMark/>
          </w:tcPr>
          <w:p w14:paraId="5B3F8822" w14:textId="77777777" w:rsidR="00A06787" w:rsidRPr="000D20E9" w:rsidRDefault="00A06787" w:rsidP="000D20E9">
            <w:pPr>
              <w:spacing w:line="240" w:lineRule="exact"/>
              <w:rPr>
                <w:rFonts w:eastAsia="Times New Roman"/>
                <w:b/>
                <w:bCs/>
                <w:color w:val="000000"/>
                <w:sz w:val="20"/>
                <w:szCs w:val="20"/>
              </w:rPr>
            </w:pPr>
            <w:r w:rsidRPr="000D20E9">
              <w:rPr>
                <w:rFonts w:eastAsia="Times New Roman"/>
                <w:b/>
                <w:bCs/>
                <w:color w:val="000000"/>
                <w:sz w:val="20"/>
                <w:szCs w:val="20"/>
              </w:rPr>
              <w:t>ASEAN+3</w:t>
            </w:r>
          </w:p>
        </w:tc>
        <w:tc>
          <w:tcPr>
            <w:tcW w:w="908" w:type="dxa"/>
            <w:tcBorders>
              <w:top w:val="nil"/>
              <w:left w:val="nil"/>
              <w:bottom w:val="single" w:sz="4" w:space="0" w:color="auto"/>
              <w:right w:val="nil"/>
            </w:tcBorders>
            <w:shd w:val="clear" w:color="auto" w:fill="auto"/>
            <w:noWrap/>
            <w:vAlign w:val="bottom"/>
            <w:hideMark/>
          </w:tcPr>
          <w:p w14:paraId="2F566E33"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21CE58F2"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0436FB28"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4C4DECB2"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Italy</w:t>
            </w:r>
          </w:p>
        </w:tc>
        <w:tc>
          <w:tcPr>
            <w:tcW w:w="739" w:type="dxa"/>
            <w:tcBorders>
              <w:top w:val="nil"/>
              <w:left w:val="nil"/>
              <w:bottom w:val="nil"/>
              <w:right w:val="nil"/>
            </w:tcBorders>
            <w:shd w:val="clear" w:color="auto" w:fill="auto"/>
            <w:noWrap/>
            <w:vAlign w:val="bottom"/>
            <w:hideMark/>
          </w:tcPr>
          <w:p w14:paraId="647E4739"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ITA</w:t>
            </w:r>
          </w:p>
        </w:tc>
      </w:tr>
      <w:tr w:rsidR="00A06787" w:rsidRPr="000D20E9" w14:paraId="7FA3B7C3"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3AA31045"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1CB40CE5"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China</w:t>
            </w:r>
          </w:p>
        </w:tc>
        <w:tc>
          <w:tcPr>
            <w:tcW w:w="908" w:type="dxa"/>
            <w:tcBorders>
              <w:top w:val="nil"/>
              <w:left w:val="nil"/>
              <w:bottom w:val="nil"/>
              <w:right w:val="nil"/>
            </w:tcBorders>
            <w:shd w:val="clear" w:color="auto" w:fill="auto"/>
            <w:noWrap/>
            <w:vAlign w:val="bottom"/>
            <w:hideMark/>
          </w:tcPr>
          <w:p w14:paraId="425F8143"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CHN</w:t>
            </w:r>
          </w:p>
        </w:tc>
        <w:tc>
          <w:tcPr>
            <w:tcW w:w="960" w:type="dxa"/>
            <w:tcBorders>
              <w:top w:val="nil"/>
              <w:left w:val="nil"/>
              <w:bottom w:val="nil"/>
              <w:right w:val="nil"/>
            </w:tcBorders>
            <w:shd w:val="clear" w:color="auto" w:fill="auto"/>
            <w:noWrap/>
            <w:vAlign w:val="bottom"/>
            <w:hideMark/>
          </w:tcPr>
          <w:p w14:paraId="64EEB989"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3550A093"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712CFF24"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Netherlands</w:t>
            </w:r>
          </w:p>
        </w:tc>
        <w:tc>
          <w:tcPr>
            <w:tcW w:w="739" w:type="dxa"/>
            <w:tcBorders>
              <w:top w:val="nil"/>
              <w:left w:val="nil"/>
              <w:bottom w:val="nil"/>
              <w:right w:val="nil"/>
            </w:tcBorders>
            <w:shd w:val="clear" w:color="auto" w:fill="auto"/>
            <w:noWrap/>
            <w:vAlign w:val="bottom"/>
            <w:hideMark/>
          </w:tcPr>
          <w:p w14:paraId="6644FCD0"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NLD</w:t>
            </w:r>
          </w:p>
        </w:tc>
      </w:tr>
      <w:tr w:rsidR="00A06787" w:rsidRPr="000D20E9" w14:paraId="6C5F16DE"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46CDABE0"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5B4789EA"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Japan</w:t>
            </w:r>
          </w:p>
        </w:tc>
        <w:tc>
          <w:tcPr>
            <w:tcW w:w="908" w:type="dxa"/>
            <w:tcBorders>
              <w:top w:val="nil"/>
              <w:left w:val="nil"/>
              <w:bottom w:val="nil"/>
              <w:right w:val="nil"/>
            </w:tcBorders>
            <w:shd w:val="clear" w:color="auto" w:fill="auto"/>
            <w:noWrap/>
            <w:vAlign w:val="bottom"/>
            <w:hideMark/>
          </w:tcPr>
          <w:p w14:paraId="6282B22B"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JPN</w:t>
            </w:r>
          </w:p>
        </w:tc>
        <w:tc>
          <w:tcPr>
            <w:tcW w:w="960" w:type="dxa"/>
            <w:tcBorders>
              <w:top w:val="nil"/>
              <w:left w:val="nil"/>
              <w:bottom w:val="nil"/>
              <w:right w:val="nil"/>
            </w:tcBorders>
            <w:shd w:val="clear" w:color="auto" w:fill="auto"/>
            <w:noWrap/>
            <w:vAlign w:val="bottom"/>
            <w:hideMark/>
          </w:tcPr>
          <w:p w14:paraId="4AFA057F"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74B1A5DC"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5E34E91F"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Poland</w:t>
            </w:r>
          </w:p>
        </w:tc>
        <w:tc>
          <w:tcPr>
            <w:tcW w:w="739" w:type="dxa"/>
            <w:tcBorders>
              <w:top w:val="nil"/>
              <w:left w:val="nil"/>
              <w:bottom w:val="nil"/>
              <w:right w:val="nil"/>
            </w:tcBorders>
            <w:shd w:val="clear" w:color="auto" w:fill="auto"/>
            <w:noWrap/>
            <w:vAlign w:val="bottom"/>
            <w:hideMark/>
          </w:tcPr>
          <w:p w14:paraId="2EE04260"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POL</w:t>
            </w:r>
          </w:p>
        </w:tc>
      </w:tr>
      <w:tr w:rsidR="00A06787" w:rsidRPr="000D20E9" w14:paraId="2390D598"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16FD331E"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0A9ED21B"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Korea, Rep.</w:t>
            </w:r>
          </w:p>
        </w:tc>
        <w:tc>
          <w:tcPr>
            <w:tcW w:w="908" w:type="dxa"/>
            <w:tcBorders>
              <w:top w:val="nil"/>
              <w:left w:val="nil"/>
              <w:bottom w:val="nil"/>
              <w:right w:val="nil"/>
            </w:tcBorders>
            <w:shd w:val="clear" w:color="auto" w:fill="auto"/>
            <w:noWrap/>
            <w:vAlign w:val="bottom"/>
            <w:hideMark/>
          </w:tcPr>
          <w:p w14:paraId="09EEFEDF"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KOR</w:t>
            </w:r>
          </w:p>
        </w:tc>
        <w:tc>
          <w:tcPr>
            <w:tcW w:w="960" w:type="dxa"/>
            <w:tcBorders>
              <w:top w:val="nil"/>
              <w:left w:val="nil"/>
              <w:bottom w:val="nil"/>
              <w:right w:val="nil"/>
            </w:tcBorders>
            <w:shd w:val="clear" w:color="auto" w:fill="auto"/>
            <w:noWrap/>
            <w:vAlign w:val="bottom"/>
            <w:hideMark/>
          </w:tcPr>
          <w:p w14:paraId="30B4792B"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16993D64"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0FD4E5D8"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Sweden</w:t>
            </w:r>
          </w:p>
        </w:tc>
        <w:tc>
          <w:tcPr>
            <w:tcW w:w="739" w:type="dxa"/>
            <w:tcBorders>
              <w:top w:val="nil"/>
              <w:left w:val="nil"/>
              <w:bottom w:val="nil"/>
              <w:right w:val="nil"/>
            </w:tcBorders>
            <w:shd w:val="clear" w:color="auto" w:fill="auto"/>
            <w:noWrap/>
            <w:vAlign w:val="bottom"/>
            <w:hideMark/>
          </w:tcPr>
          <w:p w14:paraId="75825201"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SWE</w:t>
            </w:r>
          </w:p>
        </w:tc>
      </w:tr>
      <w:tr w:rsidR="00A06787" w:rsidRPr="000D20E9" w14:paraId="266FDA02" w14:textId="77777777" w:rsidTr="003105B7">
        <w:trPr>
          <w:trHeight w:val="315"/>
          <w:jc w:val="center"/>
        </w:trPr>
        <w:tc>
          <w:tcPr>
            <w:tcW w:w="2210" w:type="dxa"/>
            <w:gridSpan w:val="2"/>
            <w:tcBorders>
              <w:top w:val="nil"/>
              <w:left w:val="nil"/>
              <w:bottom w:val="single" w:sz="4" w:space="0" w:color="auto"/>
              <w:right w:val="nil"/>
            </w:tcBorders>
            <w:shd w:val="clear" w:color="auto" w:fill="auto"/>
            <w:noWrap/>
            <w:vAlign w:val="bottom"/>
            <w:hideMark/>
          </w:tcPr>
          <w:p w14:paraId="065EEAFC" w14:textId="77777777" w:rsidR="00A06787" w:rsidRPr="000D20E9" w:rsidRDefault="00A06787" w:rsidP="000D20E9">
            <w:pPr>
              <w:spacing w:line="240" w:lineRule="exact"/>
              <w:rPr>
                <w:rFonts w:eastAsia="Times New Roman"/>
                <w:b/>
                <w:bCs/>
                <w:color w:val="000000"/>
                <w:sz w:val="20"/>
                <w:szCs w:val="20"/>
              </w:rPr>
            </w:pPr>
            <w:r w:rsidRPr="000D20E9">
              <w:rPr>
                <w:rFonts w:eastAsia="Times New Roman"/>
                <w:b/>
                <w:bCs/>
                <w:color w:val="000000"/>
                <w:sz w:val="20"/>
                <w:szCs w:val="20"/>
              </w:rPr>
              <w:t>NAFTA</w:t>
            </w:r>
          </w:p>
        </w:tc>
        <w:tc>
          <w:tcPr>
            <w:tcW w:w="908" w:type="dxa"/>
            <w:tcBorders>
              <w:top w:val="nil"/>
              <w:left w:val="nil"/>
              <w:bottom w:val="single" w:sz="4" w:space="0" w:color="auto"/>
              <w:right w:val="nil"/>
            </w:tcBorders>
            <w:shd w:val="clear" w:color="auto" w:fill="auto"/>
            <w:noWrap/>
            <w:vAlign w:val="bottom"/>
            <w:hideMark/>
          </w:tcPr>
          <w:p w14:paraId="026972F5"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226BD754" w14:textId="77777777" w:rsidR="00A06787" w:rsidRPr="000D20E9" w:rsidRDefault="00A06787" w:rsidP="000D20E9">
            <w:pPr>
              <w:spacing w:line="240" w:lineRule="exact"/>
              <w:rPr>
                <w:rFonts w:eastAsia="Times New Roman"/>
                <w:color w:val="000000"/>
                <w:sz w:val="20"/>
                <w:szCs w:val="20"/>
              </w:rPr>
            </w:pPr>
          </w:p>
        </w:tc>
        <w:tc>
          <w:tcPr>
            <w:tcW w:w="2743" w:type="dxa"/>
            <w:gridSpan w:val="2"/>
            <w:tcBorders>
              <w:top w:val="nil"/>
              <w:left w:val="nil"/>
              <w:bottom w:val="single" w:sz="4" w:space="0" w:color="auto"/>
              <w:right w:val="nil"/>
            </w:tcBorders>
            <w:shd w:val="clear" w:color="auto" w:fill="auto"/>
            <w:noWrap/>
            <w:vAlign w:val="bottom"/>
            <w:hideMark/>
          </w:tcPr>
          <w:p w14:paraId="1E307F72" w14:textId="5C725199" w:rsidR="00A06787" w:rsidRPr="000D20E9" w:rsidRDefault="00A06787" w:rsidP="000D20E9">
            <w:pPr>
              <w:spacing w:line="240" w:lineRule="exact"/>
              <w:rPr>
                <w:rFonts w:eastAsia="Times New Roman"/>
                <w:b/>
                <w:bCs/>
                <w:color w:val="000000"/>
                <w:sz w:val="20"/>
                <w:szCs w:val="20"/>
              </w:rPr>
            </w:pPr>
            <w:r w:rsidRPr="000D20E9">
              <w:rPr>
                <w:b/>
                <w:sz w:val="20"/>
                <w:szCs w:val="20"/>
                <w:shd w:val="clear" w:color="auto" w:fill="FFFFFF"/>
              </w:rPr>
              <w:t>Others</w:t>
            </w:r>
          </w:p>
        </w:tc>
        <w:tc>
          <w:tcPr>
            <w:tcW w:w="739" w:type="dxa"/>
            <w:tcBorders>
              <w:top w:val="nil"/>
              <w:left w:val="nil"/>
              <w:bottom w:val="single" w:sz="4" w:space="0" w:color="auto"/>
              <w:right w:val="nil"/>
            </w:tcBorders>
            <w:shd w:val="clear" w:color="auto" w:fill="auto"/>
            <w:noWrap/>
            <w:vAlign w:val="bottom"/>
            <w:hideMark/>
          </w:tcPr>
          <w:p w14:paraId="4595FF4C"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 </w:t>
            </w:r>
          </w:p>
        </w:tc>
      </w:tr>
      <w:tr w:rsidR="00A06787" w:rsidRPr="000D20E9" w14:paraId="458DC223" w14:textId="77777777" w:rsidTr="003105B7">
        <w:trPr>
          <w:trHeight w:val="315"/>
          <w:jc w:val="center"/>
        </w:trPr>
        <w:tc>
          <w:tcPr>
            <w:tcW w:w="271" w:type="dxa"/>
            <w:tcBorders>
              <w:top w:val="nil"/>
              <w:left w:val="nil"/>
              <w:bottom w:val="nil"/>
              <w:right w:val="nil"/>
            </w:tcBorders>
            <w:shd w:val="clear" w:color="auto" w:fill="auto"/>
            <w:noWrap/>
            <w:vAlign w:val="bottom"/>
            <w:hideMark/>
          </w:tcPr>
          <w:p w14:paraId="2C0B3893"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bottom w:val="nil"/>
              <w:right w:val="nil"/>
            </w:tcBorders>
            <w:shd w:val="clear" w:color="auto" w:fill="auto"/>
            <w:noWrap/>
            <w:vAlign w:val="bottom"/>
            <w:hideMark/>
          </w:tcPr>
          <w:p w14:paraId="45861B92"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Canada</w:t>
            </w:r>
          </w:p>
        </w:tc>
        <w:tc>
          <w:tcPr>
            <w:tcW w:w="908" w:type="dxa"/>
            <w:tcBorders>
              <w:top w:val="nil"/>
              <w:left w:val="nil"/>
              <w:bottom w:val="nil"/>
              <w:right w:val="nil"/>
            </w:tcBorders>
            <w:shd w:val="clear" w:color="auto" w:fill="auto"/>
            <w:noWrap/>
            <w:vAlign w:val="bottom"/>
            <w:hideMark/>
          </w:tcPr>
          <w:p w14:paraId="44DC8469"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CAN</w:t>
            </w:r>
          </w:p>
        </w:tc>
        <w:tc>
          <w:tcPr>
            <w:tcW w:w="960" w:type="dxa"/>
            <w:tcBorders>
              <w:top w:val="nil"/>
              <w:left w:val="nil"/>
              <w:bottom w:val="nil"/>
              <w:right w:val="nil"/>
            </w:tcBorders>
            <w:shd w:val="clear" w:color="auto" w:fill="auto"/>
            <w:noWrap/>
            <w:vAlign w:val="bottom"/>
            <w:hideMark/>
          </w:tcPr>
          <w:p w14:paraId="5AD077D9"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bottom w:val="nil"/>
              <w:right w:val="nil"/>
            </w:tcBorders>
            <w:shd w:val="clear" w:color="auto" w:fill="auto"/>
            <w:noWrap/>
            <w:vAlign w:val="bottom"/>
            <w:hideMark/>
          </w:tcPr>
          <w:p w14:paraId="0A92B985"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bottom w:val="nil"/>
              <w:right w:val="nil"/>
            </w:tcBorders>
            <w:shd w:val="clear" w:color="auto" w:fill="auto"/>
            <w:noWrap/>
            <w:vAlign w:val="bottom"/>
            <w:hideMark/>
          </w:tcPr>
          <w:p w14:paraId="39E3D632"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Australia</w:t>
            </w:r>
          </w:p>
        </w:tc>
        <w:tc>
          <w:tcPr>
            <w:tcW w:w="739" w:type="dxa"/>
            <w:tcBorders>
              <w:top w:val="nil"/>
              <w:left w:val="nil"/>
              <w:bottom w:val="nil"/>
              <w:right w:val="nil"/>
            </w:tcBorders>
            <w:shd w:val="clear" w:color="auto" w:fill="auto"/>
            <w:noWrap/>
            <w:vAlign w:val="bottom"/>
            <w:hideMark/>
          </w:tcPr>
          <w:p w14:paraId="749CFC73"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AUS</w:t>
            </w:r>
          </w:p>
        </w:tc>
      </w:tr>
      <w:tr w:rsidR="00A06787" w:rsidRPr="000D20E9" w14:paraId="0BD7E425" w14:textId="77777777" w:rsidTr="003C002E">
        <w:trPr>
          <w:trHeight w:val="360"/>
          <w:jc w:val="center"/>
        </w:trPr>
        <w:tc>
          <w:tcPr>
            <w:tcW w:w="271" w:type="dxa"/>
            <w:tcBorders>
              <w:top w:val="nil"/>
              <w:left w:val="nil"/>
              <w:right w:val="nil"/>
            </w:tcBorders>
            <w:shd w:val="clear" w:color="auto" w:fill="auto"/>
            <w:noWrap/>
            <w:vAlign w:val="bottom"/>
            <w:hideMark/>
          </w:tcPr>
          <w:p w14:paraId="6A5D8404" w14:textId="77777777" w:rsidR="00A06787" w:rsidRPr="000D20E9" w:rsidRDefault="00A06787" w:rsidP="000D20E9">
            <w:pPr>
              <w:spacing w:line="240" w:lineRule="exact"/>
              <w:rPr>
                <w:rFonts w:eastAsia="Times New Roman"/>
                <w:color w:val="000000"/>
                <w:sz w:val="20"/>
                <w:szCs w:val="20"/>
              </w:rPr>
            </w:pPr>
          </w:p>
        </w:tc>
        <w:tc>
          <w:tcPr>
            <w:tcW w:w="1939" w:type="dxa"/>
            <w:tcBorders>
              <w:top w:val="nil"/>
              <w:left w:val="nil"/>
              <w:right w:val="nil"/>
            </w:tcBorders>
            <w:shd w:val="clear" w:color="auto" w:fill="auto"/>
            <w:noWrap/>
            <w:vAlign w:val="bottom"/>
            <w:hideMark/>
          </w:tcPr>
          <w:p w14:paraId="209E7C59"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Mexico</w:t>
            </w:r>
          </w:p>
        </w:tc>
        <w:tc>
          <w:tcPr>
            <w:tcW w:w="908" w:type="dxa"/>
            <w:tcBorders>
              <w:top w:val="nil"/>
              <w:left w:val="nil"/>
              <w:right w:val="nil"/>
            </w:tcBorders>
            <w:shd w:val="clear" w:color="auto" w:fill="auto"/>
            <w:noWrap/>
            <w:vAlign w:val="bottom"/>
            <w:hideMark/>
          </w:tcPr>
          <w:p w14:paraId="7B153593"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MEX</w:t>
            </w:r>
          </w:p>
        </w:tc>
        <w:tc>
          <w:tcPr>
            <w:tcW w:w="960" w:type="dxa"/>
            <w:tcBorders>
              <w:top w:val="nil"/>
              <w:left w:val="nil"/>
              <w:right w:val="nil"/>
            </w:tcBorders>
            <w:shd w:val="clear" w:color="auto" w:fill="auto"/>
            <w:noWrap/>
            <w:vAlign w:val="bottom"/>
            <w:hideMark/>
          </w:tcPr>
          <w:p w14:paraId="77B54109" w14:textId="77777777" w:rsidR="00A06787" w:rsidRPr="000D20E9" w:rsidRDefault="00A06787" w:rsidP="000D20E9">
            <w:pPr>
              <w:spacing w:line="240" w:lineRule="exact"/>
              <w:rPr>
                <w:rFonts w:eastAsia="Times New Roman"/>
                <w:color w:val="000000"/>
                <w:sz w:val="20"/>
                <w:szCs w:val="20"/>
              </w:rPr>
            </w:pPr>
          </w:p>
        </w:tc>
        <w:tc>
          <w:tcPr>
            <w:tcW w:w="222" w:type="dxa"/>
            <w:tcBorders>
              <w:top w:val="nil"/>
              <w:left w:val="nil"/>
              <w:right w:val="nil"/>
            </w:tcBorders>
            <w:shd w:val="clear" w:color="auto" w:fill="auto"/>
            <w:noWrap/>
            <w:vAlign w:val="bottom"/>
            <w:hideMark/>
          </w:tcPr>
          <w:p w14:paraId="7F8CE130" w14:textId="77777777" w:rsidR="00A06787" w:rsidRPr="000D20E9" w:rsidRDefault="00A06787" w:rsidP="000D20E9">
            <w:pPr>
              <w:spacing w:line="240" w:lineRule="exact"/>
              <w:rPr>
                <w:rFonts w:eastAsia="Times New Roman"/>
                <w:color w:val="000000"/>
                <w:sz w:val="20"/>
                <w:szCs w:val="20"/>
              </w:rPr>
            </w:pPr>
          </w:p>
        </w:tc>
        <w:tc>
          <w:tcPr>
            <w:tcW w:w="2521" w:type="dxa"/>
            <w:tcBorders>
              <w:top w:val="nil"/>
              <w:left w:val="nil"/>
              <w:right w:val="nil"/>
            </w:tcBorders>
            <w:shd w:val="clear" w:color="auto" w:fill="auto"/>
            <w:noWrap/>
            <w:vAlign w:val="bottom"/>
            <w:hideMark/>
          </w:tcPr>
          <w:p w14:paraId="5AA7F66E"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New Zealand</w:t>
            </w:r>
          </w:p>
        </w:tc>
        <w:tc>
          <w:tcPr>
            <w:tcW w:w="739" w:type="dxa"/>
            <w:tcBorders>
              <w:top w:val="nil"/>
              <w:left w:val="nil"/>
              <w:right w:val="nil"/>
            </w:tcBorders>
            <w:shd w:val="clear" w:color="auto" w:fill="auto"/>
            <w:noWrap/>
            <w:vAlign w:val="bottom"/>
            <w:hideMark/>
          </w:tcPr>
          <w:p w14:paraId="78A5CDDF" w14:textId="77777777" w:rsidR="00A06787" w:rsidRPr="000D20E9" w:rsidRDefault="00A06787" w:rsidP="000D20E9">
            <w:pPr>
              <w:spacing w:line="240" w:lineRule="exact"/>
              <w:rPr>
                <w:rFonts w:eastAsia="Times New Roman"/>
                <w:color w:val="000000"/>
                <w:sz w:val="20"/>
                <w:szCs w:val="20"/>
              </w:rPr>
            </w:pPr>
            <w:r w:rsidRPr="000D20E9">
              <w:rPr>
                <w:rFonts w:eastAsia="Times New Roman"/>
                <w:color w:val="000000"/>
                <w:sz w:val="20"/>
                <w:szCs w:val="20"/>
              </w:rPr>
              <w:t>NZL</w:t>
            </w:r>
          </w:p>
        </w:tc>
      </w:tr>
      <w:tr w:rsidR="003105B7" w:rsidRPr="000D20E9" w14:paraId="27A26808" w14:textId="77777777" w:rsidTr="003105B7">
        <w:trPr>
          <w:trHeight w:val="315"/>
          <w:jc w:val="center"/>
        </w:trPr>
        <w:tc>
          <w:tcPr>
            <w:tcW w:w="271" w:type="dxa"/>
            <w:tcBorders>
              <w:top w:val="nil"/>
              <w:left w:val="nil"/>
              <w:right w:val="nil"/>
            </w:tcBorders>
            <w:shd w:val="clear" w:color="auto" w:fill="auto"/>
            <w:noWrap/>
            <w:vAlign w:val="bottom"/>
          </w:tcPr>
          <w:p w14:paraId="49EF867B" w14:textId="77777777" w:rsidR="003105B7" w:rsidRPr="000D20E9" w:rsidRDefault="003105B7" w:rsidP="000D20E9">
            <w:pPr>
              <w:spacing w:line="240" w:lineRule="exact"/>
              <w:rPr>
                <w:rFonts w:eastAsia="Times New Roman"/>
                <w:color w:val="000000"/>
                <w:sz w:val="20"/>
                <w:szCs w:val="20"/>
              </w:rPr>
            </w:pPr>
          </w:p>
        </w:tc>
        <w:tc>
          <w:tcPr>
            <w:tcW w:w="1939" w:type="dxa"/>
            <w:tcBorders>
              <w:top w:val="nil"/>
              <w:left w:val="nil"/>
              <w:right w:val="nil"/>
            </w:tcBorders>
            <w:shd w:val="clear" w:color="auto" w:fill="auto"/>
            <w:noWrap/>
            <w:vAlign w:val="bottom"/>
          </w:tcPr>
          <w:p w14:paraId="05070450" w14:textId="36E99649"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United States</w:t>
            </w:r>
          </w:p>
        </w:tc>
        <w:tc>
          <w:tcPr>
            <w:tcW w:w="908" w:type="dxa"/>
            <w:tcBorders>
              <w:top w:val="nil"/>
              <w:left w:val="nil"/>
              <w:right w:val="nil"/>
            </w:tcBorders>
            <w:shd w:val="clear" w:color="auto" w:fill="auto"/>
            <w:noWrap/>
            <w:vAlign w:val="bottom"/>
          </w:tcPr>
          <w:p w14:paraId="793D2C8D" w14:textId="3A373015"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USA</w:t>
            </w:r>
          </w:p>
        </w:tc>
        <w:tc>
          <w:tcPr>
            <w:tcW w:w="960" w:type="dxa"/>
            <w:tcBorders>
              <w:top w:val="nil"/>
              <w:left w:val="nil"/>
              <w:right w:val="nil"/>
            </w:tcBorders>
            <w:shd w:val="clear" w:color="auto" w:fill="auto"/>
            <w:noWrap/>
            <w:vAlign w:val="bottom"/>
          </w:tcPr>
          <w:p w14:paraId="3AE325F8" w14:textId="723C6CFE"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 </w:t>
            </w:r>
          </w:p>
        </w:tc>
        <w:tc>
          <w:tcPr>
            <w:tcW w:w="222" w:type="dxa"/>
            <w:tcBorders>
              <w:top w:val="nil"/>
              <w:left w:val="nil"/>
              <w:right w:val="nil"/>
            </w:tcBorders>
            <w:shd w:val="clear" w:color="auto" w:fill="auto"/>
            <w:noWrap/>
            <w:vAlign w:val="bottom"/>
          </w:tcPr>
          <w:p w14:paraId="3734619A" w14:textId="132E4489"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 </w:t>
            </w:r>
          </w:p>
        </w:tc>
        <w:tc>
          <w:tcPr>
            <w:tcW w:w="2521" w:type="dxa"/>
            <w:tcBorders>
              <w:top w:val="nil"/>
              <w:left w:val="nil"/>
              <w:right w:val="nil"/>
            </w:tcBorders>
            <w:shd w:val="clear" w:color="auto" w:fill="auto"/>
            <w:noWrap/>
            <w:vAlign w:val="bottom"/>
          </w:tcPr>
          <w:p w14:paraId="6F9127DC" w14:textId="710803C6"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Russia</w:t>
            </w:r>
          </w:p>
        </w:tc>
        <w:tc>
          <w:tcPr>
            <w:tcW w:w="739" w:type="dxa"/>
            <w:tcBorders>
              <w:top w:val="nil"/>
              <w:left w:val="nil"/>
              <w:right w:val="nil"/>
            </w:tcBorders>
            <w:shd w:val="clear" w:color="auto" w:fill="auto"/>
            <w:noWrap/>
            <w:vAlign w:val="bottom"/>
          </w:tcPr>
          <w:p w14:paraId="2EB317BD" w14:textId="5B85B21F"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RUS</w:t>
            </w:r>
          </w:p>
        </w:tc>
      </w:tr>
      <w:tr w:rsidR="003105B7" w:rsidRPr="000D20E9" w14:paraId="7B3B5806" w14:textId="77777777" w:rsidTr="003105B7">
        <w:trPr>
          <w:trHeight w:val="315"/>
          <w:jc w:val="center"/>
        </w:trPr>
        <w:tc>
          <w:tcPr>
            <w:tcW w:w="271" w:type="dxa"/>
            <w:tcBorders>
              <w:left w:val="nil"/>
              <w:bottom w:val="single" w:sz="4" w:space="0" w:color="auto"/>
              <w:right w:val="nil"/>
            </w:tcBorders>
            <w:shd w:val="clear" w:color="auto" w:fill="auto"/>
            <w:noWrap/>
            <w:vAlign w:val="bottom"/>
            <w:hideMark/>
          </w:tcPr>
          <w:p w14:paraId="745803EE" w14:textId="77777777"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 </w:t>
            </w:r>
          </w:p>
        </w:tc>
        <w:tc>
          <w:tcPr>
            <w:tcW w:w="1939" w:type="dxa"/>
            <w:tcBorders>
              <w:left w:val="nil"/>
              <w:bottom w:val="single" w:sz="4" w:space="0" w:color="auto"/>
              <w:right w:val="nil"/>
            </w:tcBorders>
            <w:shd w:val="clear" w:color="auto" w:fill="auto"/>
            <w:noWrap/>
            <w:vAlign w:val="bottom"/>
          </w:tcPr>
          <w:p w14:paraId="6F9BACE8" w14:textId="70ABFDCE" w:rsidR="003105B7" w:rsidRPr="000D20E9" w:rsidRDefault="003105B7" w:rsidP="000D20E9">
            <w:pPr>
              <w:spacing w:line="240" w:lineRule="exact"/>
              <w:rPr>
                <w:rFonts w:eastAsia="Times New Roman"/>
                <w:color w:val="000000"/>
                <w:sz w:val="20"/>
                <w:szCs w:val="20"/>
              </w:rPr>
            </w:pPr>
          </w:p>
        </w:tc>
        <w:tc>
          <w:tcPr>
            <w:tcW w:w="908" w:type="dxa"/>
            <w:tcBorders>
              <w:left w:val="nil"/>
              <w:bottom w:val="single" w:sz="4" w:space="0" w:color="auto"/>
              <w:right w:val="nil"/>
            </w:tcBorders>
            <w:shd w:val="clear" w:color="auto" w:fill="auto"/>
            <w:noWrap/>
            <w:vAlign w:val="bottom"/>
          </w:tcPr>
          <w:p w14:paraId="42452C67" w14:textId="6387ED6B" w:rsidR="003105B7" w:rsidRPr="000D20E9" w:rsidRDefault="003105B7" w:rsidP="000D20E9">
            <w:pPr>
              <w:spacing w:line="240" w:lineRule="exact"/>
              <w:rPr>
                <w:rFonts w:eastAsia="Times New Roman"/>
                <w:color w:val="000000"/>
                <w:sz w:val="20"/>
                <w:szCs w:val="20"/>
              </w:rPr>
            </w:pPr>
          </w:p>
        </w:tc>
        <w:tc>
          <w:tcPr>
            <w:tcW w:w="960" w:type="dxa"/>
            <w:tcBorders>
              <w:left w:val="nil"/>
              <w:bottom w:val="single" w:sz="4" w:space="0" w:color="auto"/>
              <w:right w:val="nil"/>
            </w:tcBorders>
            <w:shd w:val="clear" w:color="auto" w:fill="auto"/>
            <w:noWrap/>
            <w:vAlign w:val="bottom"/>
          </w:tcPr>
          <w:p w14:paraId="72C54973" w14:textId="7D0C7F98" w:rsidR="003105B7" w:rsidRPr="000D20E9" w:rsidRDefault="003105B7" w:rsidP="000D20E9">
            <w:pPr>
              <w:spacing w:line="240" w:lineRule="exact"/>
              <w:rPr>
                <w:rFonts w:eastAsia="Times New Roman"/>
                <w:color w:val="000000"/>
                <w:sz w:val="20"/>
                <w:szCs w:val="20"/>
              </w:rPr>
            </w:pPr>
          </w:p>
        </w:tc>
        <w:tc>
          <w:tcPr>
            <w:tcW w:w="222" w:type="dxa"/>
            <w:tcBorders>
              <w:left w:val="nil"/>
              <w:bottom w:val="single" w:sz="4" w:space="0" w:color="auto"/>
              <w:right w:val="nil"/>
            </w:tcBorders>
            <w:shd w:val="clear" w:color="auto" w:fill="auto"/>
            <w:noWrap/>
            <w:vAlign w:val="bottom"/>
          </w:tcPr>
          <w:p w14:paraId="159FBF69" w14:textId="08AD57C3" w:rsidR="003105B7" w:rsidRPr="000D20E9" w:rsidRDefault="003105B7" w:rsidP="000D20E9">
            <w:pPr>
              <w:spacing w:line="240" w:lineRule="exact"/>
              <w:rPr>
                <w:rFonts w:eastAsia="Times New Roman"/>
                <w:color w:val="000000"/>
                <w:sz w:val="20"/>
                <w:szCs w:val="20"/>
              </w:rPr>
            </w:pPr>
          </w:p>
        </w:tc>
        <w:tc>
          <w:tcPr>
            <w:tcW w:w="2521" w:type="dxa"/>
            <w:tcBorders>
              <w:left w:val="nil"/>
              <w:bottom w:val="single" w:sz="4" w:space="0" w:color="auto"/>
              <w:right w:val="nil"/>
            </w:tcBorders>
            <w:shd w:val="clear" w:color="auto" w:fill="auto"/>
            <w:noWrap/>
            <w:vAlign w:val="bottom"/>
          </w:tcPr>
          <w:p w14:paraId="2C7ED1B9" w14:textId="330F3E62"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India</w:t>
            </w:r>
          </w:p>
        </w:tc>
        <w:tc>
          <w:tcPr>
            <w:tcW w:w="739" w:type="dxa"/>
            <w:tcBorders>
              <w:left w:val="nil"/>
              <w:bottom w:val="single" w:sz="4" w:space="0" w:color="auto"/>
              <w:right w:val="nil"/>
            </w:tcBorders>
            <w:shd w:val="clear" w:color="auto" w:fill="auto"/>
            <w:noWrap/>
            <w:vAlign w:val="bottom"/>
          </w:tcPr>
          <w:p w14:paraId="184070FD" w14:textId="6EAC52C4" w:rsidR="003105B7" w:rsidRPr="000D20E9" w:rsidRDefault="003105B7" w:rsidP="000D20E9">
            <w:pPr>
              <w:spacing w:line="240" w:lineRule="exact"/>
              <w:rPr>
                <w:rFonts w:eastAsia="Times New Roman"/>
                <w:color w:val="000000"/>
                <w:sz w:val="20"/>
                <w:szCs w:val="20"/>
              </w:rPr>
            </w:pPr>
            <w:r w:rsidRPr="000D20E9">
              <w:rPr>
                <w:rFonts w:eastAsia="Times New Roman"/>
                <w:color w:val="000000"/>
                <w:sz w:val="20"/>
                <w:szCs w:val="20"/>
              </w:rPr>
              <w:t>IND</w:t>
            </w:r>
          </w:p>
        </w:tc>
      </w:tr>
    </w:tbl>
    <w:p w14:paraId="503E78C3" w14:textId="77777777" w:rsidR="00D14D58" w:rsidRDefault="00D14D58" w:rsidP="000D20E9">
      <w:pPr>
        <w:spacing w:line="240" w:lineRule="exact"/>
        <w:rPr>
          <w:sz w:val="20"/>
          <w:szCs w:val="20"/>
        </w:rPr>
      </w:pPr>
    </w:p>
    <w:p w14:paraId="07ABA8E2" w14:textId="77777777" w:rsidR="00D14D58" w:rsidRDefault="00D14D58" w:rsidP="000D20E9">
      <w:pPr>
        <w:spacing w:line="240" w:lineRule="exact"/>
        <w:rPr>
          <w:sz w:val="20"/>
          <w:szCs w:val="20"/>
        </w:rPr>
      </w:pPr>
    </w:p>
    <w:p w14:paraId="3E5095FB" w14:textId="1A8F0A4B" w:rsidR="00025304" w:rsidRPr="000D20E9" w:rsidRDefault="00E8482B" w:rsidP="000D20E9">
      <w:pPr>
        <w:spacing w:line="240" w:lineRule="exact"/>
        <w:rPr>
          <w:sz w:val="20"/>
          <w:szCs w:val="20"/>
        </w:rPr>
      </w:pPr>
      <w:r>
        <w:rPr>
          <w:sz w:val="20"/>
          <w:szCs w:val="20"/>
        </w:rPr>
        <w:t>Table 5.</w:t>
      </w:r>
      <w:r w:rsidR="00032428" w:rsidRPr="000D20E9">
        <w:rPr>
          <w:sz w:val="20"/>
          <w:szCs w:val="20"/>
        </w:rPr>
        <w:t xml:space="preserve"> Statistical Summary</w:t>
      </w:r>
    </w:p>
    <w:tbl>
      <w:tblPr>
        <w:tblW w:w="8730" w:type="dxa"/>
        <w:jc w:val="center"/>
        <w:tblLayout w:type="fixed"/>
        <w:tblLook w:val="04A0" w:firstRow="1" w:lastRow="0" w:firstColumn="1" w:lastColumn="0" w:noHBand="0" w:noVBand="1"/>
      </w:tblPr>
      <w:tblGrid>
        <w:gridCol w:w="1260"/>
        <w:gridCol w:w="1260"/>
        <w:gridCol w:w="1314"/>
        <w:gridCol w:w="936"/>
        <w:gridCol w:w="1080"/>
        <w:gridCol w:w="1852"/>
        <w:gridCol w:w="1028"/>
      </w:tblGrid>
      <w:tr w:rsidR="00C23E71" w:rsidRPr="000D20E9" w14:paraId="1534F2E3" w14:textId="77777777" w:rsidTr="00EF77A1">
        <w:trPr>
          <w:trHeight w:val="300"/>
          <w:jc w:val="center"/>
        </w:trPr>
        <w:tc>
          <w:tcPr>
            <w:tcW w:w="1260" w:type="dxa"/>
            <w:tcBorders>
              <w:top w:val="single" w:sz="4" w:space="0" w:color="auto"/>
              <w:left w:val="nil"/>
              <w:bottom w:val="single" w:sz="4" w:space="0" w:color="auto"/>
              <w:right w:val="nil"/>
            </w:tcBorders>
            <w:shd w:val="clear" w:color="auto" w:fill="auto"/>
            <w:noWrap/>
            <w:vAlign w:val="center"/>
            <w:hideMark/>
          </w:tcPr>
          <w:p w14:paraId="0ED780ED" w14:textId="07F418A2" w:rsidR="00C23E71" w:rsidRPr="000D20E9" w:rsidRDefault="00C23E71" w:rsidP="000D20E9">
            <w:pPr>
              <w:spacing w:line="240" w:lineRule="exact"/>
              <w:jc w:val="center"/>
              <w:rPr>
                <w:rFonts w:eastAsia="Times New Roman"/>
                <w:b/>
                <w:bCs/>
                <w:color w:val="000000"/>
                <w:sz w:val="20"/>
                <w:szCs w:val="20"/>
                <w:lang w:val="vi-VN"/>
              </w:rPr>
            </w:pPr>
            <w:r w:rsidRPr="000D20E9">
              <w:rPr>
                <w:rFonts w:eastAsia="Times New Roman"/>
                <w:b/>
                <w:bCs/>
                <w:color w:val="000000"/>
                <w:sz w:val="20"/>
                <w:szCs w:val="20"/>
              </w:rPr>
              <w:t>Variable</w:t>
            </w:r>
          </w:p>
        </w:tc>
        <w:tc>
          <w:tcPr>
            <w:tcW w:w="1260" w:type="dxa"/>
            <w:tcBorders>
              <w:top w:val="single" w:sz="4" w:space="0" w:color="auto"/>
              <w:left w:val="nil"/>
              <w:bottom w:val="single" w:sz="4" w:space="0" w:color="auto"/>
              <w:right w:val="nil"/>
            </w:tcBorders>
            <w:shd w:val="clear" w:color="auto" w:fill="auto"/>
            <w:noWrap/>
            <w:vAlign w:val="center"/>
            <w:hideMark/>
          </w:tcPr>
          <w:p w14:paraId="657B88F3" w14:textId="51A6EAD1" w:rsidR="00C23E71" w:rsidRPr="000D20E9" w:rsidRDefault="00C23E71" w:rsidP="000D20E9">
            <w:pPr>
              <w:spacing w:line="240" w:lineRule="exact"/>
              <w:jc w:val="center"/>
              <w:rPr>
                <w:rFonts w:eastAsia="Times New Roman"/>
                <w:b/>
                <w:bCs/>
                <w:color w:val="000000"/>
                <w:sz w:val="20"/>
                <w:szCs w:val="20"/>
              </w:rPr>
            </w:pPr>
            <w:r w:rsidRPr="000D20E9">
              <w:rPr>
                <w:rFonts w:eastAsia="Times New Roman"/>
                <w:b/>
                <w:bCs/>
                <w:color w:val="000000"/>
                <w:sz w:val="20"/>
                <w:szCs w:val="20"/>
              </w:rPr>
              <w:t>Mean</w:t>
            </w:r>
          </w:p>
        </w:tc>
        <w:tc>
          <w:tcPr>
            <w:tcW w:w="1314" w:type="dxa"/>
            <w:tcBorders>
              <w:top w:val="single" w:sz="4" w:space="0" w:color="auto"/>
              <w:left w:val="nil"/>
              <w:bottom w:val="single" w:sz="4" w:space="0" w:color="auto"/>
              <w:right w:val="nil"/>
            </w:tcBorders>
            <w:shd w:val="clear" w:color="auto" w:fill="auto"/>
            <w:noWrap/>
            <w:vAlign w:val="center"/>
            <w:hideMark/>
          </w:tcPr>
          <w:p w14:paraId="4F41C8E3" w14:textId="6726A54E" w:rsidR="00C23E71" w:rsidRPr="000D20E9" w:rsidRDefault="00C23E71" w:rsidP="000D20E9">
            <w:pPr>
              <w:spacing w:line="240" w:lineRule="exact"/>
              <w:jc w:val="center"/>
              <w:rPr>
                <w:rFonts w:eastAsia="Times New Roman"/>
                <w:b/>
                <w:bCs/>
                <w:color w:val="000000"/>
                <w:sz w:val="20"/>
                <w:szCs w:val="20"/>
              </w:rPr>
            </w:pPr>
            <w:r w:rsidRPr="000D20E9">
              <w:rPr>
                <w:rFonts w:eastAsia="Times New Roman"/>
                <w:b/>
                <w:bCs/>
                <w:color w:val="000000"/>
                <w:sz w:val="20"/>
                <w:szCs w:val="20"/>
              </w:rPr>
              <w:t>Std. Dev.</w:t>
            </w:r>
          </w:p>
        </w:tc>
        <w:tc>
          <w:tcPr>
            <w:tcW w:w="936" w:type="dxa"/>
            <w:tcBorders>
              <w:top w:val="single" w:sz="4" w:space="0" w:color="auto"/>
              <w:left w:val="nil"/>
              <w:bottom w:val="single" w:sz="4" w:space="0" w:color="auto"/>
              <w:right w:val="nil"/>
            </w:tcBorders>
            <w:shd w:val="clear" w:color="auto" w:fill="auto"/>
            <w:noWrap/>
            <w:vAlign w:val="center"/>
            <w:hideMark/>
          </w:tcPr>
          <w:p w14:paraId="29C49AE9" w14:textId="77777777" w:rsidR="00C23E71" w:rsidRPr="000D20E9" w:rsidRDefault="00C23E71" w:rsidP="000D20E9">
            <w:pPr>
              <w:spacing w:line="240" w:lineRule="exact"/>
              <w:jc w:val="center"/>
              <w:rPr>
                <w:rFonts w:eastAsia="Times New Roman"/>
                <w:b/>
                <w:bCs/>
                <w:color w:val="000000"/>
                <w:sz w:val="20"/>
                <w:szCs w:val="20"/>
              </w:rPr>
            </w:pPr>
            <w:r w:rsidRPr="000D20E9">
              <w:rPr>
                <w:rFonts w:eastAsia="Times New Roman"/>
                <w:b/>
                <w:bCs/>
                <w:color w:val="000000"/>
                <w:sz w:val="20"/>
                <w:szCs w:val="20"/>
              </w:rPr>
              <w:t>Min</w:t>
            </w:r>
          </w:p>
        </w:tc>
        <w:tc>
          <w:tcPr>
            <w:tcW w:w="1080" w:type="dxa"/>
            <w:tcBorders>
              <w:top w:val="single" w:sz="4" w:space="0" w:color="auto"/>
              <w:left w:val="nil"/>
              <w:bottom w:val="single" w:sz="4" w:space="0" w:color="auto"/>
              <w:right w:val="nil"/>
            </w:tcBorders>
            <w:shd w:val="clear" w:color="auto" w:fill="auto"/>
            <w:noWrap/>
            <w:vAlign w:val="center"/>
            <w:hideMark/>
          </w:tcPr>
          <w:p w14:paraId="7677AC71" w14:textId="77777777" w:rsidR="00C23E71" w:rsidRPr="000D20E9" w:rsidRDefault="00C23E71" w:rsidP="000D20E9">
            <w:pPr>
              <w:spacing w:line="240" w:lineRule="exact"/>
              <w:jc w:val="center"/>
              <w:rPr>
                <w:rFonts w:eastAsia="Times New Roman"/>
                <w:b/>
                <w:bCs/>
                <w:color w:val="000000"/>
                <w:sz w:val="20"/>
                <w:szCs w:val="20"/>
              </w:rPr>
            </w:pPr>
            <w:r w:rsidRPr="000D20E9">
              <w:rPr>
                <w:rFonts w:eastAsia="Times New Roman"/>
                <w:b/>
                <w:bCs/>
                <w:color w:val="000000"/>
                <w:sz w:val="20"/>
                <w:szCs w:val="20"/>
              </w:rPr>
              <w:t>Max</w:t>
            </w:r>
          </w:p>
        </w:tc>
        <w:tc>
          <w:tcPr>
            <w:tcW w:w="1852" w:type="dxa"/>
            <w:tcBorders>
              <w:top w:val="single" w:sz="4" w:space="0" w:color="auto"/>
              <w:left w:val="nil"/>
              <w:bottom w:val="single" w:sz="4" w:space="0" w:color="auto"/>
              <w:right w:val="nil"/>
            </w:tcBorders>
          </w:tcPr>
          <w:p w14:paraId="48105D73" w14:textId="267DAFD5" w:rsidR="00C23E71" w:rsidRPr="000D20E9" w:rsidRDefault="001B56B5" w:rsidP="000D20E9">
            <w:pPr>
              <w:spacing w:line="240" w:lineRule="exact"/>
              <w:jc w:val="center"/>
              <w:rPr>
                <w:rFonts w:eastAsia="Times New Roman"/>
                <w:b/>
                <w:bCs/>
                <w:color w:val="000000"/>
                <w:sz w:val="20"/>
                <w:szCs w:val="20"/>
              </w:rPr>
            </w:pPr>
            <w:r>
              <w:rPr>
                <w:rFonts w:eastAsia="Times New Roman"/>
                <w:b/>
                <w:bCs/>
                <w:color w:val="000000"/>
                <w:sz w:val="20"/>
                <w:szCs w:val="20"/>
              </w:rPr>
              <w:t>Source</w:t>
            </w:r>
          </w:p>
        </w:tc>
        <w:tc>
          <w:tcPr>
            <w:tcW w:w="1028" w:type="dxa"/>
            <w:tcBorders>
              <w:top w:val="single" w:sz="4" w:space="0" w:color="auto"/>
              <w:left w:val="nil"/>
              <w:bottom w:val="single" w:sz="4" w:space="0" w:color="auto"/>
              <w:right w:val="nil"/>
            </w:tcBorders>
            <w:shd w:val="clear" w:color="auto" w:fill="auto"/>
            <w:noWrap/>
            <w:vAlign w:val="center"/>
            <w:hideMark/>
          </w:tcPr>
          <w:p w14:paraId="681F560C" w14:textId="3B18F8DF" w:rsidR="00C23E71" w:rsidRPr="000D20E9" w:rsidRDefault="00C23E71" w:rsidP="000D20E9">
            <w:pPr>
              <w:spacing w:line="240" w:lineRule="exact"/>
              <w:jc w:val="center"/>
              <w:rPr>
                <w:rFonts w:eastAsia="Times New Roman"/>
                <w:b/>
                <w:bCs/>
                <w:color w:val="000000"/>
                <w:sz w:val="20"/>
                <w:szCs w:val="20"/>
              </w:rPr>
            </w:pPr>
            <w:r w:rsidRPr="000D20E9">
              <w:rPr>
                <w:rFonts w:eastAsia="Times New Roman"/>
                <w:b/>
                <w:bCs/>
                <w:color w:val="000000"/>
                <w:sz w:val="20"/>
                <w:szCs w:val="20"/>
              </w:rPr>
              <w:t>Expected signs</w:t>
            </w:r>
          </w:p>
        </w:tc>
      </w:tr>
      <w:tr w:rsidR="00C23E71" w:rsidRPr="000D20E9" w14:paraId="0EB440E0"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2B56B0DA" w14:textId="2EB191CA" w:rsidR="00C23E71" w:rsidRPr="000D20E9" w:rsidRDefault="00C23E71" w:rsidP="000D20E9">
            <w:pPr>
              <w:spacing w:line="240" w:lineRule="exact"/>
              <w:rPr>
                <w:rFonts w:eastAsia="Times New Roman"/>
                <w:color w:val="000000"/>
                <w:sz w:val="20"/>
                <w:szCs w:val="20"/>
              </w:rPr>
            </w:pPr>
            <w:r w:rsidRPr="000D20E9">
              <w:rPr>
                <w:rFonts w:eastAsia="Times New Roman"/>
                <w:color w:val="000000"/>
                <w:sz w:val="20"/>
                <w:szCs w:val="20"/>
              </w:rPr>
              <w:t>LnEX</w:t>
            </w:r>
          </w:p>
        </w:tc>
        <w:tc>
          <w:tcPr>
            <w:tcW w:w="1260" w:type="dxa"/>
            <w:tcBorders>
              <w:top w:val="nil"/>
              <w:left w:val="nil"/>
              <w:bottom w:val="nil"/>
              <w:right w:val="nil"/>
            </w:tcBorders>
            <w:shd w:val="clear" w:color="auto" w:fill="auto"/>
            <w:noWrap/>
            <w:vAlign w:val="center"/>
            <w:hideMark/>
          </w:tcPr>
          <w:p w14:paraId="12F3F057" w14:textId="5D8EE337"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19.726</w:t>
            </w:r>
          </w:p>
        </w:tc>
        <w:tc>
          <w:tcPr>
            <w:tcW w:w="1314" w:type="dxa"/>
            <w:tcBorders>
              <w:top w:val="nil"/>
              <w:left w:val="nil"/>
              <w:bottom w:val="nil"/>
              <w:right w:val="nil"/>
            </w:tcBorders>
            <w:shd w:val="clear" w:color="auto" w:fill="auto"/>
            <w:noWrap/>
            <w:vAlign w:val="center"/>
            <w:hideMark/>
          </w:tcPr>
          <w:p w14:paraId="335805A9" w14:textId="5267C398"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1.902</w:t>
            </w:r>
          </w:p>
        </w:tc>
        <w:tc>
          <w:tcPr>
            <w:tcW w:w="936" w:type="dxa"/>
            <w:tcBorders>
              <w:top w:val="nil"/>
              <w:left w:val="nil"/>
              <w:bottom w:val="nil"/>
              <w:right w:val="nil"/>
            </w:tcBorders>
            <w:shd w:val="clear" w:color="auto" w:fill="auto"/>
            <w:noWrap/>
            <w:vAlign w:val="center"/>
            <w:hideMark/>
          </w:tcPr>
          <w:p w14:paraId="52DDE5E2" w14:textId="1846A187"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11.314</w:t>
            </w:r>
          </w:p>
        </w:tc>
        <w:tc>
          <w:tcPr>
            <w:tcW w:w="1080" w:type="dxa"/>
            <w:tcBorders>
              <w:top w:val="nil"/>
              <w:left w:val="nil"/>
              <w:bottom w:val="nil"/>
              <w:right w:val="nil"/>
            </w:tcBorders>
            <w:shd w:val="clear" w:color="auto" w:fill="auto"/>
            <w:noWrap/>
            <w:vAlign w:val="center"/>
            <w:hideMark/>
          </w:tcPr>
          <w:p w14:paraId="25C8DF80" w14:textId="7B313962"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24.265</w:t>
            </w:r>
          </w:p>
        </w:tc>
        <w:tc>
          <w:tcPr>
            <w:tcW w:w="1852" w:type="dxa"/>
            <w:tcBorders>
              <w:top w:val="nil"/>
              <w:left w:val="nil"/>
              <w:bottom w:val="nil"/>
              <w:right w:val="nil"/>
            </w:tcBorders>
          </w:tcPr>
          <w:p w14:paraId="7A13B529" w14:textId="51FBDBD2" w:rsidR="00C23E71" w:rsidRPr="000D20E9" w:rsidRDefault="002049BB" w:rsidP="002049BB">
            <w:pPr>
              <w:spacing w:line="240" w:lineRule="exact"/>
              <w:rPr>
                <w:rFonts w:eastAsia="Times New Roman"/>
                <w:color w:val="000000"/>
                <w:sz w:val="20"/>
                <w:szCs w:val="20"/>
              </w:rPr>
            </w:pPr>
            <w:r>
              <w:rPr>
                <w:rFonts w:eastAsia="Times New Roman"/>
                <w:color w:val="000000"/>
                <w:sz w:val="20"/>
                <w:szCs w:val="20"/>
              </w:rPr>
              <w:t>Tinbergen (1962)</w:t>
            </w:r>
          </w:p>
        </w:tc>
        <w:tc>
          <w:tcPr>
            <w:tcW w:w="1028" w:type="dxa"/>
            <w:tcBorders>
              <w:top w:val="nil"/>
              <w:left w:val="nil"/>
              <w:bottom w:val="nil"/>
              <w:right w:val="nil"/>
            </w:tcBorders>
            <w:shd w:val="clear" w:color="auto" w:fill="auto"/>
            <w:noWrap/>
            <w:vAlign w:val="bottom"/>
            <w:hideMark/>
          </w:tcPr>
          <w:p w14:paraId="26330785" w14:textId="36DDE7D5" w:rsidR="00C23E71" w:rsidRPr="000D20E9" w:rsidRDefault="00C23E71" w:rsidP="000D20E9">
            <w:pPr>
              <w:spacing w:line="240" w:lineRule="exact"/>
              <w:jc w:val="center"/>
              <w:rPr>
                <w:rFonts w:eastAsia="Times New Roman"/>
                <w:color w:val="000000"/>
                <w:sz w:val="20"/>
                <w:szCs w:val="20"/>
              </w:rPr>
            </w:pPr>
          </w:p>
        </w:tc>
      </w:tr>
      <w:tr w:rsidR="00C23E71" w:rsidRPr="000D20E9" w14:paraId="5BF9C9E9"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342996C2" w14:textId="1F340425" w:rsidR="00C23E71" w:rsidRPr="000D20E9" w:rsidRDefault="00C23E71" w:rsidP="000D20E9">
            <w:pPr>
              <w:spacing w:line="240" w:lineRule="exact"/>
              <w:rPr>
                <w:rFonts w:eastAsia="Times New Roman"/>
                <w:color w:val="000000"/>
                <w:sz w:val="20"/>
                <w:szCs w:val="20"/>
              </w:rPr>
            </w:pPr>
            <w:r w:rsidRPr="000D20E9">
              <w:rPr>
                <w:rFonts w:eastAsia="Times New Roman"/>
                <w:color w:val="000000"/>
                <w:sz w:val="20"/>
                <w:szCs w:val="20"/>
              </w:rPr>
              <w:t>LnIM</w:t>
            </w:r>
          </w:p>
        </w:tc>
        <w:tc>
          <w:tcPr>
            <w:tcW w:w="1260" w:type="dxa"/>
            <w:tcBorders>
              <w:top w:val="nil"/>
              <w:left w:val="nil"/>
              <w:bottom w:val="nil"/>
              <w:right w:val="nil"/>
            </w:tcBorders>
            <w:shd w:val="clear" w:color="auto" w:fill="auto"/>
            <w:noWrap/>
            <w:vAlign w:val="center"/>
            <w:hideMark/>
          </w:tcPr>
          <w:p w14:paraId="45E5A9E8" w14:textId="4ACC5CA3"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19.458</w:t>
            </w:r>
          </w:p>
        </w:tc>
        <w:tc>
          <w:tcPr>
            <w:tcW w:w="1314" w:type="dxa"/>
            <w:tcBorders>
              <w:top w:val="nil"/>
              <w:left w:val="nil"/>
              <w:bottom w:val="nil"/>
              <w:right w:val="nil"/>
            </w:tcBorders>
            <w:shd w:val="clear" w:color="auto" w:fill="auto"/>
            <w:noWrap/>
            <w:vAlign w:val="center"/>
            <w:hideMark/>
          </w:tcPr>
          <w:p w14:paraId="16B40452" w14:textId="379F684F"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2.087</w:t>
            </w:r>
          </w:p>
        </w:tc>
        <w:tc>
          <w:tcPr>
            <w:tcW w:w="936" w:type="dxa"/>
            <w:tcBorders>
              <w:top w:val="nil"/>
              <w:left w:val="nil"/>
              <w:bottom w:val="nil"/>
              <w:right w:val="nil"/>
            </w:tcBorders>
            <w:shd w:val="clear" w:color="auto" w:fill="auto"/>
            <w:noWrap/>
            <w:vAlign w:val="center"/>
            <w:hideMark/>
          </w:tcPr>
          <w:p w14:paraId="13168BDE" w14:textId="60A29B47"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9.210</w:t>
            </w:r>
          </w:p>
        </w:tc>
        <w:tc>
          <w:tcPr>
            <w:tcW w:w="1080" w:type="dxa"/>
            <w:tcBorders>
              <w:top w:val="nil"/>
              <w:left w:val="nil"/>
              <w:bottom w:val="nil"/>
              <w:right w:val="nil"/>
            </w:tcBorders>
            <w:shd w:val="clear" w:color="auto" w:fill="auto"/>
            <w:noWrap/>
            <w:vAlign w:val="center"/>
            <w:hideMark/>
          </w:tcPr>
          <w:p w14:paraId="63008176" w14:textId="5B24AD39"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25.013</w:t>
            </w:r>
          </w:p>
        </w:tc>
        <w:tc>
          <w:tcPr>
            <w:tcW w:w="1852" w:type="dxa"/>
            <w:tcBorders>
              <w:top w:val="nil"/>
              <w:left w:val="nil"/>
              <w:bottom w:val="nil"/>
              <w:right w:val="nil"/>
            </w:tcBorders>
          </w:tcPr>
          <w:p w14:paraId="38528DA1" w14:textId="462CD6A3" w:rsidR="00C23E71" w:rsidRPr="000D20E9" w:rsidRDefault="002049BB" w:rsidP="002049BB">
            <w:pPr>
              <w:spacing w:line="240" w:lineRule="exact"/>
              <w:rPr>
                <w:rFonts w:eastAsia="Times New Roman"/>
                <w:color w:val="000000"/>
                <w:sz w:val="20"/>
                <w:szCs w:val="20"/>
              </w:rPr>
            </w:pPr>
            <w:r>
              <w:rPr>
                <w:rFonts w:eastAsia="Times New Roman"/>
                <w:color w:val="000000"/>
                <w:sz w:val="20"/>
                <w:szCs w:val="20"/>
              </w:rPr>
              <w:t>Tinbergen (1962)</w:t>
            </w:r>
          </w:p>
        </w:tc>
        <w:tc>
          <w:tcPr>
            <w:tcW w:w="1028" w:type="dxa"/>
            <w:tcBorders>
              <w:top w:val="nil"/>
              <w:left w:val="nil"/>
              <w:bottom w:val="nil"/>
              <w:right w:val="nil"/>
            </w:tcBorders>
            <w:shd w:val="clear" w:color="auto" w:fill="auto"/>
            <w:noWrap/>
            <w:vAlign w:val="bottom"/>
            <w:hideMark/>
          </w:tcPr>
          <w:p w14:paraId="25738674" w14:textId="6119DD7A" w:rsidR="00C23E71" w:rsidRPr="000D20E9" w:rsidRDefault="00C23E71" w:rsidP="000D20E9">
            <w:pPr>
              <w:spacing w:line="240" w:lineRule="exact"/>
              <w:jc w:val="center"/>
              <w:rPr>
                <w:rFonts w:eastAsia="Times New Roman"/>
                <w:color w:val="000000"/>
                <w:sz w:val="20"/>
                <w:szCs w:val="20"/>
              </w:rPr>
            </w:pPr>
          </w:p>
        </w:tc>
      </w:tr>
      <w:tr w:rsidR="00C23E71" w:rsidRPr="000D20E9" w14:paraId="17283BE8"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18C3CB36" w14:textId="77777777" w:rsidR="00C23E71" w:rsidRPr="000D20E9" w:rsidRDefault="00C23E71" w:rsidP="000D20E9">
            <w:pPr>
              <w:spacing w:line="240" w:lineRule="exact"/>
              <w:rPr>
                <w:rFonts w:eastAsia="Times New Roman"/>
                <w:color w:val="000000"/>
                <w:sz w:val="20"/>
                <w:szCs w:val="20"/>
              </w:rPr>
            </w:pPr>
            <w:r w:rsidRPr="000D20E9">
              <w:rPr>
                <w:rFonts w:eastAsia="Times New Roman"/>
                <w:color w:val="000000"/>
                <w:sz w:val="20"/>
                <w:szCs w:val="20"/>
              </w:rPr>
              <w:t>LnGDP</w:t>
            </w:r>
          </w:p>
        </w:tc>
        <w:tc>
          <w:tcPr>
            <w:tcW w:w="1260" w:type="dxa"/>
            <w:tcBorders>
              <w:top w:val="nil"/>
              <w:left w:val="nil"/>
              <w:bottom w:val="nil"/>
              <w:right w:val="nil"/>
            </w:tcBorders>
            <w:shd w:val="clear" w:color="auto" w:fill="auto"/>
            <w:noWrap/>
            <w:vAlign w:val="center"/>
            <w:hideMark/>
          </w:tcPr>
          <w:p w14:paraId="7B25CEB7" w14:textId="0A70C232"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26.736</w:t>
            </w:r>
          </w:p>
        </w:tc>
        <w:tc>
          <w:tcPr>
            <w:tcW w:w="1314" w:type="dxa"/>
            <w:tcBorders>
              <w:top w:val="nil"/>
              <w:left w:val="nil"/>
              <w:bottom w:val="nil"/>
              <w:right w:val="nil"/>
            </w:tcBorders>
            <w:shd w:val="clear" w:color="auto" w:fill="auto"/>
            <w:noWrap/>
            <w:vAlign w:val="center"/>
            <w:hideMark/>
          </w:tcPr>
          <w:p w14:paraId="74783FAF" w14:textId="5B7C199E"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1.828</w:t>
            </w:r>
          </w:p>
        </w:tc>
        <w:tc>
          <w:tcPr>
            <w:tcW w:w="936" w:type="dxa"/>
            <w:tcBorders>
              <w:top w:val="nil"/>
              <w:left w:val="nil"/>
              <w:bottom w:val="nil"/>
              <w:right w:val="nil"/>
            </w:tcBorders>
            <w:shd w:val="clear" w:color="auto" w:fill="auto"/>
            <w:noWrap/>
            <w:vAlign w:val="center"/>
            <w:hideMark/>
          </w:tcPr>
          <w:p w14:paraId="44300A7E" w14:textId="0075D31B"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20.970</w:t>
            </w:r>
          </w:p>
        </w:tc>
        <w:tc>
          <w:tcPr>
            <w:tcW w:w="1080" w:type="dxa"/>
            <w:tcBorders>
              <w:top w:val="nil"/>
              <w:left w:val="nil"/>
              <w:bottom w:val="nil"/>
              <w:right w:val="nil"/>
            </w:tcBorders>
            <w:shd w:val="clear" w:color="auto" w:fill="auto"/>
            <w:noWrap/>
            <w:vAlign w:val="center"/>
            <w:hideMark/>
          </w:tcPr>
          <w:p w14:paraId="020F6F99" w14:textId="3AA49685"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30.518</w:t>
            </w:r>
          </w:p>
        </w:tc>
        <w:tc>
          <w:tcPr>
            <w:tcW w:w="1852" w:type="dxa"/>
            <w:tcBorders>
              <w:top w:val="nil"/>
              <w:left w:val="nil"/>
              <w:bottom w:val="nil"/>
              <w:right w:val="nil"/>
            </w:tcBorders>
          </w:tcPr>
          <w:p w14:paraId="4EC53AC5" w14:textId="7EB5CBAD" w:rsidR="00C23E71" w:rsidRPr="000D20E9" w:rsidRDefault="0091141B" w:rsidP="002049BB">
            <w:pPr>
              <w:spacing w:line="240" w:lineRule="exact"/>
              <w:rPr>
                <w:rFonts w:eastAsia="Times New Roman"/>
                <w:color w:val="000000"/>
                <w:sz w:val="20"/>
                <w:szCs w:val="20"/>
              </w:rPr>
            </w:pPr>
            <w:r>
              <w:rPr>
                <w:rFonts w:eastAsia="Times New Roman"/>
                <w:color w:val="000000"/>
                <w:sz w:val="20"/>
                <w:szCs w:val="20"/>
              </w:rPr>
              <w:t>Tinbergen (1962)</w:t>
            </w:r>
          </w:p>
        </w:tc>
        <w:tc>
          <w:tcPr>
            <w:tcW w:w="1028" w:type="dxa"/>
            <w:tcBorders>
              <w:top w:val="nil"/>
              <w:left w:val="nil"/>
              <w:bottom w:val="nil"/>
              <w:right w:val="nil"/>
            </w:tcBorders>
            <w:shd w:val="clear" w:color="auto" w:fill="auto"/>
            <w:noWrap/>
            <w:vAlign w:val="bottom"/>
            <w:hideMark/>
          </w:tcPr>
          <w:p w14:paraId="253902AC" w14:textId="52101A13"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C23E71" w:rsidRPr="000D20E9" w14:paraId="52EEB90F"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7D8EFF54" w14:textId="77777777" w:rsidR="00C23E71" w:rsidRPr="000D20E9" w:rsidRDefault="00C23E71" w:rsidP="000D20E9">
            <w:pPr>
              <w:spacing w:line="240" w:lineRule="exact"/>
              <w:rPr>
                <w:rFonts w:eastAsia="Times New Roman"/>
                <w:color w:val="000000"/>
                <w:sz w:val="20"/>
                <w:szCs w:val="20"/>
              </w:rPr>
            </w:pPr>
            <w:r w:rsidRPr="000D20E9">
              <w:rPr>
                <w:rFonts w:eastAsia="Times New Roman"/>
                <w:color w:val="000000"/>
                <w:sz w:val="20"/>
                <w:szCs w:val="20"/>
              </w:rPr>
              <w:t>LnGDPVN</w:t>
            </w:r>
          </w:p>
        </w:tc>
        <w:tc>
          <w:tcPr>
            <w:tcW w:w="1260" w:type="dxa"/>
            <w:tcBorders>
              <w:top w:val="nil"/>
              <w:left w:val="nil"/>
              <w:bottom w:val="nil"/>
              <w:right w:val="nil"/>
            </w:tcBorders>
            <w:shd w:val="clear" w:color="auto" w:fill="auto"/>
            <w:noWrap/>
            <w:vAlign w:val="center"/>
            <w:hideMark/>
          </w:tcPr>
          <w:p w14:paraId="2A5AA17C" w14:textId="6A827E3B"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24.854</w:t>
            </w:r>
          </w:p>
        </w:tc>
        <w:tc>
          <w:tcPr>
            <w:tcW w:w="1314" w:type="dxa"/>
            <w:tcBorders>
              <w:top w:val="nil"/>
              <w:left w:val="nil"/>
              <w:bottom w:val="nil"/>
              <w:right w:val="nil"/>
            </w:tcBorders>
            <w:shd w:val="clear" w:color="auto" w:fill="auto"/>
            <w:noWrap/>
            <w:vAlign w:val="center"/>
            <w:hideMark/>
          </w:tcPr>
          <w:p w14:paraId="71F1CFB6" w14:textId="7DD0BBC0"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0.727</w:t>
            </w:r>
          </w:p>
        </w:tc>
        <w:tc>
          <w:tcPr>
            <w:tcW w:w="936" w:type="dxa"/>
            <w:tcBorders>
              <w:top w:val="nil"/>
              <w:left w:val="nil"/>
              <w:bottom w:val="nil"/>
              <w:right w:val="nil"/>
            </w:tcBorders>
            <w:shd w:val="clear" w:color="auto" w:fill="auto"/>
            <w:noWrap/>
            <w:vAlign w:val="center"/>
            <w:hideMark/>
          </w:tcPr>
          <w:p w14:paraId="64BA65C3" w14:textId="6A94D97A"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23.755</w:t>
            </w:r>
          </w:p>
        </w:tc>
        <w:tc>
          <w:tcPr>
            <w:tcW w:w="1080" w:type="dxa"/>
            <w:tcBorders>
              <w:top w:val="nil"/>
              <w:left w:val="nil"/>
              <w:bottom w:val="nil"/>
              <w:right w:val="nil"/>
            </w:tcBorders>
            <w:shd w:val="clear" w:color="auto" w:fill="auto"/>
            <w:noWrap/>
            <w:vAlign w:val="center"/>
            <w:hideMark/>
          </w:tcPr>
          <w:p w14:paraId="5DDED25D" w14:textId="4C6B0AD5"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25.989</w:t>
            </w:r>
          </w:p>
        </w:tc>
        <w:tc>
          <w:tcPr>
            <w:tcW w:w="1852" w:type="dxa"/>
            <w:tcBorders>
              <w:top w:val="nil"/>
              <w:left w:val="nil"/>
              <w:bottom w:val="nil"/>
              <w:right w:val="nil"/>
            </w:tcBorders>
          </w:tcPr>
          <w:p w14:paraId="7F5E47E8" w14:textId="0ACF56E7" w:rsidR="00C23E71" w:rsidRPr="000D20E9" w:rsidRDefault="0091141B" w:rsidP="002049BB">
            <w:pPr>
              <w:spacing w:line="240" w:lineRule="exact"/>
              <w:rPr>
                <w:rFonts w:eastAsia="Times New Roman"/>
                <w:color w:val="000000"/>
                <w:sz w:val="20"/>
                <w:szCs w:val="20"/>
              </w:rPr>
            </w:pPr>
            <w:r>
              <w:rPr>
                <w:rFonts w:eastAsia="Times New Roman"/>
                <w:color w:val="000000"/>
                <w:sz w:val="20"/>
                <w:szCs w:val="20"/>
              </w:rPr>
              <w:t>Tinbergen (1962)</w:t>
            </w:r>
          </w:p>
        </w:tc>
        <w:tc>
          <w:tcPr>
            <w:tcW w:w="1028" w:type="dxa"/>
            <w:tcBorders>
              <w:top w:val="nil"/>
              <w:left w:val="nil"/>
              <w:bottom w:val="nil"/>
              <w:right w:val="nil"/>
            </w:tcBorders>
            <w:shd w:val="clear" w:color="auto" w:fill="auto"/>
            <w:noWrap/>
            <w:vAlign w:val="bottom"/>
            <w:hideMark/>
          </w:tcPr>
          <w:p w14:paraId="48392289" w14:textId="7F6C78AC"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C23E71" w:rsidRPr="000D20E9" w14:paraId="68AC2C9C"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2B3E65BE" w14:textId="7506DFE2" w:rsidR="00C23E71" w:rsidRPr="000D20E9" w:rsidRDefault="00C23E71" w:rsidP="000D20E9">
            <w:pPr>
              <w:spacing w:line="240" w:lineRule="exact"/>
              <w:rPr>
                <w:rFonts w:eastAsia="Times New Roman"/>
                <w:color w:val="000000"/>
                <w:sz w:val="20"/>
                <w:szCs w:val="20"/>
              </w:rPr>
            </w:pPr>
            <w:r w:rsidRPr="000D20E9">
              <w:rPr>
                <w:rFonts w:eastAsia="Times New Roman"/>
                <w:color w:val="000000"/>
                <w:sz w:val="20"/>
                <w:szCs w:val="20"/>
              </w:rPr>
              <w:t>LnD</w:t>
            </w:r>
          </w:p>
        </w:tc>
        <w:tc>
          <w:tcPr>
            <w:tcW w:w="1260" w:type="dxa"/>
            <w:tcBorders>
              <w:top w:val="nil"/>
              <w:left w:val="nil"/>
              <w:bottom w:val="nil"/>
              <w:right w:val="nil"/>
            </w:tcBorders>
            <w:shd w:val="clear" w:color="auto" w:fill="auto"/>
            <w:noWrap/>
            <w:vAlign w:val="center"/>
            <w:hideMark/>
          </w:tcPr>
          <w:p w14:paraId="78DA1EC0" w14:textId="7DDCBA2A"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8.</w:t>
            </w:r>
            <w:r>
              <w:rPr>
                <w:rFonts w:eastAsia="Times New Roman"/>
                <w:color w:val="000000"/>
                <w:sz w:val="20"/>
                <w:szCs w:val="20"/>
              </w:rPr>
              <w:t>434</w:t>
            </w:r>
          </w:p>
        </w:tc>
        <w:tc>
          <w:tcPr>
            <w:tcW w:w="1314" w:type="dxa"/>
            <w:tcBorders>
              <w:top w:val="nil"/>
              <w:left w:val="nil"/>
              <w:bottom w:val="nil"/>
              <w:right w:val="nil"/>
            </w:tcBorders>
            <w:shd w:val="clear" w:color="auto" w:fill="auto"/>
            <w:noWrap/>
            <w:vAlign w:val="center"/>
            <w:hideMark/>
          </w:tcPr>
          <w:p w14:paraId="62DAA282" w14:textId="4528AE14"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w:t>
            </w:r>
            <w:r>
              <w:rPr>
                <w:rFonts w:eastAsia="Times New Roman"/>
                <w:color w:val="000000"/>
                <w:sz w:val="20"/>
                <w:szCs w:val="20"/>
              </w:rPr>
              <w:t>011</w:t>
            </w:r>
          </w:p>
        </w:tc>
        <w:tc>
          <w:tcPr>
            <w:tcW w:w="936" w:type="dxa"/>
            <w:tcBorders>
              <w:top w:val="nil"/>
              <w:left w:val="nil"/>
              <w:bottom w:val="nil"/>
              <w:right w:val="nil"/>
            </w:tcBorders>
            <w:shd w:val="clear" w:color="auto" w:fill="auto"/>
            <w:noWrap/>
            <w:vAlign w:val="center"/>
            <w:hideMark/>
          </w:tcPr>
          <w:p w14:paraId="789951AE" w14:textId="11812F0A"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5.861</w:t>
            </w:r>
          </w:p>
        </w:tc>
        <w:tc>
          <w:tcPr>
            <w:tcW w:w="1080" w:type="dxa"/>
            <w:tcBorders>
              <w:top w:val="nil"/>
              <w:left w:val="nil"/>
              <w:bottom w:val="nil"/>
              <w:right w:val="nil"/>
            </w:tcBorders>
            <w:shd w:val="clear" w:color="auto" w:fill="auto"/>
            <w:noWrap/>
            <w:vAlign w:val="center"/>
            <w:hideMark/>
          </w:tcPr>
          <w:p w14:paraId="2CDF751A" w14:textId="6BF76D87"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9.608</w:t>
            </w:r>
          </w:p>
        </w:tc>
        <w:tc>
          <w:tcPr>
            <w:tcW w:w="1852" w:type="dxa"/>
            <w:tcBorders>
              <w:top w:val="nil"/>
              <w:left w:val="nil"/>
              <w:bottom w:val="nil"/>
              <w:right w:val="nil"/>
            </w:tcBorders>
          </w:tcPr>
          <w:p w14:paraId="2489F63F" w14:textId="4F45A1D3" w:rsidR="00C23E71" w:rsidRPr="000D20E9" w:rsidRDefault="0091141B" w:rsidP="002049BB">
            <w:pPr>
              <w:spacing w:line="240" w:lineRule="exact"/>
              <w:rPr>
                <w:rFonts w:eastAsia="Times New Roman"/>
                <w:color w:val="000000"/>
                <w:sz w:val="20"/>
                <w:szCs w:val="20"/>
              </w:rPr>
            </w:pPr>
            <w:r>
              <w:rPr>
                <w:rFonts w:eastAsia="Times New Roman"/>
                <w:color w:val="000000"/>
                <w:sz w:val="20"/>
                <w:szCs w:val="20"/>
              </w:rPr>
              <w:t>Tinbergen (1962)</w:t>
            </w:r>
          </w:p>
        </w:tc>
        <w:tc>
          <w:tcPr>
            <w:tcW w:w="1028" w:type="dxa"/>
            <w:tcBorders>
              <w:top w:val="nil"/>
              <w:left w:val="nil"/>
              <w:bottom w:val="nil"/>
              <w:right w:val="nil"/>
            </w:tcBorders>
            <w:shd w:val="clear" w:color="auto" w:fill="auto"/>
            <w:noWrap/>
            <w:vAlign w:val="bottom"/>
            <w:hideMark/>
          </w:tcPr>
          <w:p w14:paraId="139C27B6" w14:textId="5EF97EFF"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C23E71" w:rsidRPr="000D20E9" w14:paraId="577AEBC1"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30383F0E" w14:textId="51950BF7" w:rsidR="00C23E71" w:rsidRPr="000D20E9" w:rsidRDefault="005F6FEB" w:rsidP="000D20E9">
            <w:pPr>
              <w:spacing w:line="240" w:lineRule="exact"/>
              <w:rPr>
                <w:rFonts w:eastAsia="Times New Roman"/>
                <w:color w:val="000000"/>
                <w:sz w:val="20"/>
                <w:szCs w:val="20"/>
              </w:rPr>
            </w:pPr>
            <w:r>
              <w:rPr>
                <w:rFonts w:eastAsia="Times New Roman"/>
                <w:color w:val="000000"/>
                <w:sz w:val="20"/>
                <w:szCs w:val="20"/>
              </w:rPr>
              <w:t>P</w:t>
            </w:r>
            <w:r w:rsidR="00C23E71" w:rsidRPr="000D20E9">
              <w:rPr>
                <w:rFonts w:eastAsia="Times New Roman"/>
                <w:color w:val="000000"/>
                <w:sz w:val="20"/>
                <w:szCs w:val="20"/>
              </w:rPr>
              <w:t>VN</w:t>
            </w:r>
          </w:p>
        </w:tc>
        <w:tc>
          <w:tcPr>
            <w:tcW w:w="1260" w:type="dxa"/>
            <w:tcBorders>
              <w:top w:val="nil"/>
              <w:left w:val="nil"/>
              <w:bottom w:val="nil"/>
              <w:right w:val="nil"/>
            </w:tcBorders>
            <w:shd w:val="clear" w:color="auto" w:fill="auto"/>
            <w:noWrap/>
            <w:vAlign w:val="center"/>
            <w:hideMark/>
          </w:tcPr>
          <w:p w14:paraId="084E3845" w14:textId="4BF5B6E4"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82.193</w:t>
            </w:r>
          </w:p>
        </w:tc>
        <w:tc>
          <w:tcPr>
            <w:tcW w:w="1314" w:type="dxa"/>
            <w:tcBorders>
              <w:top w:val="nil"/>
              <w:left w:val="nil"/>
              <w:bottom w:val="nil"/>
              <w:right w:val="nil"/>
            </w:tcBorders>
            <w:shd w:val="clear" w:color="auto" w:fill="auto"/>
            <w:noWrap/>
            <w:hideMark/>
          </w:tcPr>
          <w:p w14:paraId="3BD15B5A" w14:textId="5FD2AF49" w:rsidR="00C23E71" w:rsidRPr="000D20E9" w:rsidRDefault="00C23E71" w:rsidP="000D20E9">
            <w:pPr>
              <w:spacing w:line="240" w:lineRule="exact"/>
              <w:jc w:val="center"/>
              <w:rPr>
                <w:rFonts w:eastAsia="Times New Roman"/>
                <w:color w:val="000000"/>
                <w:sz w:val="20"/>
                <w:szCs w:val="20"/>
              </w:rPr>
            </w:pPr>
            <w:r w:rsidRPr="000D20E9">
              <w:rPr>
                <w:sz w:val="20"/>
                <w:szCs w:val="20"/>
              </w:rPr>
              <w:t>5.844</w:t>
            </w:r>
          </w:p>
        </w:tc>
        <w:tc>
          <w:tcPr>
            <w:tcW w:w="936" w:type="dxa"/>
            <w:tcBorders>
              <w:top w:val="nil"/>
              <w:left w:val="nil"/>
              <w:bottom w:val="nil"/>
              <w:right w:val="nil"/>
            </w:tcBorders>
            <w:shd w:val="clear" w:color="auto" w:fill="auto"/>
            <w:noWrap/>
            <w:hideMark/>
          </w:tcPr>
          <w:p w14:paraId="69AA4C95" w14:textId="3BB29D69" w:rsidR="00C23E71" w:rsidRPr="000D20E9" w:rsidRDefault="00C23E71" w:rsidP="000D20E9">
            <w:pPr>
              <w:spacing w:line="240" w:lineRule="exact"/>
              <w:jc w:val="center"/>
              <w:rPr>
                <w:rFonts w:eastAsia="Times New Roman"/>
                <w:color w:val="000000"/>
                <w:sz w:val="20"/>
                <w:szCs w:val="20"/>
              </w:rPr>
            </w:pPr>
            <w:r w:rsidRPr="000D20E9">
              <w:rPr>
                <w:sz w:val="20"/>
                <w:szCs w:val="20"/>
              </w:rPr>
              <w:t>71.995</w:t>
            </w:r>
          </w:p>
        </w:tc>
        <w:tc>
          <w:tcPr>
            <w:tcW w:w="1080" w:type="dxa"/>
            <w:tcBorders>
              <w:top w:val="nil"/>
              <w:left w:val="nil"/>
              <w:bottom w:val="nil"/>
              <w:right w:val="nil"/>
            </w:tcBorders>
            <w:shd w:val="clear" w:color="auto" w:fill="auto"/>
            <w:noWrap/>
            <w:hideMark/>
          </w:tcPr>
          <w:p w14:paraId="4548D582" w14:textId="23FF5C3B" w:rsidR="00C23E71" w:rsidRPr="000D20E9" w:rsidRDefault="00C23E71" w:rsidP="000D20E9">
            <w:pPr>
              <w:spacing w:line="240" w:lineRule="exact"/>
              <w:jc w:val="center"/>
              <w:rPr>
                <w:rFonts w:eastAsia="Times New Roman"/>
                <w:color w:val="000000"/>
                <w:sz w:val="20"/>
                <w:szCs w:val="20"/>
              </w:rPr>
            </w:pPr>
            <w:r w:rsidRPr="000D20E9">
              <w:rPr>
                <w:sz w:val="20"/>
                <w:szCs w:val="20"/>
              </w:rPr>
              <w:t>91.703</w:t>
            </w:r>
          </w:p>
        </w:tc>
        <w:tc>
          <w:tcPr>
            <w:tcW w:w="1852" w:type="dxa"/>
            <w:tcBorders>
              <w:top w:val="nil"/>
              <w:left w:val="nil"/>
              <w:bottom w:val="nil"/>
              <w:right w:val="nil"/>
            </w:tcBorders>
          </w:tcPr>
          <w:p w14:paraId="550B664E" w14:textId="1977AD87" w:rsidR="00C23E71" w:rsidRPr="000D20E9" w:rsidRDefault="0091141B" w:rsidP="002049BB">
            <w:pPr>
              <w:spacing w:line="240" w:lineRule="exact"/>
              <w:rPr>
                <w:rFonts w:eastAsia="Times New Roman"/>
                <w:color w:val="000000"/>
                <w:sz w:val="20"/>
                <w:szCs w:val="20"/>
              </w:rPr>
            </w:pPr>
            <w:r>
              <w:rPr>
                <w:rFonts w:eastAsia="Times New Roman"/>
                <w:color w:val="000000"/>
                <w:sz w:val="20"/>
                <w:szCs w:val="20"/>
              </w:rPr>
              <w:t>Linnemann (1966)</w:t>
            </w:r>
          </w:p>
        </w:tc>
        <w:tc>
          <w:tcPr>
            <w:tcW w:w="1028" w:type="dxa"/>
            <w:tcBorders>
              <w:top w:val="nil"/>
              <w:left w:val="nil"/>
              <w:bottom w:val="nil"/>
              <w:right w:val="nil"/>
            </w:tcBorders>
            <w:shd w:val="clear" w:color="auto" w:fill="auto"/>
            <w:noWrap/>
            <w:vAlign w:val="bottom"/>
            <w:hideMark/>
          </w:tcPr>
          <w:p w14:paraId="1633ACDA" w14:textId="5BB8A128"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C23E71" w:rsidRPr="000D20E9" w14:paraId="27581481" w14:textId="77777777" w:rsidTr="00EF77A1">
        <w:trPr>
          <w:trHeight w:val="300"/>
          <w:jc w:val="center"/>
        </w:trPr>
        <w:tc>
          <w:tcPr>
            <w:tcW w:w="1260" w:type="dxa"/>
            <w:tcBorders>
              <w:top w:val="nil"/>
              <w:left w:val="nil"/>
              <w:bottom w:val="single" w:sz="4" w:space="0" w:color="auto"/>
              <w:right w:val="nil"/>
            </w:tcBorders>
            <w:shd w:val="clear" w:color="auto" w:fill="auto"/>
            <w:noWrap/>
            <w:vAlign w:val="center"/>
            <w:hideMark/>
          </w:tcPr>
          <w:p w14:paraId="21B32CAC" w14:textId="3140A70C" w:rsidR="00C23E71" w:rsidRPr="000D20E9" w:rsidRDefault="005F6FEB" w:rsidP="000D20E9">
            <w:pPr>
              <w:spacing w:line="240" w:lineRule="exact"/>
              <w:rPr>
                <w:rFonts w:eastAsia="Times New Roman"/>
                <w:color w:val="000000"/>
                <w:sz w:val="20"/>
                <w:szCs w:val="20"/>
              </w:rPr>
            </w:pPr>
            <w:r>
              <w:rPr>
                <w:rFonts w:eastAsia="Times New Roman"/>
                <w:color w:val="000000"/>
                <w:sz w:val="20"/>
                <w:szCs w:val="20"/>
              </w:rPr>
              <w:t>P</w:t>
            </w:r>
          </w:p>
        </w:tc>
        <w:tc>
          <w:tcPr>
            <w:tcW w:w="1260" w:type="dxa"/>
            <w:tcBorders>
              <w:top w:val="nil"/>
              <w:left w:val="nil"/>
              <w:bottom w:val="single" w:sz="4" w:space="0" w:color="auto"/>
              <w:right w:val="nil"/>
            </w:tcBorders>
            <w:shd w:val="clear" w:color="auto" w:fill="auto"/>
            <w:noWrap/>
            <w:vAlign w:val="center"/>
            <w:hideMark/>
          </w:tcPr>
          <w:p w14:paraId="42254F31" w14:textId="2C761555"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136.722</w:t>
            </w:r>
          </w:p>
        </w:tc>
        <w:tc>
          <w:tcPr>
            <w:tcW w:w="1314" w:type="dxa"/>
            <w:tcBorders>
              <w:top w:val="nil"/>
              <w:left w:val="nil"/>
              <w:bottom w:val="single" w:sz="4" w:space="0" w:color="auto"/>
              <w:right w:val="nil"/>
            </w:tcBorders>
            <w:shd w:val="clear" w:color="auto" w:fill="auto"/>
            <w:noWrap/>
            <w:vAlign w:val="center"/>
            <w:hideMark/>
          </w:tcPr>
          <w:p w14:paraId="2C5BD941" w14:textId="5495A0DC"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298.</w:t>
            </w:r>
            <w:r>
              <w:rPr>
                <w:rFonts w:eastAsia="Times New Roman"/>
                <w:color w:val="000000"/>
                <w:sz w:val="20"/>
                <w:szCs w:val="20"/>
              </w:rPr>
              <w:t>541</w:t>
            </w:r>
          </w:p>
        </w:tc>
        <w:tc>
          <w:tcPr>
            <w:tcW w:w="936" w:type="dxa"/>
            <w:tcBorders>
              <w:top w:val="nil"/>
              <w:left w:val="nil"/>
              <w:bottom w:val="single" w:sz="4" w:space="0" w:color="auto"/>
              <w:right w:val="nil"/>
            </w:tcBorders>
            <w:shd w:val="clear" w:color="auto" w:fill="auto"/>
            <w:noWrap/>
            <w:vAlign w:val="center"/>
            <w:hideMark/>
          </w:tcPr>
          <w:p w14:paraId="5AAA4CE8" w14:textId="12EFFA30"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 xml:space="preserve">3.524    </w:t>
            </w:r>
          </w:p>
        </w:tc>
        <w:tc>
          <w:tcPr>
            <w:tcW w:w="1080" w:type="dxa"/>
            <w:tcBorders>
              <w:top w:val="nil"/>
              <w:left w:val="nil"/>
              <w:bottom w:val="single" w:sz="4" w:space="0" w:color="auto"/>
              <w:right w:val="nil"/>
            </w:tcBorders>
            <w:shd w:val="clear" w:color="auto" w:fill="auto"/>
            <w:noWrap/>
            <w:vAlign w:val="center"/>
            <w:hideMark/>
          </w:tcPr>
          <w:p w14:paraId="52554642" w14:textId="0E8298C8"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1371.22</w:t>
            </w:r>
          </w:p>
        </w:tc>
        <w:tc>
          <w:tcPr>
            <w:tcW w:w="1852" w:type="dxa"/>
            <w:tcBorders>
              <w:top w:val="nil"/>
              <w:left w:val="nil"/>
              <w:bottom w:val="single" w:sz="4" w:space="0" w:color="auto"/>
              <w:right w:val="nil"/>
            </w:tcBorders>
          </w:tcPr>
          <w:p w14:paraId="60CC32C0" w14:textId="4717FF9C" w:rsidR="00C23E71" w:rsidRPr="000D20E9" w:rsidRDefault="0091141B" w:rsidP="002049BB">
            <w:pPr>
              <w:spacing w:line="240" w:lineRule="exact"/>
              <w:rPr>
                <w:rFonts w:eastAsia="Times New Roman"/>
                <w:color w:val="000000"/>
                <w:sz w:val="20"/>
                <w:szCs w:val="20"/>
              </w:rPr>
            </w:pPr>
            <w:r>
              <w:rPr>
                <w:rFonts w:eastAsia="Times New Roman"/>
                <w:color w:val="000000"/>
                <w:sz w:val="20"/>
                <w:szCs w:val="20"/>
              </w:rPr>
              <w:t>Linnemann (1966)</w:t>
            </w:r>
          </w:p>
        </w:tc>
        <w:tc>
          <w:tcPr>
            <w:tcW w:w="1028" w:type="dxa"/>
            <w:tcBorders>
              <w:top w:val="nil"/>
              <w:left w:val="nil"/>
              <w:bottom w:val="single" w:sz="4" w:space="0" w:color="auto"/>
              <w:right w:val="nil"/>
            </w:tcBorders>
            <w:shd w:val="clear" w:color="auto" w:fill="auto"/>
            <w:noWrap/>
            <w:vAlign w:val="bottom"/>
            <w:hideMark/>
          </w:tcPr>
          <w:p w14:paraId="2C7533FC" w14:textId="316091F5"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C23E71" w:rsidRPr="000D20E9" w14:paraId="4A102474"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7917570D" w14:textId="401A6B5B" w:rsidR="00C23E71" w:rsidRPr="000D20E9" w:rsidRDefault="00C23E71" w:rsidP="000D20E9">
            <w:pPr>
              <w:spacing w:line="240" w:lineRule="exact"/>
              <w:rPr>
                <w:rFonts w:eastAsia="Times New Roman"/>
                <w:color w:val="000000"/>
                <w:sz w:val="20"/>
                <w:szCs w:val="20"/>
              </w:rPr>
            </w:pPr>
            <w:r w:rsidRPr="000D20E9">
              <w:rPr>
                <w:rFonts w:eastAsia="Times New Roman"/>
                <w:color w:val="000000"/>
                <w:sz w:val="20"/>
                <w:szCs w:val="20"/>
              </w:rPr>
              <w:t>EF</w:t>
            </w:r>
          </w:p>
        </w:tc>
        <w:tc>
          <w:tcPr>
            <w:tcW w:w="1260" w:type="dxa"/>
            <w:tcBorders>
              <w:top w:val="nil"/>
              <w:left w:val="nil"/>
              <w:bottom w:val="nil"/>
              <w:right w:val="nil"/>
            </w:tcBorders>
            <w:shd w:val="clear" w:color="auto" w:fill="auto"/>
            <w:noWrap/>
            <w:vAlign w:val="center"/>
            <w:hideMark/>
          </w:tcPr>
          <w:p w14:paraId="5DB9DE9F" w14:textId="50C81262"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66.1</w:t>
            </w:r>
          </w:p>
        </w:tc>
        <w:tc>
          <w:tcPr>
            <w:tcW w:w="1314" w:type="dxa"/>
            <w:tcBorders>
              <w:top w:val="nil"/>
              <w:left w:val="nil"/>
              <w:bottom w:val="nil"/>
              <w:right w:val="nil"/>
            </w:tcBorders>
            <w:shd w:val="clear" w:color="auto" w:fill="auto"/>
            <w:noWrap/>
            <w:vAlign w:val="center"/>
            <w:hideMark/>
          </w:tcPr>
          <w:p w14:paraId="3E9E5E2B" w14:textId="59757EAF"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10.299</w:t>
            </w:r>
          </w:p>
        </w:tc>
        <w:tc>
          <w:tcPr>
            <w:tcW w:w="936" w:type="dxa"/>
            <w:tcBorders>
              <w:top w:val="nil"/>
              <w:left w:val="nil"/>
              <w:bottom w:val="nil"/>
              <w:right w:val="nil"/>
            </w:tcBorders>
            <w:shd w:val="clear" w:color="auto" w:fill="auto"/>
            <w:noWrap/>
            <w:vAlign w:val="center"/>
            <w:hideMark/>
          </w:tcPr>
          <w:p w14:paraId="5C8F5A61" w14:textId="5BF3B024"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33.5</w:t>
            </w:r>
          </w:p>
        </w:tc>
        <w:tc>
          <w:tcPr>
            <w:tcW w:w="1080" w:type="dxa"/>
            <w:tcBorders>
              <w:top w:val="nil"/>
              <w:left w:val="nil"/>
              <w:bottom w:val="nil"/>
              <w:right w:val="nil"/>
            </w:tcBorders>
            <w:shd w:val="clear" w:color="auto" w:fill="auto"/>
            <w:noWrap/>
            <w:vAlign w:val="center"/>
            <w:hideMark/>
          </w:tcPr>
          <w:p w14:paraId="028B3560" w14:textId="159104C7"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89.4</w:t>
            </w:r>
          </w:p>
        </w:tc>
        <w:tc>
          <w:tcPr>
            <w:tcW w:w="1852" w:type="dxa"/>
            <w:tcBorders>
              <w:top w:val="nil"/>
              <w:left w:val="nil"/>
              <w:bottom w:val="nil"/>
              <w:right w:val="nil"/>
            </w:tcBorders>
          </w:tcPr>
          <w:p w14:paraId="3B4C5BA6" w14:textId="3C84E402" w:rsidR="00C23E71" w:rsidRPr="000D20E9" w:rsidRDefault="00A02CCC" w:rsidP="002049BB">
            <w:pPr>
              <w:spacing w:line="240" w:lineRule="exact"/>
              <w:rPr>
                <w:rFonts w:eastAsia="Times New Roman"/>
                <w:color w:val="000000"/>
                <w:sz w:val="20"/>
                <w:szCs w:val="20"/>
              </w:rPr>
            </w:pPr>
            <w:r>
              <w:rPr>
                <w:rFonts w:eastAsia="Times New Roman"/>
                <w:color w:val="000000"/>
                <w:sz w:val="20"/>
                <w:szCs w:val="20"/>
              </w:rPr>
              <w:t>Wall (1999)</w:t>
            </w:r>
          </w:p>
        </w:tc>
        <w:tc>
          <w:tcPr>
            <w:tcW w:w="1028" w:type="dxa"/>
            <w:tcBorders>
              <w:top w:val="nil"/>
              <w:left w:val="nil"/>
              <w:bottom w:val="nil"/>
              <w:right w:val="nil"/>
            </w:tcBorders>
            <w:shd w:val="clear" w:color="auto" w:fill="auto"/>
            <w:noWrap/>
            <w:vAlign w:val="bottom"/>
            <w:hideMark/>
          </w:tcPr>
          <w:p w14:paraId="318B5A33" w14:textId="14C3EC49" w:rsidR="00C23E71" w:rsidRPr="000D20E9" w:rsidRDefault="00C23E71"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A02CCC" w:rsidRPr="000D20E9" w14:paraId="1C5CF903"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68536362" w14:textId="0CA89B98" w:rsidR="00A02CCC" w:rsidRPr="000D20E9" w:rsidRDefault="00A02CCC" w:rsidP="000D20E9">
            <w:pPr>
              <w:spacing w:line="240" w:lineRule="exact"/>
              <w:rPr>
                <w:rFonts w:eastAsia="Times New Roman"/>
                <w:color w:val="000000"/>
                <w:sz w:val="20"/>
                <w:szCs w:val="20"/>
              </w:rPr>
            </w:pPr>
            <w:r w:rsidRPr="000D20E9">
              <w:rPr>
                <w:rFonts w:eastAsia="Times New Roman"/>
                <w:color w:val="000000"/>
                <w:sz w:val="20"/>
                <w:szCs w:val="20"/>
              </w:rPr>
              <w:t>EFVN</w:t>
            </w:r>
          </w:p>
        </w:tc>
        <w:tc>
          <w:tcPr>
            <w:tcW w:w="1260" w:type="dxa"/>
            <w:tcBorders>
              <w:top w:val="nil"/>
              <w:left w:val="nil"/>
              <w:bottom w:val="nil"/>
              <w:right w:val="nil"/>
            </w:tcBorders>
            <w:shd w:val="clear" w:color="auto" w:fill="auto"/>
            <w:noWrap/>
            <w:vAlign w:val="center"/>
            <w:hideMark/>
          </w:tcPr>
          <w:p w14:paraId="65CCC9A1" w14:textId="4B72BCD9"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46.925</w:t>
            </w:r>
          </w:p>
        </w:tc>
        <w:tc>
          <w:tcPr>
            <w:tcW w:w="1314" w:type="dxa"/>
            <w:tcBorders>
              <w:top w:val="nil"/>
              <w:left w:val="nil"/>
              <w:bottom w:val="nil"/>
              <w:right w:val="nil"/>
            </w:tcBorders>
            <w:shd w:val="clear" w:color="auto" w:fill="auto"/>
            <w:noWrap/>
            <w:vAlign w:val="center"/>
            <w:hideMark/>
          </w:tcPr>
          <w:p w14:paraId="7C600804" w14:textId="40ED3194"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4.246</w:t>
            </w:r>
          </w:p>
        </w:tc>
        <w:tc>
          <w:tcPr>
            <w:tcW w:w="936" w:type="dxa"/>
            <w:tcBorders>
              <w:top w:val="nil"/>
              <w:left w:val="nil"/>
              <w:bottom w:val="nil"/>
              <w:right w:val="nil"/>
            </w:tcBorders>
            <w:shd w:val="clear" w:color="auto" w:fill="auto"/>
            <w:noWrap/>
            <w:vAlign w:val="center"/>
            <w:hideMark/>
          </w:tcPr>
          <w:p w14:paraId="0B207C30" w14:textId="3D58168C"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38.6</w:t>
            </w:r>
          </w:p>
        </w:tc>
        <w:tc>
          <w:tcPr>
            <w:tcW w:w="1080" w:type="dxa"/>
            <w:tcBorders>
              <w:top w:val="nil"/>
              <w:left w:val="nil"/>
              <w:bottom w:val="nil"/>
              <w:right w:val="nil"/>
            </w:tcBorders>
            <w:shd w:val="clear" w:color="auto" w:fill="auto"/>
            <w:noWrap/>
            <w:vAlign w:val="center"/>
            <w:hideMark/>
          </w:tcPr>
          <w:p w14:paraId="7849054A" w14:textId="15DE4AE5"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51.7</w:t>
            </w:r>
          </w:p>
        </w:tc>
        <w:tc>
          <w:tcPr>
            <w:tcW w:w="1852" w:type="dxa"/>
            <w:tcBorders>
              <w:top w:val="nil"/>
              <w:left w:val="nil"/>
              <w:bottom w:val="nil"/>
              <w:right w:val="nil"/>
            </w:tcBorders>
          </w:tcPr>
          <w:p w14:paraId="65F8316E" w14:textId="0E9C96AE" w:rsidR="00A02CCC" w:rsidRPr="000D20E9" w:rsidRDefault="00A02CCC" w:rsidP="002049BB">
            <w:pPr>
              <w:spacing w:line="240" w:lineRule="exact"/>
              <w:rPr>
                <w:rFonts w:eastAsia="Times New Roman"/>
                <w:color w:val="000000"/>
                <w:sz w:val="20"/>
                <w:szCs w:val="20"/>
              </w:rPr>
            </w:pPr>
            <w:r>
              <w:rPr>
                <w:rFonts w:eastAsia="Times New Roman"/>
                <w:color w:val="000000"/>
                <w:sz w:val="20"/>
                <w:szCs w:val="20"/>
              </w:rPr>
              <w:t>Wall (1999)</w:t>
            </w:r>
          </w:p>
        </w:tc>
        <w:tc>
          <w:tcPr>
            <w:tcW w:w="1028" w:type="dxa"/>
            <w:tcBorders>
              <w:top w:val="nil"/>
              <w:left w:val="nil"/>
              <w:bottom w:val="nil"/>
              <w:right w:val="nil"/>
            </w:tcBorders>
            <w:shd w:val="clear" w:color="auto" w:fill="auto"/>
            <w:noWrap/>
            <w:vAlign w:val="bottom"/>
            <w:hideMark/>
          </w:tcPr>
          <w:p w14:paraId="245CEF81" w14:textId="7B64D2CE"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A02CCC" w:rsidRPr="000D20E9" w14:paraId="177775F4" w14:textId="77777777" w:rsidTr="00EF77A1">
        <w:trPr>
          <w:trHeight w:val="300"/>
          <w:jc w:val="center"/>
        </w:trPr>
        <w:tc>
          <w:tcPr>
            <w:tcW w:w="1260" w:type="dxa"/>
            <w:tcBorders>
              <w:top w:val="nil"/>
              <w:left w:val="nil"/>
              <w:bottom w:val="nil"/>
              <w:right w:val="nil"/>
            </w:tcBorders>
            <w:shd w:val="clear" w:color="auto" w:fill="auto"/>
            <w:noWrap/>
            <w:vAlign w:val="center"/>
            <w:hideMark/>
          </w:tcPr>
          <w:p w14:paraId="35C9B711" w14:textId="55A7FFE0" w:rsidR="00A02CCC" w:rsidRPr="000D20E9" w:rsidRDefault="00A02CCC" w:rsidP="000D20E9">
            <w:pPr>
              <w:spacing w:line="240" w:lineRule="exact"/>
              <w:rPr>
                <w:rFonts w:eastAsia="Times New Roman"/>
                <w:color w:val="000000"/>
                <w:sz w:val="20"/>
                <w:szCs w:val="20"/>
              </w:rPr>
            </w:pPr>
            <w:r w:rsidRPr="000D20E9">
              <w:rPr>
                <w:rFonts w:eastAsia="Times New Roman"/>
                <w:color w:val="000000"/>
                <w:sz w:val="20"/>
                <w:szCs w:val="20"/>
              </w:rPr>
              <w:t>TR</w:t>
            </w:r>
          </w:p>
        </w:tc>
        <w:tc>
          <w:tcPr>
            <w:tcW w:w="1260" w:type="dxa"/>
            <w:tcBorders>
              <w:top w:val="nil"/>
              <w:left w:val="nil"/>
              <w:bottom w:val="nil"/>
              <w:right w:val="nil"/>
            </w:tcBorders>
            <w:shd w:val="clear" w:color="auto" w:fill="auto"/>
            <w:noWrap/>
            <w:vAlign w:val="center"/>
            <w:hideMark/>
          </w:tcPr>
          <w:p w14:paraId="661A8C98" w14:textId="0E7D933C"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5.763</w:t>
            </w:r>
          </w:p>
        </w:tc>
        <w:tc>
          <w:tcPr>
            <w:tcW w:w="1314" w:type="dxa"/>
            <w:tcBorders>
              <w:top w:val="nil"/>
              <w:left w:val="nil"/>
              <w:bottom w:val="nil"/>
              <w:right w:val="nil"/>
            </w:tcBorders>
            <w:shd w:val="clear" w:color="auto" w:fill="auto"/>
            <w:noWrap/>
            <w:vAlign w:val="center"/>
            <w:hideMark/>
          </w:tcPr>
          <w:p w14:paraId="239087D9" w14:textId="538AA4E0"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5.974</w:t>
            </w:r>
          </w:p>
        </w:tc>
        <w:tc>
          <w:tcPr>
            <w:tcW w:w="936" w:type="dxa"/>
            <w:tcBorders>
              <w:top w:val="nil"/>
              <w:left w:val="nil"/>
              <w:bottom w:val="nil"/>
              <w:right w:val="nil"/>
            </w:tcBorders>
            <w:shd w:val="clear" w:color="auto" w:fill="auto"/>
            <w:noWrap/>
            <w:vAlign w:val="center"/>
            <w:hideMark/>
          </w:tcPr>
          <w:p w14:paraId="7AB8677F" w14:textId="77777777"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0</w:t>
            </w:r>
          </w:p>
        </w:tc>
        <w:tc>
          <w:tcPr>
            <w:tcW w:w="1080" w:type="dxa"/>
            <w:tcBorders>
              <w:top w:val="nil"/>
              <w:left w:val="nil"/>
              <w:bottom w:val="nil"/>
              <w:right w:val="nil"/>
            </w:tcBorders>
            <w:shd w:val="clear" w:color="auto" w:fill="auto"/>
            <w:noWrap/>
            <w:vAlign w:val="center"/>
            <w:hideMark/>
          </w:tcPr>
          <w:p w14:paraId="0F6760E9" w14:textId="18BCDBBF"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56.4</w:t>
            </w:r>
          </w:p>
        </w:tc>
        <w:tc>
          <w:tcPr>
            <w:tcW w:w="1852" w:type="dxa"/>
            <w:tcBorders>
              <w:top w:val="nil"/>
              <w:left w:val="nil"/>
              <w:bottom w:val="nil"/>
              <w:right w:val="nil"/>
            </w:tcBorders>
          </w:tcPr>
          <w:p w14:paraId="2B405B5A" w14:textId="28775752" w:rsidR="00A02CCC" w:rsidRPr="000D20E9" w:rsidRDefault="00A02CCC" w:rsidP="002049BB">
            <w:pPr>
              <w:spacing w:line="240" w:lineRule="exact"/>
              <w:rPr>
                <w:rFonts w:eastAsia="Times New Roman"/>
                <w:color w:val="000000"/>
                <w:sz w:val="20"/>
                <w:szCs w:val="20"/>
              </w:rPr>
            </w:pPr>
            <w:r>
              <w:rPr>
                <w:rFonts w:eastAsia="Times New Roman"/>
                <w:color w:val="000000"/>
                <w:sz w:val="20"/>
                <w:szCs w:val="20"/>
              </w:rPr>
              <w:t>Linnemann (1966)</w:t>
            </w:r>
          </w:p>
        </w:tc>
        <w:tc>
          <w:tcPr>
            <w:tcW w:w="1028" w:type="dxa"/>
            <w:tcBorders>
              <w:top w:val="nil"/>
              <w:left w:val="nil"/>
              <w:bottom w:val="nil"/>
              <w:right w:val="nil"/>
            </w:tcBorders>
            <w:shd w:val="clear" w:color="auto" w:fill="auto"/>
            <w:noWrap/>
            <w:vAlign w:val="bottom"/>
            <w:hideMark/>
          </w:tcPr>
          <w:p w14:paraId="0BFD822B" w14:textId="7D8D27E4"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A02CCC" w:rsidRPr="000D20E9" w14:paraId="7402BD51" w14:textId="77777777" w:rsidTr="00EF77A1">
        <w:trPr>
          <w:trHeight w:val="300"/>
          <w:jc w:val="center"/>
        </w:trPr>
        <w:tc>
          <w:tcPr>
            <w:tcW w:w="1260" w:type="dxa"/>
            <w:tcBorders>
              <w:top w:val="nil"/>
              <w:left w:val="nil"/>
              <w:right w:val="nil"/>
            </w:tcBorders>
            <w:shd w:val="clear" w:color="auto" w:fill="auto"/>
            <w:noWrap/>
            <w:vAlign w:val="center"/>
            <w:hideMark/>
          </w:tcPr>
          <w:p w14:paraId="5CF4CC4F" w14:textId="6B765DB0" w:rsidR="00A02CCC" w:rsidRPr="000D20E9" w:rsidRDefault="00A02CCC" w:rsidP="000D20E9">
            <w:pPr>
              <w:spacing w:line="240" w:lineRule="exact"/>
              <w:rPr>
                <w:rFonts w:eastAsia="Times New Roman"/>
                <w:color w:val="000000"/>
                <w:sz w:val="20"/>
                <w:szCs w:val="20"/>
              </w:rPr>
            </w:pPr>
            <w:r w:rsidRPr="000D20E9">
              <w:rPr>
                <w:rFonts w:eastAsia="Times New Roman"/>
                <w:color w:val="000000"/>
                <w:sz w:val="20"/>
                <w:szCs w:val="20"/>
              </w:rPr>
              <w:t>TRVN</w:t>
            </w:r>
          </w:p>
        </w:tc>
        <w:tc>
          <w:tcPr>
            <w:tcW w:w="1260" w:type="dxa"/>
            <w:tcBorders>
              <w:top w:val="nil"/>
              <w:left w:val="nil"/>
              <w:right w:val="nil"/>
            </w:tcBorders>
            <w:shd w:val="clear" w:color="auto" w:fill="auto"/>
            <w:noWrap/>
            <w:vAlign w:val="center"/>
            <w:hideMark/>
          </w:tcPr>
          <w:p w14:paraId="09542CF0" w14:textId="293A8D42"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11.434</w:t>
            </w:r>
          </w:p>
        </w:tc>
        <w:tc>
          <w:tcPr>
            <w:tcW w:w="1314" w:type="dxa"/>
            <w:tcBorders>
              <w:top w:val="nil"/>
              <w:left w:val="nil"/>
              <w:right w:val="nil"/>
            </w:tcBorders>
            <w:shd w:val="clear" w:color="auto" w:fill="auto"/>
            <w:noWrap/>
            <w:vAlign w:val="center"/>
            <w:hideMark/>
          </w:tcPr>
          <w:p w14:paraId="7D4C98A6" w14:textId="1D024D81"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3.487</w:t>
            </w:r>
          </w:p>
        </w:tc>
        <w:tc>
          <w:tcPr>
            <w:tcW w:w="936" w:type="dxa"/>
            <w:tcBorders>
              <w:top w:val="nil"/>
              <w:left w:val="nil"/>
              <w:right w:val="nil"/>
            </w:tcBorders>
            <w:shd w:val="clear" w:color="auto" w:fill="auto"/>
            <w:noWrap/>
            <w:vAlign w:val="center"/>
            <w:hideMark/>
          </w:tcPr>
          <w:p w14:paraId="7E89119C" w14:textId="0D9302BB"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6.63</w:t>
            </w:r>
          </w:p>
        </w:tc>
        <w:tc>
          <w:tcPr>
            <w:tcW w:w="1080" w:type="dxa"/>
            <w:tcBorders>
              <w:top w:val="nil"/>
              <w:left w:val="nil"/>
              <w:right w:val="nil"/>
            </w:tcBorders>
            <w:shd w:val="clear" w:color="auto" w:fill="auto"/>
            <w:noWrap/>
            <w:vAlign w:val="center"/>
            <w:hideMark/>
          </w:tcPr>
          <w:p w14:paraId="6B7590DE" w14:textId="323620F9"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15.57</w:t>
            </w:r>
          </w:p>
        </w:tc>
        <w:tc>
          <w:tcPr>
            <w:tcW w:w="1852" w:type="dxa"/>
            <w:tcBorders>
              <w:top w:val="nil"/>
              <w:left w:val="nil"/>
              <w:right w:val="nil"/>
            </w:tcBorders>
          </w:tcPr>
          <w:p w14:paraId="38611F22" w14:textId="055DA3F6" w:rsidR="00A02CCC" w:rsidRPr="000D20E9" w:rsidRDefault="00A02CCC" w:rsidP="002049BB">
            <w:pPr>
              <w:spacing w:line="240" w:lineRule="exact"/>
              <w:rPr>
                <w:rFonts w:eastAsia="Times New Roman"/>
                <w:color w:val="000000"/>
                <w:sz w:val="20"/>
                <w:szCs w:val="20"/>
              </w:rPr>
            </w:pPr>
            <w:r>
              <w:rPr>
                <w:rFonts w:eastAsia="Times New Roman"/>
                <w:color w:val="000000"/>
                <w:sz w:val="20"/>
                <w:szCs w:val="20"/>
              </w:rPr>
              <w:t>Linnemann (1966)</w:t>
            </w:r>
          </w:p>
        </w:tc>
        <w:tc>
          <w:tcPr>
            <w:tcW w:w="1028" w:type="dxa"/>
            <w:tcBorders>
              <w:top w:val="nil"/>
              <w:left w:val="nil"/>
              <w:right w:val="nil"/>
            </w:tcBorders>
            <w:shd w:val="clear" w:color="auto" w:fill="auto"/>
            <w:noWrap/>
            <w:vAlign w:val="bottom"/>
            <w:hideMark/>
          </w:tcPr>
          <w:p w14:paraId="184396F4" w14:textId="5EFD598B" w:rsidR="00A02CCC" w:rsidRPr="000D20E9" w:rsidRDefault="00A02CCC"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9E0777" w:rsidRPr="000D20E9" w14:paraId="34EE368A" w14:textId="77777777" w:rsidTr="00EF77A1">
        <w:trPr>
          <w:trHeight w:val="300"/>
          <w:jc w:val="center"/>
        </w:trPr>
        <w:tc>
          <w:tcPr>
            <w:tcW w:w="1260" w:type="dxa"/>
            <w:tcBorders>
              <w:top w:val="nil"/>
              <w:left w:val="nil"/>
              <w:right w:val="nil"/>
            </w:tcBorders>
            <w:shd w:val="clear" w:color="auto" w:fill="auto"/>
            <w:noWrap/>
            <w:vAlign w:val="center"/>
          </w:tcPr>
          <w:p w14:paraId="2825D2D9" w14:textId="77777777" w:rsidR="009E0777" w:rsidRPr="000D20E9" w:rsidRDefault="009E0777" w:rsidP="000D20E9">
            <w:pPr>
              <w:spacing w:line="240" w:lineRule="exact"/>
              <w:rPr>
                <w:rFonts w:eastAsia="Times New Roman"/>
                <w:color w:val="000000"/>
                <w:sz w:val="20"/>
                <w:szCs w:val="20"/>
              </w:rPr>
            </w:pPr>
            <w:r w:rsidRPr="000D20E9">
              <w:rPr>
                <w:rFonts w:eastAsia="Times New Roman"/>
                <w:color w:val="000000"/>
                <w:sz w:val="20"/>
                <w:szCs w:val="20"/>
              </w:rPr>
              <w:t>LnREER</w:t>
            </w:r>
          </w:p>
        </w:tc>
        <w:tc>
          <w:tcPr>
            <w:tcW w:w="1260" w:type="dxa"/>
            <w:tcBorders>
              <w:top w:val="nil"/>
              <w:left w:val="nil"/>
              <w:right w:val="nil"/>
            </w:tcBorders>
            <w:shd w:val="clear" w:color="auto" w:fill="auto"/>
            <w:noWrap/>
            <w:vAlign w:val="center"/>
          </w:tcPr>
          <w:p w14:paraId="558E28F3" w14:textId="7862B45C"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4.606</w:t>
            </w:r>
          </w:p>
        </w:tc>
        <w:tc>
          <w:tcPr>
            <w:tcW w:w="1314" w:type="dxa"/>
            <w:tcBorders>
              <w:top w:val="nil"/>
              <w:left w:val="nil"/>
              <w:right w:val="nil"/>
            </w:tcBorders>
            <w:shd w:val="clear" w:color="auto" w:fill="auto"/>
            <w:noWrap/>
            <w:vAlign w:val="center"/>
          </w:tcPr>
          <w:p w14:paraId="49C5D75B" w14:textId="7C6415CB"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0.300</w:t>
            </w:r>
          </w:p>
        </w:tc>
        <w:tc>
          <w:tcPr>
            <w:tcW w:w="936" w:type="dxa"/>
            <w:tcBorders>
              <w:top w:val="nil"/>
              <w:left w:val="nil"/>
              <w:right w:val="nil"/>
            </w:tcBorders>
            <w:shd w:val="clear" w:color="auto" w:fill="auto"/>
            <w:noWrap/>
            <w:vAlign w:val="center"/>
          </w:tcPr>
          <w:p w14:paraId="45E3992C" w14:textId="41F9C33B"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2.497</w:t>
            </w:r>
          </w:p>
        </w:tc>
        <w:tc>
          <w:tcPr>
            <w:tcW w:w="1080" w:type="dxa"/>
            <w:tcBorders>
              <w:top w:val="nil"/>
              <w:left w:val="nil"/>
              <w:right w:val="nil"/>
            </w:tcBorders>
            <w:shd w:val="clear" w:color="auto" w:fill="auto"/>
            <w:noWrap/>
            <w:vAlign w:val="center"/>
          </w:tcPr>
          <w:p w14:paraId="47780207" w14:textId="140ACD00"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7.136</w:t>
            </w:r>
          </w:p>
        </w:tc>
        <w:tc>
          <w:tcPr>
            <w:tcW w:w="1852" w:type="dxa"/>
            <w:tcBorders>
              <w:top w:val="nil"/>
              <w:left w:val="nil"/>
              <w:right w:val="nil"/>
            </w:tcBorders>
          </w:tcPr>
          <w:p w14:paraId="34AC1ED6" w14:textId="545985F1" w:rsidR="009E0777" w:rsidRPr="000D20E9" w:rsidRDefault="002049BB" w:rsidP="002049BB">
            <w:pPr>
              <w:spacing w:line="240" w:lineRule="exact"/>
              <w:rPr>
                <w:rFonts w:eastAsia="Times New Roman"/>
                <w:color w:val="000000"/>
                <w:sz w:val="20"/>
                <w:szCs w:val="20"/>
              </w:rPr>
            </w:pPr>
            <w:r>
              <w:rPr>
                <w:rFonts w:eastAsia="Times New Roman"/>
                <w:color w:val="000000"/>
                <w:sz w:val="20"/>
                <w:szCs w:val="20"/>
              </w:rPr>
              <w:t>Anderson &amp; Wincoop (2003)</w:t>
            </w:r>
          </w:p>
        </w:tc>
        <w:tc>
          <w:tcPr>
            <w:tcW w:w="1028" w:type="dxa"/>
            <w:tcBorders>
              <w:top w:val="nil"/>
              <w:left w:val="nil"/>
              <w:right w:val="nil"/>
            </w:tcBorders>
            <w:shd w:val="clear" w:color="auto" w:fill="auto"/>
            <w:noWrap/>
            <w:vAlign w:val="bottom"/>
          </w:tcPr>
          <w:p w14:paraId="61F2A699" w14:textId="00F43BF0"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r w:rsidR="009E0777" w:rsidRPr="000D20E9" w14:paraId="30CA2023" w14:textId="77777777" w:rsidTr="00EF77A1">
        <w:trPr>
          <w:trHeight w:val="300"/>
          <w:jc w:val="center"/>
        </w:trPr>
        <w:tc>
          <w:tcPr>
            <w:tcW w:w="1260" w:type="dxa"/>
            <w:tcBorders>
              <w:top w:val="nil"/>
              <w:left w:val="nil"/>
              <w:bottom w:val="single" w:sz="4" w:space="0" w:color="auto"/>
              <w:right w:val="nil"/>
            </w:tcBorders>
            <w:shd w:val="clear" w:color="auto" w:fill="auto"/>
            <w:noWrap/>
            <w:vAlign w:val="center"/>
          </w:tcPr>
          <w:p w14:paraId="31AF28BF" w14:textId="77777777" w:rsidR="009E0777" w:rsidRPr="000D20E9" w:rsidRDefault="009E0777" w:rsidP="000D20E9">
            <w:pPr>
              <w:spacing w:line="240" w:lineRule="exact"/>
              <w:rPr>
                <w:rFonts w:eastAsia="Times New Roman"/>
                <w:color w:val="000000"/>
                <w:sz w:val="20"/>
                <w:szCs w:val="20"/>
              </w:rPr>
            </w:pPr>
            <w:r w:rsidRPr="000D20E9">
              <w:rPr>
                <w:rFonts w:eastAsia="Times New Roman"/>
                <w:color w:val="000000"/>
                <w:sz w:val="20"/>
                <w:szCs w:val="20"/>
              </w:rPr>
              <w:t>LnREERVN</w:t>
            </w:r>
          </w:p>
        </w:tc>
        <w:tc>
          <w:tcPr>
            <w:tcW w:w="1260" w:type="dxa"/>
            <w:tcBorders>
              <w:top w:val="nil"/>
              <w:left w:val="nil"/>
              <w:bottom w:val="single" w:sz="4" w:space="0" w:color="auto"/>
              <w:right w:val="nil"/>
            </w:tcBorders>
            <w:shd w:val="clear" w:color="auto" w:fill="auto"/>
            <w:noWrap/>
            <w:vAlign w:val="center"/>
          </w:tcPr>
          <w:p w14:paraId="49568055" w14:textId="575860B4"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4.705</w:t>
            </w:r>
          </w:p>
        </w:tc>
        <w:tc>
          <w:tcPr>
            <w:tcW w:w="1314" w:type="dxa"/>
            <w:tcBorders>
              <w:top w:val="nil"/>
              <w:left w:val="nil"/>
              <w:bottom w:val="single" w:sz="4" w:space="0" w:color="auto"/>
              <w:right w:val="nil"/>
            </w:tcBorders>
            <w:shd w:val="clear" w:color="auto" w:fill="auto"/>
            <w:noWrap/>
            <w:vAlign w:val="center"/>
          </w:tcPr>
          <w:p w14:paraId="168618F8" w14:textId="08400E0E"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0.149</w:t>
            </w:r>
          </w:p>
        </w:tc>
        <w:tc>
          <w:tcPr>
            <w:tcW w:w="936" w:type="dxa"/>
            <w:tcBorders>
              <w:top w:val="nil"/>
              <w:left w:val="nil"/>
              <w:bottom w:val="single" w:sz="4" w:space="0" w:color="auto"/>
              <w:right w:val="nil"/>
            </w:tcBorders>
            <w:shd w:val="clear" w:color="auto" w:fill="auto"/>
            <w:noWrap/>
            <w:vAlign w:val="center"/>
          </w:tcPr>
          <w:p w14:paraId="31789EA3" w14:textId="76ED4A15"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4.478</w:t>
            </w:r>
          </w:p>
        </w:tc>
        <w:tc>
          <w:tcPr>
            <w:tcW w:w="1080" w:type="dxa"/>
            <w:tcBorders>
              <w:top w:val="nil"/>
              <w:left w:val="nil"/>
              <w:bottom w:val="single" w:sz="4" w:space="0" w:color="auto"/>
              <w:right w:val="nil"/>
            </w:tcBorders>
            <w:shd w:val="clear" w:color="auto" w:fill="auto"/>
            <w:noWrap/>
            <w:vAlign w:val="center"/>
          </w:tcPr>
          <w:p w14:paraId="7B6AA40F" w14:textId="22858287"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4.978</w:t>
            </w:r>
          </w:p>
        </w:tc>
        <w:tc>
          <w:tcPr>
            <w:tcW w:w="1852" w:type="dxa"/>
            <w:tcBorders>
              <w:top w:val="nil"/>
              <w:left w:val="nil"/>
              <w:bottom w:val="single" w:sz="4" w:space="0" w:color="auto"/>
              <w:right w:val="nil"/>
            </w:tcBorders>
          </w:tcPr>
          <w:p w14:paraId="70B7CB4E" w14:textId="7FCF33A7" w:rsidR="009E0777" w:rsidRPr="000D20E9" w:rsidRDefault="002049BB" w:rsidP="002049BB">
            <w:pPr>
              <w:spacing w:line="240" w:lineRule="exact"/>
              <w:rPr>
                <w:rFonts w:eastAsia="Times New Roman"/>
                <w:color w:val="000000"/>
                <w:sz w:val="20"/>
                <w:szCs w:val="20"/>
              </w:rPr>
            </w:pPr>
            <w:r>
              <w:rPr>
                <w:rFonts w:eastAsia="Times New Roman"/>
                <w:color w:val="000000"/>
                <w:sz w:val="20"/>
                <w:szCs w:val="20"/>
              </w:rPr>
              <w:t>Anderson &amp; Wincoop (2003)</w:t>
            </w:r>
          </w:p>
        </w:tc>
        <w:tc>
          <w:tcPr>
            <w:tcW w:w="1028" w:type="dxa"/>
            <w:tcBorders>
              <w:top w:val="nil"/>
              <w:left w:val="nil"/>
              <w:bottom w:val="single" w:sz="4" w:space="0" w:color="auto"/>
              <w:right w:val="nil"/>
            </w:tcBorders>
            <w:shd w:val="clear" w:color="auto" w:fill="auto"/>
            <w:noWrap/>
            <w:vAlign w:val="bottom"/>
          </w:tcPr>
          <w:p w14:paraId="4524D347" w14:textId="4A27B782" w:rsidR="009E0777" w:rsidRPr="000D20E9" w:rsidRDefault="009E0777" w:rsidP="000D20E9">
            <w:pPr>
              <w:spacing w:line="240" w:lineRule="exact"/>
              <w:jc w:val="center"/>
              <w:rPr>
                <w:rFonts w:eastAsia="Times New Roman"/>
                <w:color w:val="000000"/>
                <w:sz w:val="20"/>
                <w:szCs w:val="20"/>
              </w:rPr>
            </w:pPr>
            <w:r w:rsidRPr="000D20E9">
              <w:rPr>
                <w:rFonts w:eastAsia="Times New Roman"/>
                <w:color w:val="000000"/>
                <w:sz w:val="20"/>
                <w:szCs w:val="20"/>
              </w:rPr>
              <w:t>+</w:t>
            </w:r>
          </w:p>
        </w:tc>
      </w:tr>
    </w:tbl>
    <w:p w14:paraId="1340E12A" w14:textId="77777777" w:rsidR="00AB2FF6" w:rsidRPr="000D20E9" w:rsidRDefault="00730B1C" w:rsidP="000D20E9">
      <w:pPr>
        <w:spacing w:line="240" w:lineRule="exact"/>
        <w:ind w:firstLine="720"/>
        <w:rPr>
          <w:sz w:val="20"/>
          <w:szCs w:val="20"/>
        </w:rPr>
      </w:pPr>
      <w:r w:rsidRPr="000D20E9">
        <w:rPr>
          <w:bCs/>
          <w:i/>
          <w:sz w:val="20"/>
          <w:szCs w:val="20"/>
        </w:rPr>
        <w:t>Source</w:t>
      </w:r>
      <w:r w:rsidRPr="000D20E9">
        <w:rPr>
          <w:b/>
          <w:bCs/>
          <w:sz w:val="20"/>
          <w:szCs w:val="20"/>
        </w:rPr>
        <w:t xml:space="preserve">: </w:t>
      </w:r>
      <w:r w:rsidRPr="000D20E9">
        <w:rPr>
          <w:sz w:val="20"/>
          <w:szCs w:val="20"/>
        </w:rPr>
        <w:t>Author’s calculation based on data collection</w:t>
      </w:r>
    </w:p>
    <w:p w14:paraId="4FFC7F0F" w14:textId="77777777" w:rsidR="003D416A" w:rsidRDefault="003D416A" w:rsidP="000D20E9">
      <w:pPr>
        <w:spacing w:line="240" w:lineRule="exact"/>
        <w:ind w:firstLine="720"/>
        <w:rPr>
          <w:sz w:val="20"/>
          <w:szCs w:val="20"/>
        </w:rPr>
      </w:pPr>
    </w:p>
    <w:p w14:paraId="24A3517F" w14:textId="77777777" w:rsidR="003D416A" w:rsidRDefault="003D416A" w:rsidP="000D20E9">
      <w:pPr>
        <w:spacing w:line="240" w:lineRule="exact"/>
        <w:ind w:firstLine="720"/>
        <w:rPr>
          <w:sz w:val="20"/>
          <w:szCs w:val="20"/>
        </w:rPr>
      </w:pPr>
    </w:p>
    <w:p w14:paraId="287A2FF5" w14:textId="77777777" w:rsidR="003D416A" w:rsidRDefault="003D416A" w:rsidP="000D20E9">
      <w:pPr>
        <w:spacing w:line="240" w:lineRule="exact"/>
        <w:ind w:firstLine="720"/>
        <w:rPr>
          <w:sz w:val="20"/>
          <w:szCs w:val="20"/>
        </w:rPr>
      </w:pPr>
    </w:p>
    <w:p w14:paraId="5F7AA9FC" w14:textId="77777777" w:rsidR="00D14D58" w:rsidRDefault="00D14D58" w:rsidP="000D20E9">
      <w:pPr>
        <w:spacing w:line="240" w:lineRule="exact"/>
        <w:ind w:firstLine="720"/>
        <w:rPr>
          <w:sz w:val="20"/>
          <w:szCs w:val="20"/>
        </w:rPr>
      </w:pPr>
    </w:p>
    <w:p w14:paraId="7BC10A6C" w14:textId="3B0AD3DC" w:rsidR="009D6D25" w:rsidRPr="000D20E9" w:rsidRDefault="009D6D25" w:rsidP="000D20E9">
      <w:pPr>
        <w:spacing w:line="240" w:lineRule="exact"/>
        <w:ind w:firstLine="720"/>
        <w:rPr>
          <w:sz w:val="20"/>
          <w:szCs w:val="20"/>
        </w:rPr>
      </w:pPr>
      <w:r w:rsidRPr="000D20E9">
        <w:rPr>
          <w:sz w:val="20"/>
          <w:szCs w:val="20"/>
        </w:rPr>
        <w:t xml:space="preserve">Table 6. Maximum Likelihood Estimates of the Stochastic Gravity </w:t>
      </w:r>
    </w:p>
    <w:tbl>
      <w:tblPr>
        <w:tblW w:w="6193" w:type="dxa"/>
        <w:jc w:val="center"/>
        <w:tblLook w:val="04A0" w:firstRow="1" w:lastRow="0" w:firstColumn="1" w:lastColumn="0" w:noHBand="0" w:noVBand="1"/>
      </w:tblPr>
      <w:tblGrid>
        <w:gridCol w:w="1458"/>
        <w:gridCol w:w="2209"/>
        <w:gridCol w:w="2526"/>
      </w:tblGrid>
      <w:tr w:rsidR="00C2719E" w:rsidRPr="000D20E9" w14:paraId="158869DD" w14:textId="77777777" w:rsidTr="00C2719E">
        <w:trPr>
          <w:trHeight w:val="300"/>
          <w:jc w:val="center"/>
        </w:trPr>
        <w:tc>
          <w:tcPr>
            <w:tcW w:w="1458" w:type="dxa"/>
            <w:tcBorders>
              <w:top w:val="single" w:sz="4" w:space="0" w:color="auto"/>
              <w:left w:val="nil"/>
              <w:bottom w:val="single" w:sz="4" w:space="0" w:color="auto"/>
              <w:right w:val="nil"/>
            </w:tcBorders>
            <w:shd w:val="clear" w:color="auto" w:fill="auto"/>
            <w:noWrap/>
            <w:vAlign w:val="bottom"/>
            <w:hideMark/>
          </w:tcPr>
          <w:p w14:paraId="60FEC230" w14:textId="1EC6F1FA" w:rsidR="00C2719E" w:rsidRPr="000D20E9" w:rsidRDefault="00C2719E" w:rsidP="000D20E9">
            <w:pPr>
              <w:spacing w:line="240" w:lineRule="exact"/>
              <w:rPr>
                <w:rFonts w:eastAsia="Times New Roman"/>
                <w:b/>
                <w:color w:val="000000"/>
                <w:sz w:val="20"/>
                <w:szCs w:val="20"/>
              </w:rPr>
            </w:pPr>
            <w:r w:rsidRPr="000D20E9">
              <w:rPr>
                <w:rFonts w:eastAsia="Times New Roman"/>
                <w:b/>
                <w:color w:val="000000"/>
                <w:sz w:val="20"/>
                <w:szCs w:val="20"/>
              </w:rPr>
              <w:t>Variable</w:t>
            </w:r>
          </w:p>
        </w:tc>
        <w:tc>
          <w:tcPr>
            <w:tcW w:w="2209" w:type="dxa"/>
            <w:tcBorders>
              <w:top w:val="single" w:sz="4" w:space="0" w:color="auto"/>
              <w:left w:val="nil"/>
              <w:bottom w:val="single" w:sz="4" w:space="0" w:color="auto"/>
              <w:right w:val="nil"/>
            </w:tcBorders>
            <w:shd w:val="clear" w:color="auto" w:fill="auto"/>
            <w:noWrap/>
            <w:vAlign w:val="bottom"/>
            <w:hideMark/>
          </w:tcPr>
          <w:p w14:paraId="670DDD48" w14:textId="04C079BA" w:rsidR="00C2719E" w:rsidRPr="000D20E9" w:rsidRDefault="00C2719E" w:rsidP="000D20E9">
            <w:pPr>
              <w:spacing w:line="240" w:lineRule="exact"/>
              <w:rPr>
                <w:rFonts w:eastAsia="Times New Roman"/>
                <w:b/>
                <w:color w:val="000000"/>
                <w:sz w:val="20"/>
                <w:szCs w:val="20"/>
              </w:rPr>
            </w:pPr>
            <w:r w:rsidRPr="000D20E9">
              <w:rPr>
                <w:rFonts w:eastAsia="Times New Roman"/>
                <w:b/>
                <w:color w:val="000000"/>
                <w:sz w:val="20"/>
                <w:szCs w:val="20"/>
              </w:rPr>
              <w:t>LnEX</w:t>
            </w:r>
          </w:p>
        </w:tc>
        <w:tc>
          <w:tcPr>
            <w:tcW w:w="2526" w:type="dxa"/>
            <w:tcBorders>
              <w:top w:val="single" w:sz="4" w:space="0" w:color="auto"/>
              <w:left w:val="nil"/>
              <w:bottom w:val="single" w:sz="4" w:space="0" w:color="auto"/>
              <w:right w:val="nil"/>
            </w:tcBorders>
            <w:shd w:val="clear" w:color="auto" w:fill="auto"/>
            <w:noWrap/>
            <w:vAlign w:val="bottom"/>
            <w:hideMark/>
          </w:tcPr>
          <w:p w14:paraId="001A8C63" w14:textId="508F268E" w:rsidR="00C2719E" w:rsidRPr="000D20E9" w:rsidRDefault="00C2719E" w:rsidP="000D20E9">
            <w:pPr>
              <w:spacing w:line="240" w:lineRule="exact"/>
              <w:rPr>
                <w:rFonts w:eastAsia="Times New Roman"/>
                <w:b/>
                <w:color w:val="000000"/>
                <w:sz w:val="20"/>
                <w:szCs w:val="20"/>
              </w:rPr>
            </w:pPr>
            <w:r w:rsidRPr="000D20E9">
              <w:rPr>
                <w:rFonts w:eastAsia="Times New Roman"/>
                <w:b/>
                <w:color w:val="000000"/>
                <w:sz w:val="20"/>
                <w:szCs w:val="20"/>
              </w:rPr>
              <w:t>LnIM</w:t>
            </w:r>
          </w:p>
        </w:tc>
      </w:tr>
      <w:tr w:rsidR="00C2719E" w:rsidRPr="000D20E9" w14:paraId="0999E251"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3E7AF387" w14:textId="7777777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LnGDP</w:t>
            </w:r>
          </w:p>
          <w:p w14:paraId="0DDD4E53"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7E12762E" w14:textId="0D7F154A"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503</w:t>
            </w:r>
            <w:r w:rsidR="00BC5156">
              <w:rPr>
                <w:rFonts w:eastAsia="Times New Roman"/>
                <w:color w:val="000000"/>
                <w:sz w:val="20"/>
                <w:szCs w:val="20"/>
              </w:rPr>
              <w:t xml:space="preserve"> 168</w:t>
            </w:r>
            <w:r w:rsidRPr="000D20E9">
              <w:rPr>
                <w:rFonts w:eastAsia="Times New Roman"/>
                <w:color w:val="000000"/>
                <w:sz w:val="20"/>
                <w:szCs w:val="20"/>
              </w:rPr>
              <w:t>***</w:t>
            </w:r>
            <w:r w:rsidRPr="000D20E9">
              <w:rPr>
                <w:rFonts w:eastAsia="Times New Roman"/>
                <w:color w:val="000000"/>
                <w:sz w:val="20"/>
                <w:szCs w:val="20"/>
              </w:rPr>
              <w:br/>
              <w:t>(</w:t>
            </w:r>
            <w:r w:rsidR="00D75500" w:rsidRPr="000D20E9">
              <w:rPr>
                <w:rFonts w:eastAsia="Times New Roman"/>
                <w:color w:val="000000"/>
                <w:sz w:val="20"/>
                <w:szCs w:val="20"/>
              </w:rPr>
              <w:t>.</w:t>
            </w:r>
            <w:r w:rsidRPr="000D20E9">
              <w:rPr>
                <w:rFonts w:eastAsia="Times New Roman"/>
                <w:color w:val="000000"/>
                <w:sz w:val="20"/>
                <w:szCs w:val="20"/>
              </w:rPr>
              <w:t>104</w:t>
            </w:r>
            <w:r w:rsidR="00BC5156">
              <w:rPr>
                <w:rFonts w:eastAsia="Times New Roman"/>
                <w:color w:val="000000"/>
                <w:sz w:val="20"/>
                <w:szCs w:val="20"/>
              </w:rPr>
              <w:t xml:space="preserve"> 739</w:t>
            </w:r>
            <w:r w:rsidRPr="000D20E9">
              <w:rPr>
                <w:rFonts w:eastAsia="Times New Roman"/>
                <w:color w:val="000000"/>
                <w:sz w:val="20"/>
                <w:szCs w:val="20"/>
              </w:rPr>
              <w:t>)</w:t>
            </w:r>
          </w:p>
        </w:tc>
        <w:tc>
          <w:tcPr>
            <w:tcW w:w="2526" w:type="dxa"/>
            <w:tcBorders>
              <w:top w:val="nil"/>
              <w:left w:val="nil"/>
              <w:bottom w:val="nil"/>
              <w:right w:val="nil"/>
            </w:tcBorders>
            <w:shd w:val="clear" w:color="auto" w:fill="auto"/>
            <w:vAlign w:val="bottom"/>
            <w:hideMark/>
          </w:tcPr>
          <w:p w14:paraId="254CAD1C" w14:textId="61DAA689"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6721</w:t>
            </w:r>
            <w:r w:rsidR="00061691">
              <w:rPr>
                <w:rFonts w:eastAsia="Times New Roman"/>
                <w:color w:val="000000"/>
                <w:sz w:val="20"/>
                <w:szCs w:val="20"/>
              </w:rPr>
              <w:t xml:space="preserve"> </w:t>
            </w:r>
            <w:r w:rsidRPr="000D20E9">
              <w:rPr>
                <w:rFonts w:eastAsia="Times New Roman"/>
                <w:color w:val="000000"/>
                <w:sz w:val="20"/>
                <w:szCs w:val="20"/>
              </w:rPr>
              <w:t>288***</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072</w:t>
            </w:r>
            <w:r w:rsidR="00061691">
              <w:rPr>
                <w:rFonts w:eastAsia="Times New Roman"/>
                <w:color w:val="000000"/>
                <w:sz w:val="20"/>
                <w:szCs w:val="20"/>
              </w:rPr>
              <w:t xml:space="preserve"> 789</w:t>
            </w:r>
            <w:r w:rsidRPr="000D20E9">
              <w:rPr>
                <w:rFonts w:eastAsia="Times New Roman"/>
                <w:color w:val="000000"/>
                <w:sz w:val="20"/>
                <w:szCs w:val="20"/>
              </w:rPr>
              <w:t>)</w:t>
            </w:r>
          </w:p>
        </w:tc>
      </w:tr>
      <w:tr w:rsidR="00C2719E" w:rsidRPr="000D20E9" w14:paraId="6FF22E0A"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6F8BFA6A" w14:textId="7777777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LnGDPVN</w:t>
            </w:r>
          </w:p>
          <w:p w14:paraId="6812AF2A"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2FD6C56F" w14:textId="7C9766A5"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w:t>
            </w:r>
            <w:r w:rsidR="00D75500" w:rsidRPr="000D20E9">
              <w:rPr>
                <w:rFonts w:eastAsia="Times New Roman"/>
                <w:color w:val="000000"/>
                <w:sz w:val="20"/>
                <w:szCs w:val="20"/>
              </w:rPr>
              <w:t>.</w:t>
            </w:r>
            <w:r w:rsidRPr="000D20E9">
              <w:rPr>
                <w:rFonts w:eastAsia="Times New Roman"/>
                <w:color w:val="000000"/>
                <w:sz w:val="20"/>
                <w:szCs w:val="20"/>
              </w:rPr>
              <w:t>358</w:t>
            </w:r>
            <w:r w:rsidR="00BC5156">
              <w:rPr>
                <w:rFonts w:eastAsia="Times New Roman"/>
                <w:color w:val="000000"/>
                <w:sz w:val="20"/>
                <w:szCs w:val="20"/>
              </w:rPr>
              <w:t xml:space="preserve"> </w:t>
            </w:r>
            <w:r w:rsidRPr="000D20E9">
              <w:rPr>
                <w:rFonts w:eastAsia="Times New Roman"/>
                <w:color w:val="000000"/>
                <w:sz w:val="20"/>
                <w:szCs w:val="20"/>
              </w:rPr>
              <w:t>51***</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355</w:t>
            </w:r>
            <w:r w:rsidR="00BC5156">
              <w:rPr>
                <w:rFonts w:eastAsia="Times New Roman"/>
                <w:color w:val="000000"/>
                <w:sz w:val="20"/>
                <w:szCs w:val="20"/>
              </w:rPr>
              <w:t xml:space="preserve"> 574</w:t>
            </w:r>
            <w:r w:rsidRPr="000D20E9">
              <w:rPr>
                <w:rFonts w:eastAsia="Times New Roman"/>
                <w:color w:val="000000"/>
                <w:sz w:val="20"/>
                <w:szCs w:val="20"/>
              </w:rPr>
              <w:t>)</w:t>
            </w:r>
          </w:p>
        </w:tc>
        <w:tc>
          <w:tcPr>
            <w:tcW w:w="2526" w:type="dxa"/>
            <w:tcBorders>
              <w:top w:val="nil"/>
              <w:left w:val="nil"/>
              <w:bottom w:val="nil"/>
              <w:right w:val="nil"/>
            </w:tcBorders>
            <w:shd w:val="clear" w:color="auto" w:fill="auto"/>
            <w:vAlign w:val="bottom"/>
            <w:hideMark/>
          </w:tcPr>
          <w:p w14:paraId="5D6111BB" w14:textId="4426EC8A"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810</w:t>
            </w:r>
            <w:r w:rsidR="00061691">
              <w:rPr>
                <w:rFonts w:eastAsia="Times New Roman"/>
                <w:color w:val="000000"/>
                <w:sz w:val="20"/>
                <w:szCs w:val="20"/>
              </w:rPr>
              <w:t xml:space="preserve"> 126</w:t>
            </w:r>
            <w:r w:rsidRPr="000D20E9">
              <w:rPr>
                <w:rFonts w:eastAsia="Times New Roman"/>
                <w:color w:val="000000"/>
                <w:sz w:val="20"/>
                <w:szCs w:val="20"/>
              </w:rPr>
              <w:t>**</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330</w:t>
            </w:r>
            <w:r w:rsidR="00061691">
              <w:rPr>
                <w:rFonts w:eastAsia="Times New Roman"/>
                <w:color w:val="000000"/>
                <w:sz w:val="20"/>
                <w:szCs w:val="20"/>
              </w:rPr>
              <w:t xml:space="preserve"> 268</w:t>
            </w:r>
            <w:r w:rsidRPr="000D20E9">
              <w:rPr>
                <w:rFonts w:eastAsia="Times New Roman"/>
                <w:color w:val="000000"/>
                <w:sz w:val="20"/>
                <w:szCs w:val="20"/>
              </w:rPr>
              <w:t>)</w:t>
            </w:r>
          </w:p>
        </w:tc>
      </w:tr>
      <w:tr w:rsidR="00C2719E" w:rsidRPr="000D20E9" w14:paraId="4E5BDB2D"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38DD202E" w14:textId="477712BD"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LnD</w:t>
            </w:r>
          </w:p>
          <w:p w14:paraId="162869F1"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2775053D" w14:textId="29C394ED"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364</w:t>
            </w:r>
            <w:r w:rsidR="00BC5156">
              <w:rPr>
                <w:rFonts w:eastAsia="Times New Roman"/>
                <w:color w:val="000000"/>
                <w:sz w:val="20"/>
                <w:szCs w:val="20"/>
              </w:rPr>
              <w:t xml:space="preserve"> 271</w:t>
            </w:r>
            <w:r w:rsidRPr="000D20E9">
              <w:rPr>
                <w:rFonts w:eastAsia="Times New Roman"/>
                <w:color w:val="000000"/>
                <w:sz w:val="20"/>
                <w:szCs w:val="20"/>
              </w:rPr>
              <w:t>**</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1433</w:t>
            </w:r>
            <w:r w:rsidR="00BC5156">
              <w:rPr>
                <w:rFonts w:eastAsia="Times New Roman"/>
                <w:color w:val="000000"/>
                <w:sz w:val="20"/>
                <w:szCs w:val="20"/>
              </w:rPr>
              <w:t xml:space="preserve"> </w:t>
            </w:r>
            <w:r w:rsidRPr="000D20E9">
              <w:rPr>
                <w:rFonts w:eastAsia="Times New Roman"/>
                <w:color w:val="000000"/>
                <w:sz w:val="20"/>
                <w:szCs w:val="20"/>
              </w:rPr>
              <w:t>375)</w:t>
            </w:r>
          </w:p>
        </w:tc>
        <w:tc>
          <w:tcPr>
            <w:tcW w:w="2526" w:type="dxa"/>
            <w:tcBorders>
              <w:top w:val="nil"/>
              <w:left w:val="nil"/>
              <w:bottom w:val="nil"/>
              <w:right w:val="nil"/>
            </w:tcBorders>
            <w:shd w:val="clear" w:color="auto" w:fill="auto"/>
            <w:vAlign w:val="bottom"/>
            <w:hideMark/>
          </w:tcPr>
          <w:p w14:paraId="4F56C1F6" w14:textId="6EE49502"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w:t>
            </w:r>
            <w:r w:rsidR="00D75500" w:rsidRPr="000D20E9">
              <w:rPr>
                <w:rFonts w:eastAsia="Times New Roman"/>
                <w:color w:val="000000"/>
                <w:sz w:val="20"/>
                <w:szCs w:val="20"/>
              </w:rPr>
              <w:t>.</w:t>
            </w:r>
            <w:r w:rsidRPr="000D20E9">
              <w:rPr>
                <w:rFonts w:eastAsia="Times New Roman"/>
                <w:color w:val="000000"/>
                <w:sz w:val="20"/>
                <w:szCs w:val="20"/>
              </w:rPr>
              <w:t>185</w:t>
            </w:r>
            <w:r w:rsidR="00061691">
              <w:rPr>
                <w:rFonts w:eastAsia="Times New Roman"/>
                <w:color w:val="000000"/>
                <w:sz w:val="20"/>
                <w:szCs w:val="20"/>
              </w:rPr>
              <w:t xml:space="preserve"> </w:t>
            </w:r>
            <w:r w:rsidRPr="000D20E9">
              <w:rPr>
                <w:rFonts w:eastAsia="Times New Roman"/>
                <w:color w:val="000000"/>
                <w:sz w:val="20"/>
                <w:szCs w:val="20"/>
              </w:rPr>
              <w:t>056***</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109</w:t>
            </w:r>
            <w:r w:rsidR="00061691">
              <w:rPr>
                <w:rFonts w:eastAsia="Times New Roman"/>
                <w:color w:val="000000"/>
                <w:sz w:val="20"/>
                <w:szCs w:val="20"/>
              </w:rPr>
              <w:t xml:space="preserve"> 884</w:t>
            </w:r>
            <w:r w:rsidRPr="000D20E9">
              <w:rPr>
                <w:rFonts w:eastAsia="Times New Roman"/>
                <w:color w:val="000000"/>
                <w:sz w:val="20"/>
                <w:szCs w:val="20"/>
              </w:rPr>
              <w:t>)</w:t>
            </w:r>
          </w:p>
        </w:tc>
      </w:tr>
      <w:tr w:rsidR="00C2719E" w:rsidRPr="000D20E9" w14:paraId="5662A45E"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34F41AE6" w14:textId="6621D46C" w:rsidR="00C2719E" w:rsidRPr="000D20E9" w:rsidRDefault="00593A15" w:rsidP="000D20E9">
            <w:pPr>
              <w:spacing w:line="240" w:lineRule="exact"/>
              <w:rPr>
                <w:rFonts w:eastAsia="Times New Roman"/>
                <w:color w:val="000000"/>
                <w:sz w:val="20"/>
                <w:szCs w:val="20"/>
              </w:rPr>
            </w:pPr>
            <w:r w:rsidRPr="000D20E9">
              <w:rPr>
                <w:rFonts w:eastAsia="Times New Roman"/>
                <w:color w:val="000000"/>
                <w:sz w:val="20"/>
                <w:szCs w:val="20"/>
              </w:rPr>
              <w:t>P</w:t>
            </w:r>
            <w:r w:rsidR="00C2719E" w:rsidRPr="000D20E9">
              <w:rPr>
                <w:rFonts w:eastAsia="Times New Roman"/>
                <w:color w:val="000000"/>
                <w:sz w:val="20"/>
                <w:szCs w:val="20"/>
              </w:rPr>
              <w:t>VN</w:t>
            </w:r>
          </w:p>
          <w:p w14:paraId="13B8C352"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3229EB7E" w14:textId="142B3508"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w:t>
            </w:r>
            <w:r w:rsidR="00D75500" w:rsidRPr="000D20E9">
              <w:rPr>
                <w:rFonts w:eastAsia="Times New Roman"/>
                <w:color w:val="000000"/>
                <w:sz w:val="20"/>
                <w:szCs w:val="20"/>
              </w:rPr>
              <w:t>.</w:t>
            </w:r>
            <w:r w:rsidRPr="000D20E9">
              <w:rPr>
                <w:rFonts w:eastAsia="Times New Roman"/>
                <w:color w:val="000000"/>
                <w:sz w:val="20"/>
                <w:szCs w:val="20"/>
              </w:rPr>
              <w:t>12***</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135</w:t>
            </w:r>
            <w:r w:rsidR="00BC5156">
              <w:rPr>
                <w:rFonts w:eastAsia="Times New Roman"/>
                <w:color w:val="000000"/>
                <w:sz w:val="20"/>
                <w:szCs w:val="20"/>
              </w:rPr>
              <w:t xml:space="preserve"> 695</w:t>
            </w:r>
            <w:r w:rsidRPr="000D20E9">
              <w:rPr>
                <w:rFonts w:eastAsia="Times New Roman"/>
                <w:color w:val="000000"/>
                <w:sz w:val="20"/>
                <w:szCs w:val="20"/>
              </w:rPr>
              <w:t>)</w:t>
            </w:r>
          </w:p>
        </w:tc>
        <w:tc>
          <w:tcPr>
            <w:tcW w:w="2526" w:type="dxa"/>
            <w:tcBorders>
              <w:top w:val="nil"/>
              <w:left w:val="nil"/>
              <w:bottom w:val="nil"/>
              <w:right w:val="nil"/>
            </w:tcBorders>
            <w:shd w:val="clear" w:color="auto" w:fill="auto"/>
            <w:vAlign w:val="bottom"/>
            <w:hideMark/>
          </w:tcPr>
          <w:p w14:paraId="0D3C1E4A" w14:textId="351C486A"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471</w:t>
            </w:r>
            <w:r w:rsidR="00061691">
              <w:rPr>
                <w:rFonts w:eastAsia="Times New Roman"/>
                <w:color w:val="000000"/>
                <w:sz w:val="20"/>
                <w:szCs w:val="20"/>
              </w:rPr>
              <w:t xml:space="preserve"> 919</w:t>
            </w:r>
            <w:r w:rsidRPr="000D20E9">
              <w:rPr>
                <w:rFonts w:eastAsia="Times New Roman"/>
                <w:color w:val="000000"/>
                <w:sz w:val="20"/>
                <w:szCs w:val="20"/>
              </w:rPr>
              <w:t>***</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132</w:t>
            </w:r>
            <w:r w:rsidR="009C4B8D">
              <w:rPr>
                <w:rFonts w:eastAsia="Times New Roman"/>
                <w:color w:val="000000"/>
                <w:sz w:val="20"/>
                <w:szCs w:val="20"/>
              </w:rPr>
              <w:t xml:space="preserve"> </w:t>
            </w:r>
            <w:r w:rsidRPr="000D20E9">
              <w:rPr>
                <w:rFonts w:eastAsia="Times New Roman"/>
                <w:color w:val="000000"/>
                <w:sz w:val="20"/>
                <w:szCs w:val="20"/>
              </w:rPr>
              <w:t>60</w:t>
            </w:r>
            <w:r w:rsidR="009C4B8D">
              <w:rPr>
                <w:rFonts w:eastAsia="Times New Roman"/>
                <w:color w:val="000000"/>
                <w:sz w:val="20"/>
                <w:szCs w:val="20"/>
              </w:rPr>
              <w:t>5</w:t>
            </w:r>
            <w:r w:rsidRPr="000D20E9">
              <w:rPr>
                <w:rFonts w:eastAsia="Times New Roman"/>
                <w:color w:val="000000"/>
                <w:sz w:val="20"/>
                <w:szCs w:val="20"/>
              </w:rPr>
              <w:t>)</w:t>
            </w:r>
          </w:p>
        </w:tc>
      </w:tr>
      <w:tr w:rsidR="00C2719E" w:rsidRPr="000D20E9" w14:paraId="4ADAF925"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21489FCA" w14:textId="1EF62AAC" w:rsidR="00C2719E" w:rsidRPr="000D20E9" w:rsidRDefault="00593A15" w:rsidP="000D20E9">
            <w:pPr>
              <w:spacing w:line="240" w:lineRule="exact"/>
              <w:rPr>
                <w:rFonts w:eastAsia="Times New Roman"/>
                <w:color w:val="000000"/>
                <w:sz w:val="20"/>
                <w:szCs w:val="20"/>
              </w:rPr>
            </w:pPr>
            <w:r w:rsidRPr="000D20E9">
              <w:rPr>
                <w:rFonts w:eastAsia="Times New Roman"/>
                <w:color w:val="000000"/>
                <w:sz w:val="20"/>
                <w:szCs w:val="20"/>
              </w:rPr>
              <w:t>P</w:t>
            </w:r>
          </w:p>
          <w:p w14:paraId="7A26C299"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3C046CF4" w14:textId="031C790E"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001</w:t>
            </w:r>
            <w:r w:rsidR="00BC5156">
              <w:rPr>
                <w:rFonts w:eastAsia="Times New Roman"/>
                <w:color w:val="000000"/>
                <w:sz w:val="20"/>
                <w:szCs w:val="20"/>
              </w:rPr>
              <w:t xml:space="preserve"> 015</w:t>
            </w:r>
            <w:r w:rsidRPr="000D20E9">
              <w:rPr>
                <w:rFonts w:eastAsia="Times New Roman"/>
                <w:color w:val="000000"/>
                <w:sz w:val="20"/>
                <w:szCs w:val="20"/>
              </w:rPr>
              <w:t>**</w:t>
            </w:r>
            <w:r w:rsidRPr="000D20E9">
              <w:rPr>
                <w:rFonts w:eastAsia="Times New Roman"/>
                <w:color w:val="000000"/>
                <w:sz w:val="20"/>
                <w:szCs w:val="20"/>
              </w:rPr>
              <w:br/>
              <w:t>(</w:t>
            </w:r>
            <w:r w:rsidR="00D75500" w:rsidRPr="000D20E9">
              <w:rPr>
                <w:rFonts w:eastAsia="Times New Roman"/>
                <w:color w:val="000000"/>
                <w:sz w:val="20"/>
                <w:szCs w:val="20"/>
              </w:rPr>
              <w:t>.</w:t>
            </w:r>
            <w:r w:rsidRPr="000D20E9">
              <w:rPr>
                <w:rFonts w:eastAsia="Times New Roman"/>
                <w:color w:val="000000"/>
                <w:sz w:val="20"/>
                <w:szCs w:val="20"/>
              </w:rPr>
              <w:t>000</w:t>
            </w:r>
            <w:r w:rsidR="00BC5156">
              <w:rPr>
                <w:rFonts w:eastAsia="Times New Roman"/>
                <w:color w:val="000000"/>
                <w:sz w:val="20"/>
                <w:szCs w:val="20"/>
              </w:rPr>
              <w:t xml:space="preserve"> 479</w:t>
            </w:r>
            <w:r w:rsidRPr="000D20E9">
              <w:rPr>
                <w:rFonts w:eastAsia="Times New Roman"/>
                <w:color w:val="000000"/>
                <w:sz w:val="20"/>
                <w:szCs w:val="20"/>
              </w:rPr>
              <w:t>)</w:t>
            </w:r>
          </w:p>
        </w:tc>
        <w:tc>
          <w:tcPr>
            <w:tcW w:w="2526" w:type="dxa"/>
            <w:tcBorders>
              <w:top w:val="nil"/>
              <w:left w:val="nil"/>
              <w:bottom w:val="nil"/>
              <w:right w:val="nil"/>
            </w:tcBorders>
            <w:shd w:val="clear" w:color="auto" w:fill="auto"/>
            <w:vAlign w:val="bottom"/>
            <w:hideMark/>
          </w:tcPr>
          <w:p w14:paraId="10D4B2C5" w14:textId="1BBB81FC"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001</w:t>
            </w:r>
            <w:r w:rsidR="00B67770">
              <w:rPr>
                <w:rFonts w:eastAsia="Times New Roman"/>
                <w:color w:val="000000"/>
                <w:sz w:val="20"/>
                <w:szCs w:val="20"/>
              </w:rPr>
              <w:t xml:space="preserve"> 323</w:t>
            </w:r>
            <w:r w:rsidRPr="000D20E9">
              <w:rPr>
                <w:rFonts w:eastAsia="Times New Roman"/>
                <w:color w:val="000000"/>
                <w:sz w:val="20"/>
                <w:szCs w:val="20"/>
              </w:rPr>
              <w:t>***</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000</w:t>
            </w:r>
            <w:r w:rsidR="00CF55FD">
              <w:rPr>
                <w:rFonts w:eastAsia="Times New Roman"/>
                <w:color w:val="000000"/>
                <w:sz w:val="20"/>
                <w:szCs w:val="20"/>
              </w:rPr>
              <w:t xml:space="preserve"> 302</w:t>
            </w:r>
            <w:r w:rsidRPr="000D20E9">
              <w:rPr>
                <w:rFonts w:eastAsia="Times New Roman"/>
                <w:color w:val="000000"/>
                <w:sz w:val="20"/>
                <w:szCs w:val="20"/>
              </w:rPr>
              <w:t>)</w:t>
            </w:r>
          </w:p>
        </w:tc>
      </w:tr>
      <w:tr w:rsidR="00C2719E" w:rsidRPr="000D20E9" w14:paraId="730D5396"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4D94E884" w14:textId="5FF976EE" w:rsidR="00C2719E" w:rsidRPr="000D20E9" w:rsidRDefault="00471CD5" w:rsidP="000D20E9">
            <w:pPr>
              <w:spacing w:line="240" w:lineRule="exact"/>
              <w:rPr>
                <w:rFonts w:eastAsia="Times New Roman"/>
                <w:color w:val="000000"/>
                <w:sz w:val="20"/>
                <w:szCs w:val="20"/>
              </w:rPr>
            </w:pPr>
            <w:r w:rsidRPr="000D20E9">
              <w:rPr>
                <w:rFonts w:eastAsia="Times New Roman"/>
                <w:color w:val="000000"/>
                <w:sz w:val="20"/>
                <w:szCs w:val="20"/>
              </w:rPr>
              <w:t>LL</w:t>
            </w:r>
          </w:p>
          <w:p w14:paraId="64A8F541"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40D5AEA2" w14:textId="7CE69D25"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222</w:t>
            </w:r>
            <w:r w:rsidR="00BC5156">
              <w:rPr>
                <w:rFonts w:eastAsia="Times New Roman"/>
                <w:color w:val="000000"/>
                <w:sz w:val="20"/>
                <w:szCs w:val="20"/>
              </w:rPr>
              <w:t xml:space="preserve"> 649</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329</w:t>
            </w:r>
            <w:r w:rsidR="003A4583">
              <w:rPr>
                <w:rFonts w:eastAsia="Times New Roman"/>
                <w:color w:val="000000"/>
                <w:sz w:val="20"/>
                <w:szCs w:val="20"/>
              </w:rPr>
              <w:t xml:space="preserve"> 801</w:t>
            </w:r>
            <w:r w:rsidRPr="000D20E9">
              <w:rPr>
                <w:rFonts w:eastAsia="Times New Roman"/>
                <w:color w:val="000000"/>
                <w:sz w:val="20"/>
                <w:szCs w:val="20"/>
              </w:rPr>
              <w:t>)</w:t>
            </w:r>
          </w:p>
        </w:tc>
        <w:tc>
          <w:tcPr>
            <w:tcW w:w="2526" w:type="dxa"/>
            <w:tcBorders>
              <w:top w:val="nil"/>
              <w:left w:val="nil"/>
              <w:bottom w:val="nil"/>
              <w:right w:val="nil"/>
            </w:tcBorders>
            <w:shd w:val="clear" w:color="auto" w:fill="auto"/>
            <w:vAlign w:val="bottom"/>
            <w:hideMark/>
          </w:tcPr>
          <w:p w14:paraId="60994588" w14:textId="670FD71F"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711</w:t>
            </w:r>
            <w:r w:rsidR="00316F9E">
              <w:rPr>
                <w:rFonts w:eastAsia="Times New Roman"/>
                <w:color w:val="000000"/>
                <w:sz w:val="20"/>
                <w:szCs w:val="20"/>
              </w:rPr>
              <w:t xml:space="preserve"> </w:t>
            </w:r>
            <w:r w:rsidRPr="000D20E9">
              <w:rPr>
                <w:rFonts w:eastAsia="Times New Roman"/>
                <w:color w:val="000000"/>
                <w:sz w:val="20"/>
                <w:szCs w:val="20"/>
              </w:rPr>
              <w:t>911**</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324</w:t>
            </w:r>
            <w:r w:rsidR="00316F9E">
              <w:rPr>
                <w:rFonts w:eastAsia="Times New Roman"/>
                <w:color w:val="000000"/>
                <w:sz w:val="20"/>
                <w:szCs w:val="20"/>
              </w:rPr>
              <w:t xml:space="preserve"> 108</w:t>
            </w:r>
            <w:r w:rsidRPr="000D20E9">
              <w:rPr>
                <w:rFonts w:eastAsia="Times New Roman"/>
                <w:color w:val="000000"/>
                <w:sz w:val="20"/>
                <w:szCs w:val="20"/>
              </w:rPr>
              <w:t>)</w:t>
            </w:r>
          </w:p>
        </w:tc>
      </w:tr>
      <w:tr w:rsidR="00C2719E" w:rsidRPr="000D20E9" w14:paraId="2DA16C29"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614C91E2" w14:textId="7777777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T</w:t>
            </w:r>
          </w:p>
          <w:p w14:paraId="5185769F"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0824A4B5" w14:textId="24CAB149"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w:t>
            </w:r>
            <w:r w:rsidR="00D75500" w:rsidRPr="000D20E9">
              <w:rPr>
                <w:rFonts w:eastAsia="Times New Roman"/>
                <w:color w:val="000000"/>
                <w:sz w:val="20"/>
                <w:szCs w:val="20"/>
              </w:rPr>
              <w:t>.</w:t>
            </w:r>
            <w:r w:rsidRPr="000D20E9">
              <w:rPr>
                <w:rFonts w:eastAsia="Times New Roman"/>
                <w:color w:val="000000"/>
                <w:sz w:val="20"/>
                <w:szCs w:val="20"/>
              </w:rPr>
              <w:t>138</w:t>
            </w:r>
            <w:r w:rsidR="008F1E3D">
              <w:rPr>
                <w:rFonts w:eastAsia="Times New Roman"/>
                <w:color w:val="000000"/>
                <w:sz w:val="20"/>
                <w:szCs w:val="20"/>
              </w:rPr>
              <w:t xml:space="preserve"> </w:t>
            </w:r>
            <w:r w:rsidRPr="000D20E9">
              <w:rPr>
                <w:rFonts w:eastAsia="Times New Roman"/>
                <w:color w:val="000000"/>
                <w:sz w:val="20"/>
                <w:szCs w:val="20"/>
              </w:rPr>
              <w:t>67***</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162</w:t>
            </w:r>
            <w:r w:rsidR="003A4583">
              <w:rPr>
                <w:rFonts w:eastAsia="Times New Roman"/>
                <w:color w:val="000000"/>
                <w:sz w:val="20"/>
                <w:szCs w:val="20"/>
              </w:rPr>
              <w:t xml:space="preserve"> 831</w:t>
            </w:r>
            <w:r w:rsidRPr="000D20E9">
              <w:rPr>
                <w:rFonts w:eastAsia="Times New Roman"/>
                <w:color w:val="000000"/>
                <w:sz w:val="20"/>
                <w:szCs w:val="20"/>
              </w:rPr>
              <w:t>)</w:t>
            </w:r>
          </w:p>
        </w:tc>
        <w:tc>
          <w:tcPr>
            <w:tcW w:w="2526" w:type="dxa"/>
            <w:tcBorders>
              <w:top w:val="nil"/>
              <w:left w:val="nil"/>
              <w:bottom w:val="nil"/>
              <w:right w:val="nil"/>
            </w:tcBorders>
            <w:shd w:val="clear" w:color="auto" w:fill="auto"/>
            <w:vAlign w:val="bottom"/>
            <w:hideMark/>
          </w:tcPr>
          <w:p w14:paraId="00CF594C" w14:textId="121A3A01"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504</w:t>
            </w:r>
            <w:r w:rsidR="003C0254">
              <w:rPr>
                <w:rFonts w:eastAsia="Times New Roman"/>
                <w:color w:val="000000"/>
                <w:sz w:val="20"/>
                <w:szCs w:val="20"/>
              </w:rPr>
              <w:t xml:space="preserve"> 946</w:t>
            </w:r>
            <w:r w:rsidRPr="000D20E9">
              <w:rPr>
                <w:rFonts w:eastAsia="Times New Roman"/>
                <w:color w:val="000000"/>
                <w:sz w:val="20"/>
                <w:szCs w:val="20"/>
              </w:rPr>
              <w:t>***</w:t>
            </w:r>
            <w:r w:rsidRPr="000D20E9">
              <w:rPr>
                <w:rFonts w:eastAsia="Times New Roman"/>
                <w:color w:val="000000"/>
                <w:sz w:val="20"/>
                <w:szCs w:val="20"/>
              </w:rPr>
              <w:br/>
              <w:t>(0</w:t>
            </w:r>
            <w:r w:rsidR="00D75500" w:rsidRPr="000D20E9">
              <w:rPr>
                <w:rFonts w:eastAsia="Times New Roman"/>
                <w:color w:val="000000"/>
                <w:sz w:val="20"/>
                <w:szCs w:val="20"/>
              </w:rPr>
              <w:t>.</w:t>
            </w:r>
            <w:r w:rsidRPr="000D20E9">
              <w:rPr>
                <w:rFonts w:eastAsia="Times New Roman"/>
                <w:color w:val="000000"/>
                <w:sz w:val="20"/>
                <w:szCs w:val="20"/>
              </w:rPr>
              <w:t>157</w:t>
            </w:r>
            <w:r w:rsidR="00F17909">
              <w:rPr>
                <w:rFonts w:eastAsia="Times New Roman"/>
                <w:color w:val="000000"/>
                <w:sz w:val="20"/>
                <w:szCs w:val="20"/>
              </w:rPr>
              <w:t xml:space="preserve"> </w:t>
            </w:r>
            <w:r w:rsidRPr="000D20E9">
              <w:rPr>
                <w:rFonts w:eastAsia="Times New Roman"/>
                <w:color w:val="000000"/>
                <w:sz w:val="20"/>
                <w:szCs w:val="20"/>
              </w:rPr>
              <w:t>479)</w:t>
            </w:r>
          </w:p>
        </w:tc>
      </w:tr>
      <w:tr w:rsidR="00C2719E" w:rsidRPr="000D20E9" w14:paraId="36CAF77D" w14:textId="77777777" w:rsidTr="00C2719E">
        <w:trPr>
          <w:trHeight w:val="600"/>
          <w:jc w:val="center"/>
        </w:trPr>
        <w:tc>
          <w:tcPr>
            <w:tcW w:w="1458" w:type="dxa"/>
            <w:tcBorders>
              <w:top w:val="nil"/>
              <w:left w:val="nil"/>
              <w:bottom w:val="nil"/>
              <w:right w:val="nil"/>
            </w:tcBorders>
            <w:shd w:val="clear" w:color="auto" w:fill="auto"/>
            <w:noWrap/>
            <w:vAlign w:val="bottom"/>
            <w:hideMark/>
          </w:tcPr>
          <w:p w14:paraId="24BF398A" w14:textId="7777777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Constant</w:t>
            </w:r>
          </w:p>
          <w:p w14:paraId="570F1D8A"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vAlign w:val="bottom"/>
            <w:hideMark/>
          </w:tcPr>
          <w:p w14:paraId="79ED1461" w14:textId="0EFFFC76"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-102</w:t>
            </w:r>
            <w:r w:rsidR="00D75500" w:rsidRPr="000D20E9">
              <w:rPr>
                <w:rFonts w:eastAsia="Times New Roman"/>
                <w:color w:val="000000"/>
                <w:sz w:val="20"/>
                <w:szCs w:val="20"/>
              </w:rPr>
              <w:t>.</w:t>
            </w:r>
            <w:r w:rsidRPr="000D20E9">
              <w:rPr>
                <w:rFonts w:eastAsia="Times New Roman"/>
                <w:color w:val="000000"/>
                <w:sz w:val="20"/>
                <w:szCs w:val="20"/>
              </w:rPr>
              <w:t>6388***</w:t>
            </w:r>
            <w:r w:rsidRPr="000D20E9">
              <w:rPr>
                <w:rFonts w:eastAsia="Times New Roman"/>
                <w:color w:val="000000"/>
                <w:sz w:val="20"/>
                <w:szCs w:val="20"/>
              </w:rPr>
              <w:br/>
              <w:t>(16</w:t>
            </w:r>
            <w:r w:rsidR="00D75500" w:rsidRPr="000D20E9">
              <w:rPr>
                <w:rFonts w:eastAsia="Times New Roman"/>
                <w:color w:val="000000"/>
                <w:sz w:val="20"/>
                <w:szCs w:val="20"/>
              </w:rPr>
              <w:t>.</w:t>
            </w:r>
            <w:r w:rsidRPr="000D20E9">
              <w:rPr>
                <w:rFonts w:eastAsia="Times New Roman"/>
                <w:color w:val="000000"/>
                <w:sz w:val="20"/>
                <w:szCs w:val="20"/>
              </w:rPr>
              <w:t>639</w:t>
            </w:r>
            <w:r w:rsidR="003A4583">
              <w:rPr>
                <w:rFonts w:eastAsia="Times New Roman"/>
                <w:color w:val="000000"/>
                <w:sz w:val="20"/>
                <w:szCs w:val="20"/>
              </w:rPr>
              <w:t xml:space="preserve"> </w:t>
            </w:r>
            <w:r w:rsidRPr="000D20E9">
              <w:rPr>
                <w:rFonts w:eastAsia="Times New Roman"/>
                <w:color w:val="000000"/>
                <w:sz w:val="20"/>
                <w:szCs w:val="20"/>
              </w:rPr>
              <w:t>73)</w:t>
            </w:r>
          </w:p>
        </w:tc>
        <w:tc>
          <w:tcPr>
            <w:tcW w:w="2526" w:type="dxa"/>
            <w:tcBorders>
              <w:top w:val="nil"/>
              <w:left w:val="nil"/>
              <w:bottom w:val="nil"/>
              <w:right w:val="nil"/>
            </w:tcBorders>
            <w:shd w:val="clear" w:color="auto" w:fill="auto"/>
            <w:vAlign w:val="bottom"/>
            <w:hideMark/>
          </w:tcPr>
          <w:p w14:paraId="1733BC49" w14:textId="31D05942"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-39</w:t>
            </w:r>
            <w:r w:rsidR="00D75500" w:rsidRPr="000D20E9">
              <w:rPr>
                <w:rFonts w:eastAsia="Times New Roman"/>
                <w:color w:val="000000"/>
                <w:sz w:val="20"/>
                <w:szCs w:val="20"/>
              </w:rPr>
              <w:t>.</w:t>
            </w:r>
            <w:r w:rsidRPr="000D20E9">
              <w:rPr>
                <w:rFonts w:eastAsia="Times New Roman"/>
                <w:color w:val="000000"/>
                <w:sz w:val="20"/>
                <w:szCs w:val="20"/>
              </w:rPr>
              <w:t>924</w:t>
            </w:r>
            <w:r w:rsidR="00F17909">
              <w:rPr>
                <w:rFonts w:eastAsia="Times New Roman"/>
                <w:color w:val="000000"/>
                <w:sz w:val="20"/>
                <w:szCs w:val="20"/>
              </w:rPr>
              <w:t xml:space="preserve"> </w:t>
            </w:r>
            <w:r w:rsidRPr="000D20E9">
              <w:rPr>
                <w:rFonts w:eastAsia="Times New Roman"/>
                <w:color w:val="000000"/>
                <w:sz w:val="20"/>
                <w:szCs w:val="20"/>
              </w:rPr>
              <w:t>46**</w:t>
            </w:r>
            <w:r w:rsidRPr="000D20E9">
              <w:rPr>
                <w:rFonts w:eastAsia="Times New Roman"/>
                <w:color w:val="000000"/>
                <w:sz w:val="20"/>
                <w:szCs w:val="20"/>
              </w:rPr>
              <w:br/>
              <w:t>(16</w:t>
            </w:r>
            <w:r w:rsidR="00D75500" w:rsidRPr="000D20E9">
              <w:rPr>
                <w:rFonts w:eastAsia="Times New Roman"/>
                <w:color w:val="000000"/>
                <w:sz w:val="20"/>
                <w:szCs w:val="20"/>
              </w:rPr>
              <w:t>.</w:t>
            </w:r>
            <w:r w:rsidRPr="000D20E9">
              <w:rPr>
                <w:rFonts w:eastAsia="Times New Roman"/>
                <w:color w:val="000000"/>
                <w:sz w:val="20"/>
                <w:szCs w:val="20"/>
              </w:rPr>
              <w:t>065</w:t>
            </w:r>
            <w:r w:rsidR="00F17909">
              <w:rPr>
                <w:rFonts w:eastAsia="Times New Roman"/>
                <w:color w:val="000000"/>
                <w:sz w:val="20"/>
                <w:szCs w:val="20"/>
              </w:rPr>
              <w:t xml:space="preserve"> </w:t>
            </w:r>
            <w:r w:rsidRPr="000D20E9">
              <w:rPr>
                <w:rFonts w:eastAsia="Times New Roman"/>
                <w:color w:val="000000"/>
                <w:sz w:val="20"/>
                <w:szCs w:val="20"/>
              </w:rPr>
              <w:t>57)</w:t>
            </w:r>
          </w:p>
        </w:tc>
      </w:tr>
      <w:tr w:rsidR="00C2719E" w:rsidRPr="000D20E9" w14:paraId="22FE3FD2" w14:textId="77777777" w:rsidTr="00C2719E">
        <w:trPr>
          <w:trHeight w:val="300"/>
          <w:jc w:val="center"/>
        </w:trPr>
        <w:tc>
          <w:tcPr>
            <w:tcW w:w="1458" w:type="dxa"/>
            <w:tcBorders>
              <w:top w:val="nil"/>
              <w:left w:val="nil"/>
              <w:bottom w:val="nil"/>
              <w:right w:val="nil"/>
            </w:tcBorders>
            <w:shd w:val="clear" w:color="auto" w:fill="auto"/>
            <w:noWrap/>
            <w:vAlign w:val="bottom"/>
            <w:hideMark/>
          </w:tcPr>
          <w:p w14:paraId="23854E61" w14:textId="7777777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Mu</w:t>
            </w:r>
          </w:p>
          <w:p w14:paraId="4C1C9C28"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noWrap/>
            <w:vAlign w:val="bottom"/>
            <w:hideMark/>
          </w:tcPr>
          <w:p w14:paraId="009F77DD" w14:textId="694249EB"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w:t>
            </w:r>
            <w:r w:rsidR="00D75500" w:rsidRPr="000D20E9">
              <w:rPr>
                <w:rFonts w:eastAsia="Times New Roman"/>
                <w:color w:val="000000"/>
                <w:sz w:val="20"/>
                <w:szCs w:val="20"/>
              </w:rPr>
              <w:t>.</w:t>
            </w:r>
            <w:r w:rsidRPr="000D20E9">
              <w:rPr>
                <w:rFonts w:eastAsia="Times New Roman"/>
                <w:color w:val="000000"/>
                <w:sz w:val="20"/>
                <w:szCs w:val="20"/>
              </w:rPr>
              <w:t>098</w:t>
            </w:r>
            <w:r w:rsidR="003A4583">
              <w:rPr>
                <w:rFonts w:eastAsia="Times New Roman"/>
                <w:color w:val="000000"/>
                <w:sz w:val="20"/>
                <w:szCs w:val="20"/>
              </w:rPr>
              <w:t xml:space="preserve"> </w:t>
            </w:r>
            <w:r w:rsidRPr="000D20E9">
              <w:rPr>
                <w:rFonts w:eastAsia="Times New Roman"/>
                <w:color w:val="000000"/>
                <w:sz w:val="20"/>
                <w:szCs w:val="20"/>
              </w:rPr>
              <w:t>108**</w:t>
            </w:r>
          </w:p>
          <w:p w14:paraId="00C5F7C9" w14:textId="6E784632"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447</w:t>
            </w:r>
            <w:r w:rsidR="003A4583">
              <w:rPr>
                <w:rFonts w:eastAsia="Times New Roman"/>
                <w:color w:val="000000"/>
                <w:sz w:val="20"/>
                <w:szCs w:val="20"/>
              </w:rPr>
              <w:t xml:space="preserve"> 988</w:t>
            </w:r>
            <w:r w:rsidRPr="000D20E9">
              <w:rPr>
                <w:rFonts w:eastAsia="Times New Roman"/>
                <w:color w:val="000000"/>
                <w:sz w:val="20"/>
                <w:szCs w:val="20"/>
              </w:rPr>
              <w:t>)</w:t>
            </w:r>
          </w:p>
        </w:tc>
        <w:tc>
          <w:tcPr>
            <w:tcW w:w="2526" w:type="dxa"/>
            <w:tcBorders>
              <w:top w:val="nil"/>
              <w:left w:val="nil"/>
              <w:bottom w:val="nil"/>
              <w:right w:val="nil"/>
            </w:tcBorders>
            <w:shd w:val="clear" w:color="auto" w:fill="auto"/>
            <w:noWrap/>
            <w:vAlign w:val="bottom"/>
            <w:hideMark/>
          </w:tcPr>
          <w:p w14:paraId="45BF8AB9" w14:textId="20FD1690"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w:t>
            </w:r>
            <w:r w:rsidR="00D75500" w:rsidRPr="000D20E9">
              <w:rPr>
                <w:rFonts w:eastAsia="Times New Roman"/>
                <w:color w:val="000000"/>
                <w:sz w:val="20"/>
                <w:szCs w:val="20"/>
              </w:rPr>
              <w:t>.</w:t>
            </w:r>
            <w:r w:rsidRPr="000D20E9">
              <w:rPr>
                <w:rFonts w:eastAsia="Times New Roman"/>
                <w:color w:val="000000"/>
                <w:sz w:val="20"/>
                <w:szCs w:val="20"/>
              </w:rPr>
              <w:t>289</w:t>
            </w:r>
            <w:r w:rsidR="00F17909">
              <w:rPr>
                <w:rFonts w:eastAsia="Times New Roman"/>
                <w:color w:val="000000"/>
                <w:sz w:val="20"/>
                <w:szCs w:val="20"/>
              </w:rPr>
              <w:t xml:space="preserve"> </w:t>
            </w:r>
            <w:r w:rsidRPr="000D20E9">
              <w:rPr>
                <w:rFonts w:eastAsia="Times New Roman"/>
                <w:color w:val="000000"/>
                <w:sz w:val="20"/>
                <w:szCs w:val="20"/>
              </w:rPr>
              <w:t>445***</w:t>
            </w:r>
          </w:p>
          <w:p w14:paraId="6039C317" w14:textId="56ED14ED"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307</w:t>
            </w:r>
            <w:r w:rsidR="00F17909">
              <w:rPr>
                <w:rFonts w:eastAsia="Times New Roman"/>
                <w:color w:val="000000"/>
                <w:sz w:val="20"/>
                <w:szCs w:val="20"/>
              </w:rPr>
              <w:t xml:space="preserve"> </w:t>
            </w:r>
            <w:r w:rsidR="00577CAA">
              <w:rPr>
                <w:rFonts w:eastAsia="Times New Roman"/>
                <w:color w:val="000000"/>
                <w:sz w:val="20"/>
                <w:szCs w:val="20"/>
              </w:rPr>
              <w:t>328</w:t>
            </w:r>
            <w:r w:rsidRPr="000D20E9">
              <w:rPr>
                <w:rFonts w:eastAsia="Times New Roman"/>
                <w:color w:val="000000"/>
                <w:sz w:val="20"/>
                <w:szCs w:val="20"/>
              </w:rPr>
              <w:t>)</w:t>
            </w:r>
          </w:p>
        </w:tc>
      </w:tr>
      <w:tr w:rsidR="00C2719E" w:rsidRPr="000D20E9" w14:paraId="42098722" w14:textId="77777777" w:rsidTr="00C2719E">
        <w:trPr>
          <w:trHeight w:val="300"/>
          <w:jc w:val="center"/>
        </w:trPr>
        <w:tc>
          <w:tcPr>
            <w:tcW w:w="1458" w:type="dxa"/>
            <w:tcBorders>
              <w:top w:val="nil"/>
              <w:left w:val="nil"/>
              <w:bottom w:val="nil"/>
              <w:right w:val="nil"/>
            </w:tcBorders>
            <w:shd w:val="clear" w:color="auto" w:fill="auto"/>
            <w:noWrap/>
            <w:vAlign w:val="bottom"/>
            <w:hideMark/>
          </w:tcPr>
          <w:p w14:paraId="0EE31570" w14:textId="7777777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Eta</w:t>
            </w:r>
          </w:p>
          <w:p w14:paraId="38BA1B5E" w14:textId="77777777" w:rsidR="00C2719E" w:rsidRPr="000D20E9" w:rsidRDefault="00C2719E" w:rsidP="000D20E9">
            <w:pPr>
              <w:spacing w:line="240" w:lineRule="exact"/>
              <w:rPr>
                <w:rFonts w:eastAsia="Times New Roman"/>
                <w:color w:val="000000"/>
                <w:sz w:val="20"/>
                <w:szCs w:val="20"/>
              </w:rPr>
            </w:pPr>
          </w:p>
        </w:tc>
        <w:tc>
          <w:tcPr>
            <w:tcW w:w="2209" w:type="dxa"/>
            <w:tcBorders>
              <w:top w:val="nil"/>
              <w:left w:val="nil"/>
              <w:bottom w:val="nil"/>
              <w:right w:val="nil"/>
            </w:tcBorders>
            <w:shd w:val="clear" w:color="auto" w:fill="auto"/>
            <w:noWrap/>
            <w:vAlign w:val="bottom"/>
            <w:hideMark/>
          </w:tcPr>
          <w:p w14:paraId="56B8A908" w14:textId="6E86D9E6"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028</w:t>
            </w:r>
            <w:r w:rsidR="003A4583">
              <w:rPr>
                <w:rFonts w:eastAsia="Times New Roman"/>
                <w:color w:val="000000"/>
                <w:sz w:val="20"/>
                <w:szCs w:val="20"/>
              </w:rPr>
              <w:t xml:space="preserve"> 191</w:t>
            </w:r>
            <w:r w:rsidRPr="000D20E9">
              <w:rPr>
                <w:rFonts w:eastAsia="Times New Roman"/>
                <w:color w:val="000000"/>
                <w:sz w:val="20"/>
                <w:szCs w:val="20"/>
              </w:rPr>
              <w:t>***</w:t>
            </w:r>
          </w:p>
          <w:p w14:paraId="0539877A" w14:textId="60911CE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004</w:t>
            </w:r>
            <w:r w:rsidR="00F63376">
              <w:rPr>
                <w:rFonts w:eastAsia="Times New Roman"/>
                <w:color w:val="000000"/>
                <w:sz w:val="20"/>
                <w:szCs w:val="20"/>
              </w:rPr>
              <w:t xml:space="preserve"> </w:t>
            </w:r>
            <w:r w:rsidR="00564042">
              <w:rPr>
                <w:rFonts w:eastAsia="Times New Roman"/>
                <w:color w:val="000000"/>
                <w:sz w:val="20"/>
                <w:szCs w:val="20"/>
              </w:rPr>
              <w:t>129</w:t>
            </w:r>
            <w:r w:rsidRPr="000D20E9">
              <w:rPr>
                <w:rFonts w:eastAsia="Times New Roman"/>
                <w:color w:val="000000"/>
                <w:sz w:val="20"/>
                <w:szCs w:val="20"/>
              </w:rPr>
              <w:t>)</w:t>
            </w:r>
          </w:p>
        </w:tc>
        <w:tc>
          <w:tcPr>
            <w:tcW w:w="2526" w:type="dxa"/>
            <w:tcBorders>
              <w:top w:val="nil"/>
              <w:left w:val="nil"/>
              <w:bottom w:val="nil"/>
              <w:right w:val="nil"/>
            </w:tcBorders>
            <w:shd w:val="clear" w:color="auto" w:fill="auto"/>
            <w:noWrap/>
            <w:vAlign w:val="bottom"/>
            <w:hideMark/>
          </w:tcPr>
          <w:p w14:paraId="0B0F188F" w14:textId="2732A619"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037</w:t>
            </w:r>
            <w:r w:rsidR="00205C10">
              <w:rPr>
                <w:rFonts w:eastAsia="Times New Roman"/>
                <w:color w:val="000000"/>
                <w:sz w:val="20"/>
                <w:szCs w:val="20"/>
              </w:rPr>
              <w:t xml:space="preserve"> </w:t>
            </w:r>
            <w:r w:rsidRPr="000D20E9">
              <w:rPr>
                <w:rFonts w:eastAsia="Times New Roman"/>
                <w:color w:val="000000"/>
                <w:sz w:val="20"/>
                <w:szCs w:val="20"/>
              </w:rPr>
              <w:t>003***</w:t>
            </w:r>
          </w:p>
          <w:p w14:paraId="5D2DD321" w14:textId="563518D6"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w:t>
            </w:r>
            <w:r w:rsidR="00D75500" w:rsidRPr="000D20E9">
              <w:rPr>
                <w:rFonts w:eastAsia="Times New Roman"/>
                <w:color w:val="000000"/>
                <w:sz w:val="20"/>
                <w:szCs w:val="20"/>
              </w:rPr>
              <w:t>.</w:t>
            </w:r>
            <w:r w:rsidRPr="000D20E9">
              <w:rPr>
                <w:rFonts w:eastAsia="Times New Roman"/>
                <w:color w:val="000000"/>
                <w:sz w:val="20"/>
                <w:szCs w:val="20"/>
              </w:rPr>
              <w:t>003</w:t>
            </w:r>
            <w:r w:rsidR="00A76033">
              <w:rPr>
                <w:rFonts w:eastAsia="Times New Roman"/>
                <w:color w:val="000000"/>
                <w:sz w:val="20"/>
                <w:szCs w:val="20"/>
              </w:rPr>
              <w:t xml:space="preserve"> </w:t>
            </w:r>
            <w:r w:rsidR="00622E95">
              <w:rPr>
                <w:rFonts w:eastAsia="Times New Roman"/>
                <w:color w:val="000000"/>
                <w:sz w:val="20"/>
                <w:szCs w:val="20"/>
              </w:rPr>
              <w:t>150</w:t>
            </w:r>
            <w:r w:rsidRPr="000D20E9">
              <w:rPr>
                <w:rFonts w:eastAsia="Times New Roman"/>
                <w:color w:val="000000"/>
                <w:sz w:val="20"/>
                <w:szCs w:val="20"/>
              </w:rPr>
              <w:t>)</w:t>
            </w:r>
          </w:p>
        </w:tc>
      </w:tr>
      <w:tr w:rsidR="00C2719E" w:rsidRPr="000D20E9" w14:paraId="00026DC8" w14:textId="77777777" w:rsidTr="00C2719E">
        <w:trPr>
          <w:trHeight w:val="300"/>
          <w:jc w:val="center"/>
        </w:trPr>
        <w:tc>
          <w:tcPr>
            <w:tcW w:w="1458" w:type="dxa"/>
            <w:tcBorders>
              <w:top w:val="nil"/>
              <w:left w:val="nil"/>
              <w:right w:val="nil"/>
            </w:tcBorders>
            <w:shd w:val="clear" w:color="auto" w:fill="auto"/>
            <w:noWrap/>
            <w:vAlign w:val="bottom"/>
            <w:hideMark/>
          </w:tcPr>
          <w:p w14:paraId="0291FDA5" w14:textId="77777777" w:rsidR="00C2719E" w:rsidRPr="000D20E9" w:rsidRDefault="00C2719E" w:rsidP="000D20E9">
            <w:pPr>
              <w:spacing w:line="240" w:lineRule="exact"/>
              <w:rPr>
                <w:rFonts w:eastAsia="Times New Roman"/>
                <w:color w:val="000000"/>
                <w:sz w:val="20"/>
                <w:szCs w:val="20"/>
                <w:vertAlign w:val="superscript"/>
              </w:rPr>
            </w:pPr>
            <w:r w:rsidRPr="000D20E9">
              <w:rPr>
                <w:rFonts w:eastAsia="Times New Roman"/>
                <w:color w:val="000000"/>
                <w:sz w:val="20"/>
                <w:szCs w:val="20"/>
              </w:rPr>
              <w:t>Sigma</w:t>
            </w:r>
            <w:r w:rsidRPr="000D20E9">
              <w:rPr>
                <w:rFonts w:eastAsia="Times New Roman"/>
                <w:color w:val="000000"/>
                <w:sz w:val="20"/>
                <w:szCs w:val="20"/>
                <w:vertAlign w:val="superscript"/>
              </w:rPr>
              <w:t>2</w:t>
            </w:r>
          </w:p>
        </w:tc>
        <w:tc>
          <w:tcPr>
            <w:tcW w:w="2209" w:type="dxa"/>
            <w:tcBorders>
              <w:top w:val="nil"/>
              <w:left w:val="nil"/>
              <w:right w:val="nil"/>
            </w:tcBorders>
            <w:shd w:val="clear" w:color="auto" w:fill="auto"/>
            <w:noWrap/>
            <w:vAlign w:val="bottom"/>
            <w:hideMark/>
          </w:tcPr>
          <w:p w14:paraId="35BC51B3" w14:textId="567D8ABA"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1</w:t>
            </w:r>
            <w:r w:rsidR="00D75500" w:rsidRPr="000D20E9">
              <w:rPr>
                <w:rFonts w:eastAsia="Times New Roman"/>
                <w:color w:val="000000"/>
                <w:sz w:val="20"/>
                <w:szCs w:val="20"/>
              </w:rPr>
              <w:t>.</w:t>
            </w:r>
            <w:r w:rsidRPr="000D20E9">
              <w:rPr>
                <w:rFonts w:eastAsia="Times New Roman"/>
                <w:color w:val="000000"/>
                <w:sz w:val="20"/>
                <w:szCs w:val="20"/>
              </w:rPr>
              <w:t>110</w:t>
            </w:r>
            <w:r w:rsidR="00F63376">
              <w:rPr>
                <w:rFonts w:eastAsia="Times New Roman"/>
                <w:color w:val="000000"/>
                <w:sz w:val="20"/>
                <w:szCs w:val="20"/>
              </w:rPr>
              <w:t xml:space="preserve"> </w:t>
            </w:r>
            <w:r w:rsidRPr="000D20E9">
              <w:rPr>
                <w:rFonts w:eastAsia="Times New Roman"/>
                <w:color w:val="000000"/>
                <w:sz w:val="20"/>
                <w:szCs w:val="20"/>
              </w:rPr>
              <w:t>187</w:t>
            </w:r>
          </w:p>
        </w:tc>
        <w:tc>
          <w:tcPr>
            <w:tcW w:w="2526" w:type="dxa"/>
            <w:tcBorders>
              <w:top w:val="nil"/>
              <w:left w:val="nil"/>
              <w:right w:val="nil"/>
            </w:tcBorders>
            <w:shd w:val="clear" w:color="auto" w:fill="auto"/>
            <w:noWrap/>
            <w:vAlign w:val="bottom"/>
            <w:hideMark/>
          </w:tcPr>
          <w:p w14:paraId="149700B2" w14:textId="7E8A2352"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934</w:t>
            </w:r>
            <w:r w:rsidR="00B66BE5">
              <w:rPr>
                <w:rFonts w:eastAsia="Times New Roman"/>
                <w:color w:val="000000"/>
                <w:sz w:val="20"/>
                <w:szCs w:val="20"/>
              </w:rPr>
              <w:t xml:space="preserve"> 850</w:t>
            </w:r>
          </w:p>
        </w:tc>
      </w:tr>
      <w:tr w:rsidR="00C2719E" w:rsidRPr="000D20E9" w14:paraId="45E02D65" w14:textId="77777777" w:rsidTr="00C2719E">
        <w:trPr>
          <w:trHeight w:val="300"/>
          <w:jc w:val="center"/>
        </w:trPr>
        <w:tc>
          <w:tcPr>
            <w:tcW w:w="1458" w:type="dxa"/>
            <w:tcBorders>
              <w:top w:val="nil"/>
              <w:left w:val="nil"/>
              <w:bottom w:val="single" w:sz="4" w:space="0" w:color="auto"/>
              <w:right w:val="nil"/>
            </w:tcBorders>
            <w:shd w:val="clear" w:color="auto" w:fill="auto"/>
            <w:noWrap/>
            <w:vAlign w:val="bottom"/>
            <w:hideMark/>
          </w:tcPr>
          <w:p w14:paraId="783A3F36" w14:textId="77777777"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Gamma</w:t>
            </w:r>
          </w:p>
        </w:tc>
        <w:tc>
          <w:tcPr>
            <w:tcW w:w="2209" w:type="dxa"/>
            <w:tcBorders>
              <w:top w:val="nil"/>
              <w:left w:val="nil"/>
              <w:bottom w:val="single" w:sz="4" w:space="0" w:color="auto"/>
              <w:right w:val="nil"/>
            </w:tcBorders>
            <w:shd w:val="clear" w:color="auto" w:fill="auto"/>
            <w:noWrap/>
            <w:vAlign w:val="bottom"/>
            <w:hideMark/>
          </w:tcPr>
          <w:p w14:paraId="6D97E53D" w14:textId="7E20D349"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833</w:t>
            </w:r>
            <w:r w:rsidR="00F25CDA">
              <w:rPr>
                <w:rFonts w:eastAsia="Times New Roman"/>
                <w:color w:val="000000"/>
                <w:sz w:val="20"/>
                <w:szCs w:val="20"/>
              </w:rPr>
              <w:t xml:space="preserve"> </w:t>
            </w:r>
            <w:r w:rsidR="00726655">
              <w:rPr>
                <w:rFonts w:eastAsia="Times New Roman"/>
                <w:color w:val="000000"/>
                <w:sz w:val="20"/>
                <w:szCs w:val="20"/>
              </w:rPr>
              <w:t>919</w:t>
            </w:r>
            <w:r w:rsidRPr="000D20E9">
              <w:rPr>
                <w:rFonts w:eastAsia="Times New Roman"/>
                <w:color w:val="000000"/>
                <w:sz w:val="20"/>
                <w:szCs w:val="20"/>
              </w:rPr>
              <w:t>***</w:t>
            </w:r>
          </w:p>
        </w:tc>
        <w:tc>
          <w:tcPr>
            <w:tcW w:w="2526" w:type="dxa"/>
            <w:tcBorders>
              <w:top w:val="nil"/>
              <w:left w:val="nil"/>
              <w:bottom w:val="single" w:sz="4" w:space="0" w:color="auto"/>
              <w:right w:val="nil"/>
            </w:tcBorders>
            <w:shd w:val="clear" w:color="auto" w:fill="auto"/>
            <w:noWrap/>
            <w:vAlign w:val="bottom"/>
            <w:hideMark/>
          </w:tcPr>
          <w:p w14:paraId="77424F11" w14:textId="0C2F8CD0" w:rsidR="00C2719E" w:rsidRPr="000D20E9" w:rsidRDefault="00C2719E" w:rsidP="000D20E9">
            <w:pPr>
              <w:spacing w:line="240" w:lineRule="exact"/>
              <w:rPr>
                <w:rFonts w:eastAsia="Times New Roman"/>
                <w:color w:val="000000"/>
                <w:sz w:val="20"/>
                <w:szCs w:val="20"/>
              </w:rPr>
            </w:pPr>
            <w:r w:rsidRPr="000D20E9">
              <w:rPr>
                <w:rFonts w:eastAsia="Times New Roman"/>
                <w:color w:val="000000"/>
                <w:sz w:val="20"/>
                <w:szCs w:val="20"/>
              </w:rPr>
              <w:t>0</w:t>
            </w:r>
            <w:r w:rsidR="00D75500" w:rsidRPr="000D20E9">
              <w:rPr>
                <w:rFonts w:eastAsia="Times New Roman"/>
                <w:color w:val="000000"/>
                <w:sz w:val="20"/>
                <w:szCs w:val="20"/>
              </w:rPr>
              <w:t>.</w:t>
            </w:r>
            <w:r w:rsidRPr="000D20E9">
              <w:rPr>
                <w:rFonts w:eastAsia="Times New Roman"/>
                <w:color w:val="000000"/>
                <w:sz w:val="20"/>
                <w:szCs w:val="20"/>
              </w:rPr>
              <w:t>820</w:t>
            </w:r>
            <w:r w:rsidR="00371E38">
              <w:rPr>
                <w:rFonts w:eastAsia="Times New Roman"/>
                <w:color w:val="000000"/>
                <w:sz w:val="20"/>
                <w:szCs w:val="20"/>
              </w:rPr>
              <w:t xml:space="preserve"> </w:t>
            </w:r>
            <w:r w:rsidRPr="000D20E9">
              <w:rPr>
                <w:rFonts w:eastAsia="Times New Roman"/>
                <w:color w:val="000000"/>
                <w:sz w:val="20"/>
                <w:szCs w:val="20"/>
              </w:rPr>
              <w:t>268***</w:t>
            </w:r>
          </w:p>
        </w:tc>
      </w:tr>
    </w:tbl>
    <w:p w14:paraId="25E85B7B" w14:textId="5B6DC71F" w:rsidR="00296459" w:rsidRPr="000D20E9" w:rsidRDefault="00296459" w:rsidP="000D20E9">
      <w:pPr>
        <w:autoSpaceDE w:val="0"/>
        <w:autoSpaceDN w:val="0"/>
        <w:adjustRightInd w:val="0"/>
        <w:spacing w:line="240" w:lineRule="exact"/>
        <w:rPr>
          <w:sz w:val="20"/>
          <w:szCs w:val="20"/>
        </w:rPr>
      </w:pPr>
      <w:r w:rsidRPr="000D20E9">
        <w:rPr>
          <w:b/>
          <w:bCs/>
          <w:sz w:val="20"/>
          <w:szCs w:val="20"/>
        </w:rPr>
        <w:t xml:space="preserve">Note: </w:t>
      </w:r>
      <w:r w:rsidR="00947089">
        <w:rPr>
          <w:sz w:val="20"/>
          <w:szCs w:val="20"/>
        </w:rPr>
        <w:t>Values in parentheses (</w:t>
      </w:r>
      <w:r w:rsidRPr="000D20E9">
        <w:rPr>
          <w:sz w:val="20"/>
          <w:szCs w:val="20"/>
        </w:rPr>
        <w:t>) are standard errors.</w:t>
      </w:r>
      <w:r w:rsidR="003B3051">
        <w:rPr>
          <w:sz w:val="20"/>
          <w:szCs w:val="20"/>
        </w:rPr>
        <w:t xml:space="preserve"> </w:t>
      </w:r>
      <w:r w:rsidRPr="000D20E9">
        <w:rPr>
          <w:sz w:val="20"/>
          <w:szCs w:val="20"/>
        </w:rPr>
        <w:t>*** Significant at the 1 per cent level; ** Significant at 5 per cent level; * Significant at 10 per cent level.</w:t>
      </w:r>
    </w:p>
    <w:p w14:paraId="34968E22" w14:textId="77777777" w:rsidR="00025304" w:rsidRDefault="00025304" w:rsidP="000D20E9">
      <w:pPr>
        <w:spacing w:line="240" w:lineRule="exact"/>
        <w:jc w:val="both"/>
        <w:rPr>
          <w:sz w:val="20"/>
          <w:szCs w:val="20"/>
        </w:rPr>
      </w:pPr>
    </w:p>
    <w:p w14:paraId="0124A7C7" w14:textId="77777777" w:rsidR="00115175" w:rsidRPr="009347AA" w:rsidRDefault="00115175" w:rsidP="00115175">
      <w:pPr>
        <w:spacing w:after="80" w:line="240" w:lineRule="exact"/>
        <w:outlineLvl w:val="0"/>
        <w:rPr>
          <w:b/>
          <w:sz w:val="20"/>
          <w:szCs w:val="20"/>
        </w:rPr>
      </w:pPr>
      <w:r w:rsidRPr="009347AA">
        <w:rPr>
          <w:b/>
          <w:sz w:val="20"/>
          <w:szCs w:val="20"/>
        </w:rPr>
        <w:t>Copyrights</w:t>
      </w:r>
    </w:p>
    <w:p w14:paraId="76452A3F" w14:textId="77777777" w:rsidR="00115175" w:rsidRPr="009347AA" w:rsidRDefault="00115175" w:rsidP="00115175">
      <w:pPr>
        <w:spacing w:after="80" w:line="240" w:lineRule="exact"/>
        <w:rPr>
          <w:sz w:val="20"/>
          <w:szCs w:val="20"/>
        </w:rPr>
      </w:pPr>
      <w:bookmarkStart w:id="1" w:name="OLE_LINK9"/>
      <w:bookmarkStart w:id="2" w:name="OLE_LINK10"/>
      <w:r w:rsidRPr="009347AA">
        <w:rPr>
          <w:sz w:val="20"/>
          <w:szCs w:val="20"/>
        </w:rPr>
        <w:t>Copyright for this article is retained by the author(s), with first publication rights granted to the journal.</w:t>
      </w:r>
    </w:p>
    <w:p w14:paraId="5672B27D" w14:textId="77777777" w:rsidR="00115175" w:rsidRPr="009347AA" w:rsidRDefault="00115175" w:rsidP="00115175">
      <w:pPr>
        <w:spacing w:after="80" w:line="240" w:lineRule="exact"/>
        <w:rPr>
          <w:sz w:val="20"/>
          <w:szCs w:val="20"/>
        </w:rPr>
      </w:pPr>
      <w:r w:rsidRPr="009347AA">
        <w:rPr>
          <w:sz w:val="20"/>
          <w:szCs w:val="20"/>
        </w:rPr>
        <w:t>This is an open-access article distributed under the terms and conditions of the Creative Commons Attribution license (http://creativecommons.org/licenses/by/3.0/).</w:t>
      </w:r>
    </w:p>
    <w:bookmarkEnd w:id="1"/>
    <w:bookmarkEnd w:id="2"/>
    <w:p w14:paraId="43391D45" w14:textId="77777777" w:rsidR="00115175" w:rsidRPr="000D20E9" w:rsidRDefault="00115175" w:rsidP="000D20E9">
      <w:pPr>
        <w:spacing w:line="240" w:lineRule="exact"/>
        <w:jc w:val="both"/>
        <w:rPr>
          <w:sz w:val="20"/>
          <w:szCs w:val="20"/>
        </w:rPr>
      </w:pPr>
    </w:p>
    <w:sectPr w:rsidR="00115175" w:rsidRPr="000D20E9" w:rsidSect="00185A40">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7058F" w14:textId="77777777" w:rsidR="00D04104" w:rsidRDefault="00D04104" w:rsidP="007C35D3">
      <w:r>
        <w:separator/>
      </w:r>
    </w:p>
  </w:endnote>
  <w:endnote w:type="continuationSeparator" w:id="0">
    <w:p w14:paraId="004FE918" w14:textId="77777777" w:rsidR="00D04104" w:rsidRDefault="00D04104" w:rsidP="007C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2A87" w:usb1="80000000" w:usb2="00000008"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2A91F" w14:textId="77777777" w:rsidR="00C42A6A" w:rsidRDefault="00C42A6A" w:rsidP="002059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45AF7" w14:textId="77777777" w:rsidR="00C42A6A" w:rsidRDefault="00C42A6A" w:rsidP="007C35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EE98" w14:textId="7436E12D" w:rsidR="00C42A6A" w:rsidRDefault="00C42A6A" w:rsidP="002059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74E4">
      <w:rPr>
        <w:rStyle w:val="PageNumber"/>
        <w:noProof/>
      </w:rPr>
      <w:t>10</w:t>
    </w:r>
    <w:r>
      <w:rPr>
        <w:rStyle w:val="PageNumber"/>
      </w:rPr>
      <w:fldChar w:fldCharType="end"/>
    </w:r>
  </w:p>
  <w:p w14:paraId="49EF1D39" w14:textId="77777777" w:rsidR="00C42A6A" w:rsidRDefault="00C42A6A" w:rsidP="007C35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06E5E" w14:textId="77777777" w:rsidR="00D04104" w:rsidRDefault="00D04104" w:rsidP="007C35D3">
      <w:r>
        <w:separator/>
      </w:r>
    </w:p>
  </w:footnote>
  <w:footnote w:type="continuationSeparator" w:id="0">
    <w:p w14:paraId="0A6AF82C" w14:textId="77777777" w:rsidR="00D04104" w:rsidRDefault="00D04104" w:rsidP="007C35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B0F7F"/>
    <w:multiLevelType w:val="hybridMultilevel"/>
    <w:tmpl w:val="E0EE9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0"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AE"/>
    <w:rsid w:val="000003FD"/>
    <w:rsid w:val="0000208C"/>
    <w:rsid w:val="00006469"/>
    <w:rsid w:val="00006B94"/>
    <w:rsid w:val="00007596"/>
    <w:rsid w:val="00007B9B"/>
    <w:rsid w:val="00012545"/>
    <w:rsid w:val="00014B2C"/>
    <w:rsid w:val="00015D33"/>
    <w:rsid w:val="000205FA"/>
    <w:rsid w:val="00021072"/>
    <w:rsid w:val="00022131"/>
    <w:rsid w:val="00023C4B"/>
    <w:rsid w:val="00025304"/>
    <w:rsid w:val="00032428"/>
    <w:rsid w:val="00035100"/>
    <w:rsid w:val="00041C86"/>
    <w:rsid w:val="0004243C"/>
    <w:rsid w:val="00042BDB"/>
    <w:rsid w:val="00043A3A"/>
    <w:rsid w:val="00055726"/>
    <w:rsid w:val="00055FE6"/>
    <w:rsid w:val="00061691"/>
    <w:rsid w:val="00063708"/>
    <w:rsid w:val="00066791"/>
    <w:rsid w:val="000820E5"/>
    <w:rsid w:val="0008281D"/>
    <w:rsid w:val="000836FB"/>
    <w:rsid w:val="00084B08"/>
    <w:rsid w:val="000A18C8"/>
    <w:rsid w:val="000A6495"/>
    <w:rsid w:val="000A6966"/>
    <w:rsid w:val="000A75BB"/>
    <w:rsid w:val="000B046E"/>
    <w:rsid w:val="000B2142"/>
    <w:rsid w:val="000B5AFA"/>
    <w:rsid w:val="000B7BEC"/>
    <w:rsid w:val="000C1B7C"/>
    <w:rsid w:val="000D04CE"/>
    <w:rsid w:val="000D20E9"/>
    <w:rsid w:val="000D31D9"/>
    <w:rsid w:val="000D35BA"/>
    <w:rsid w:val="000E01EB"/>
    <w:rsid w:val="000E28F4"/>
    <w:rsid w:val="000E573D"/>
    <w:rsid w:val="000F4494"/>
    <w:rsid w:val="000F5EB1"/>
    <w:rsid w:val="00104B53"/>
    <w:rsid w:val="00104DBC"/>
    <w:rsid w:val="00115175"/>
    <w:rsid w:val="001161A3"/>
    <w:rsid w:val="001228C3"/>
    <w:rsid w:val="00125AF8"/>
    <w:rsid w:val="00133430"/>
    <w:rsid w:val="00133B4D"/>
    <w:rsid w:val="00135A1D"/>
    <w:rsid w:val="0014277C"/>
    <w:rsid w:val="00144598"/>
    <w:rsid w:val="0014471F"/>
    <w:rsid w:val="00150A20"/>
    <w:rsid w:val="00156402"/>
    <w:rsid w:val="00156CBE"/>
    <w:rsid w:val="00163AEB"/>
    <w:rsid w:val="001717C5"/>
    <w:rsid w:val="001726C9"/>
    <w:rsid w:val="00174B64"/>
    <w:rsid w:val="00180623"/>
    <w:rsid w:val="00181977"/>
    <w:rsid w:val="001828CA"/>
    <w:rsid w:val="00184BF6"/>
    <w:rsid w:val="00185A40"/>
    <w:rsid w:val="001866E3"/>
    <w:rsid w:val="001937E2"/>
    <w:rsid w:val="00195EF8"/>
    <w:rsid w:val="0019717F"/>
    <w:rsid w:val="001A03ED"/>
    <w:rsid w:val="001A458E"/>
    <w:rsid w:val="001A4BE6"/>
    <w:rsid w:val="001A7358"/>
    <w:rsid w:val="001B0855"/>
    <w:rsid w:val="001B1413"/>
    <w:rsid w:val="001B2D18"/>
    <w:rsid w:val="001B3136"/>
    <w:rsid w:val="001B3B01"/>
    <w:rsid w:val="001B56B5"/>
    <w:rsid w:val="001B56DE"/>
    <w:rsid w:val="001C2D7F"/>
    <w:rsid w:val="001C3A40"/>
    <w:rsid w:val="001C3FA7"/>
    <w:rsid w:val="001C62DC"/>
    <w:rsid w:val="001C6346"/>
    <w:rsid w:val="001C6E98"/>
    <w:rsid w:val="001D2C07"/>
    <w:rsid w:val="001D2F91"/>
    <w:rsid w:val="001D40B6"/>
    <w:rsid w:val="001E0B7F"/>
    <w:rsid w:val="001E5045"/>
    <w:rsid w:val="001E6C93"/>
    <w:rsid w:val="001F7DD0"/>
    <w:rsid w:val="002030B4"/>
    <w:rsid w:val="002049BB"/>
    <w:rsid w:val="002059C7"/>
    <w:rsid w:val="00205C10"/>
    <w:rsid w:val="002078B5"/>
    <w:rsid w:val="0020790A"/>
    <w:rsid w:val="0021000E"/>
    <w:rsid w:val="00210E80"/>
    <w:rsid w:val="00214A77"/>
    <w:rsid w:val="002229D0"/>
    <w:rsid w:val="00222F66"/>
    <w:rsid w:val="00223012"/>
    <w:rsid w:val="0022773D"/>
    <w:rsid w:val="002324C6"/>
    <w:rsid w:val="00233917"/>
    <w:rsid w:val="00240091"/>
    <w:rsid w:val="00246278"/>
    <w:rsid w:val="00246C8D"/>
    <w:rsid w:val="00251EDE"/>
    <w:rsid w:val="002548DD"/>
    <w:rsid w:val="00254E10"/>
    <w:rsid w:val="00261CCF"/>
    <w:rsid w:val="00261E7F"/>
    <w:rsid w:val="00262425"/>
    <w:rsid w:val="00264800"/>
    <w:rsid w:val="00264D03"/>
    <w:rsid w:val="0026777F"/>
    <w:rsid w:val="002708D1"/>
    <w:rsid w:val="0027176C"/>
    <w:rsid w:val="00276BF5"/>
    <w:rsid w:val="00281084"/>
    <w:rsid w:val="00292CAD"/>
    <w:rsid w:val="002945D3"/>
    <w:rsid w:val="0029607D"/>
    <w:rsid w:val="00296459"/>
    <w:rsid w:val="002A227E"/>
    <w:rsid w:val="002A3B14"/>
    <w:rsid w:val="002A4439"/>
    <w:rsid w:val="002A5166"/>
    <w:rsid w:val="002A6080"/>
    <w:rsid w:val="002A60C3"/>
    <w:rsid w:val="002A64D7"/>
    <w:rsid w:val="002A6FFB"/>
    <w:rsid w:val="002B0E3D"/>
    <w:rsid w:val="002B4508"/>
    <w:rsid w:val="002B58BD"/>
    <w:rsid w:val="002B597E"/>
    <w:rsid w:val="002B7BBC"/>
    <w:rsid w:val="002C08CE"/>
    <w:rsid w:val="002C433B"/>
    <w:rsid w:val="002D4EEE"/>
    <w:rsid w:val="002D5979"/>
    <w:rsid w:val="002D7CFC"/>
    <w:rsid w:val="002E066B"/>
    <w:rsid w:val="002E10BD"/>
    <w:rsid w:val="002E37F6"/>
    <w:rsid w:val="002E3B1F"/>
    <w:rsid w:val="002F0744"/>
    <w:rsid w:val="002F352E"/>
    <w:rsid w:val="00301492"/>
    <w:rsid w:val="00306EAE"/>
    <w:rsid w:val="003105B7"/>
    <w:rsid w:val="003115D2"/>
    <w:rsid w:val="00316E51"/>
    <w:rsid w:val="00316F9E"/>
    <w:rsid w:val="00317771"/>
    <w:rsid w:val="00320D60"/>
    <w:rsid w:val="00321CF4"/>
    <w:rsid w:val="0032297E"/>
    <w:rsid w:val="003257E3"/>
    <w:rsid w:val="00330459"/>
    <w:rsid w:val="0033077C"/>
    <w:rsid w:val="00334F1B"/>
    <w:rsid w:val="003354F7"/>
    <w:rsid w:val="003357AE"/>
    <w:rsid w:val="0033695F"/>
    <w:rsid w:val="00336F88"/>
    <w:rsid w:val="00337596"/>
    <w:rsid w:val="0034351D"/>
    <w:rsid w:val="00343FD7"/>
    <w:rsid w:val="00344F84"/>
    <w:rsid w:val="00350C8B"/>
    <w:rsid w:val="0035334D"/>
    <w:rsid w:val="00354BE7"/>
    <w:rsid w:val="00356CE2"/>
    <w:rsid w:val="00357729"/>
    <w:rsid w:val="003578B2"/>
    <w:rsid w:val="00360880"/>
    <w:rsid w:val="00360915"/>
    <w:rsid w:val="00363D99"/>
    <w:rsid w:val="003645A7"/>
    <w:rsid w:val="00371E38"/>
    <w:rsid w:val="003749E6"/>
    <w:rsid w:val="003769F1"/>
    <w:rsid w:val="00376CBF"/>
    <w:rsid w:val="00377D7C"/>
    <w:rsid w:val="00380237"/>
    <w:rsid w:val="003809D9"/>
    <w:rsid w:val="00384AC3"/>
    <w:rsid w:val="00385826"/>
    <w:rsid w:val="00385A3A"/>
    <w:rsid w:val="00392387"/>
    <w:rsid w:val="00394A04"/>
    <w:rsid w:val="00397E59"/>
    <w:rsid w:val="003A4583"/>
    <w:rsid w:val="003B1857"/>
    <w:rsid w:val="003B3051"/>
    <w:rsid w:val="003B603C"/>
    <w:rsid w:val="003C002E"/>
    <w:rsid w:val="003C0254"/>
    <w:rsid w:val="003C17D4"/>
    <w:rsid w:val="003C2C79"/>
    <w:rsid w:val="003C60AB"/>
    <w:rsid w:val="003D1430"/>
    <w:rsid w:val="003D16B2"/>
    <w:rsid w:val="003D1BC1"/>
    <w:rsid w:val="003D416A"/>
    <w:rsid w:val="003D53D7"/>
    <w:rsid w:val="003D678F"/>
    <w:rsid w:val="003E0315"/>
    <w:rsid w:val="003E0D7B"/>
    <w:rsid w:val="003E5E8E"/>
    <w:rsid w:val="003E7429"/>
    <w:rsid w:val="003F03A9"/>
    <w:rsid w:val="003F045F"/>
    <w:rsid w:val="003F08E9"/>
    <w:rsid w:val="003F4B75"/>
    <w:rsid w:val="004022DE"/>
    <w:rsid w:val="00410CDB"/>
    <w:rsid w:val="00415797"/>
    <w:rsid w:val="00415B7C"/>
    <w:rsid w:val="00417FA0"/>
    <w:rsid w:val="00420071"/>
    <w:rsid w:val="004320BC"/>
    <w:rsid w:val="00436B96"/>
    <w:rsid w:val="004377DC"/>
    <w:rsid w:val="004403B0"/>
    <w:rsid w:val="00442650"/>
    <w:rsid w:val="00444D7A"/>
    <w:rsid w:val="0044677F"/>
    <w:rsid w:val="0046059B"/>
    <w:rsid w:val="00464EE9"/>
    <w:rsid w:val="00465FB4"/>
    <w:rsid w:val="00471BF7"/>
    <w:rsid w:val="00471CD5"/>
    <w:rsid w:val="00475315"/>
    <w:rsid w:val="0047600B"/>
    <w:rsid w:val="00480E65"/>
    <w:rsid w:val="00482E00"/>
    <w:rsid w:val="004832B1"/>
    <w:rsid w:val="0048398A"/>
    <w:rsid w:val="00483C8A"/>
    <w:rsid w:val="00484D83"/>
    <w:rsid w:val="00485A34"/>
    <w:rsid w:val="00486FE3"/>
    <w:rsid w:val="00492D1C"/>
    <w:rsid w:val="00497C07"/>
    <w:rsid w:val="004A21EE"/>
    <w:rsid w:val="004A52B0"/>
    <w:rsid w:val="004A76C2"/>
    <w:rsid w:val="004B0801"/>
    <w:rsid w:val="004B0E4A"/>
    <w:rsid w:val="004B101F"/>
    <w:rsid w:val="004B2477"/>
    <w:rsid w:val="004B3893"/>
    <w:rsid w:val="004C0486"/>
    <w:rsid w:val="004C5E9E"/>
    <w:rsid w:val="004C6528"/>
    <w:rsid w:val="004C7652"/>
    <w:rsid w:val="004D1089"/>
    <w:rsid w:val="004D47D6"/>
    <w:rsid w:val="004D7A3B"/>
    <w:rsid w:val="004E1C81"/>
    <w:rsid w:val="004E56B4"/>
    <w:rsid w:val="004F4333"/>
    <w:rsid w:val="004F50BF"/>
    <w:rsid w:val="005002A5"/>
    <w:rsid w:val="00503903"/>
    <w:rsid w:val="005057E7"/>
    <w:rsid w:val="0051102C"/>
    <w:rsid w:val="00513AB9"/>
    <w:rsid w:val="00521804"/>
    <w:rsid w:val="00523099"/>
    <w:rsid w:val="005275CB"/>
    <w:rsid w:val="00527968"/>
    <w:rsid w:val="0053240D"/>
    <w:rsid w:val="00534841"/>
    <w:rsid w:val="00537B26"/>
    <w:rsid w:val="00537F27"/>
    <w:rsid w:val="00540041"/>
    <w:rsid w:val="005400D6"/>
    <w:rsid w:val="005430F9"/>
    <w:rsid w:val="00545522"/>
    <w:rsid w:val="005506EE"/>
    <w:rsid w:val="00552025"/>
    <w:rsid w:val="00552D0E"/>
    <w:rsid w:val="00554E66"/>
    <w:rsid w:val="005550BD"/>
    <w:rsid w:val="00561759"/>
    <w:rsid w:val="00562D5C"/>
    <w:rsid w:val="00564042"/>
    <w:rsid w:val="005649BE"/>
    <w:rsid w:val="00565C50"/>
    <w:rsid w:val="0057176F"/>
    <w:rsid w:val="0057196A"/>
    <w:rsid w:val="00571D8D"/>
    <w:rsid w:val="005766FF"/>
    <w:rsid w:val="00576BCF"/>
    <w:rsid w:val="00577CAA"/>
    <w:rsid w:val="005825BE"/>
    <w:rsid w:val="005865D9"/>
    <w:rsid w:val="00591964"/>
    <w:rsid w:val="00591C5D"/>
    <w:rsid w:val="005936E8"/>
    <w:rsid w:val="00593A15"/>
    <w:rsid w:val="00593CC7"/>
    <w:rsid w:val="005B056E"/>
    <w:rsid w:val="005B3A5E"/>
    <w:rsid w:val="005B43D6"/>
    <w:rsid w:val="005B4D73"/>
    <w:rsid w:val="005B5FDB"/>
    <w:rsid w:val="005C1B71"/>
    <w:rsid w:val="005C362E"/>
    <w:rsid w:val="005C4D67"/>
    <w:rsid w:val="005C505C"/>
    <w:rsid w:val="005D235B"/>
    <w:rsid w:val="005D2BAE"/>
    <w:rsid w:val="005D4D6A"/>
    <w:rsid w:val="005D6183"/>
    <w:rsid w:val="005D6E4C"/>
    <w:rsid w:val="005E04A2"/>
    <w:rsid w:val="005E1BED"/>
    <w:rsid w:val="005F3320"/>
    <w:rsid w:val="005F443E"/>
    <w:rsid w:val="005F67B5"/>
    <w:rsid w:val="005F6FEB"/>
    <w:rsid w:val="005F7BB4"/>
    <w:rsid w:val="0060080B"/>
    <w:rsid w:val="00601444"/>
    <w:rsid w:val="00602C71"/>
    <w:rsid w:val="0060454E"/>
    <w:rsid w:val="006045B9"/>
    <w:rsid w:val="00604810"/>
    <w:rsid w:val="00614864"/>
    <w:rsid w:val="00622E95"/>
    <w:rsid w:val="00623AC4"/>
    <w:rsid w:val="0062440E"/>
    <w:rsid w:val="006255F9"/>
    <w:rsid w:val="00625DAB"/>
    <w:rsid w:val="00631634"/>
    <w:rsid w:val="00631B71"/>
    <w:rsid w:val="006321EF"/>
    <w:rsid w:val="00632230"/>
    <w:rsid w:val="00636276"/>
    <w:rsid w:val="00637078"/>
    <w:rsid w:val="00645E8B"/>
    <w:rsid w:val="00646B85"/>
    <w:rsid w:val="00647EF9"/>
    <w:rsid w:val="00652343"/>
    <w:rsid w:val="006542CC"/>
    <w:rsid w:val="00655527"/>
    <w:rsid w:val="00655E00"/>
    <w:rsid w:val="00663109"/>
    <w:rsid w:val="006634DE"/>
    <w:rsid w:val="00663827"/>
    <w:rsid w:val="006661C8"/>
    <w:rsid w:val="006715AB"/>
    <w:rsid w:val="0067464D"/>
    <w:rsid w:val="00674673"/>
    <w:rsid w:val="00677E56"/>
    <w:rsid w:val="006814EC"/>
    <w:rsid w:val="006845FE"/>
    <w:rsid w:val="00686A62"/>
    <w:rsid w:val="00686B6B"/>
    <w:rsid w:val="006934BC"/>
    <w:rsid w:val="006A0626"/>
    <w:rsid w:val="006A1622"/>
    <w:rsid w:val="006A5814"/>
    <w:rsid w:val="006B38DA"/>
    <w:rsid w:val="006C1ABE"/>
    <w:rsid w:val="006C3AF5"/>
    <w:rsid w:val="006C3C1D"/>
    <w:rsid w:val="006D52EE"/>
    <w:rsid w:val="006E0BE7"/>
    <w:rsid w:val="006E2E3D"/>
    <w:rsid w:val="006E335C"/>
    <w:rsid w:val="006E4109"/>
    <w:rsid w:val="006E6D7C"/>
    <w:rsid w:val="006F0064"/>
    <w:rsid w:val="006F403B"/>
    <w:rsid w:val="007002B6"/>
    <w:rsid w:val="00701873"/>
    <w:rsid w:val="00701A86"/>
    <w:rsid w:val="00704AA8"/>
    <w:rsid w:val="00705346"/>
    <w:rsid w:val="00705F25"/>
    <w:rsid w:val="007072EE"/>
    <w:rsid w:val="0071354C"/>
    <w:rsid w:val="00717859"/>
    <w:rsid w:val="00717D12"/>
    <w:rsid w:val="007234C4"/>
    <w:rsid w:val="00723B16"/>
    <w:rsid w:val="00726655"/>
    <w:rsid w:val="00730B1C"/>
    <w:rsid w:val="00733E53"/>
    <w:rsid w:val="007344D6"/>
    <w:rsid w:val="00740B31"/>
    <w:rsid w:val="00742803"/>
    <w:rsid w:val="0074352B"/>
    <w:rsid w:val="007473ED"/>
    <w:rsid w:val="00756A70"/>
    <w:rsid w:val="00760E46"/>
    <w:rsid w:val="00765851"/>
    <w:rsid w:val="007662B7"/>
    <w:rsid w:val="00766522"/>
    <w:rsid w:val="00770B83"/>
    <w:rsid w:val="00771829"/>
    <w:rsid w:val="00771B0E"/>
    <w:rsid w:val="007744AB"/>
    <w:rsid w:val="00776BDB"/>
    <w:rsid w:val="00777F97"/>
    <w:rsid w:val="007807B1"/>
    <w:rsid w:val="007807E9"/>
    <w:rsid w:val="00782AED"/>
    <w:rsid w:val="00791683"/>
    <w:rsid w:val="00791BE6"/>
    <w:rsid w:val="007968C7"/>
    <w:rsid w:val="00797F1E"/>
    <w:rsid w:val="007A6FEF"/>
    <w:rsid w:val="007B235C"/>
    <w:rsid w:val="007B2377"/>
    <w:rsid w:val="007B30E6"/>
    <w:rsid w:val="007B6703"/>
    <w:rsid w:val="007B723F"/>
    <w:rsid w:val="007C23DF"/>
    <w:rsid w:val="007C35D3"/>
    <w:rsid w:val="007C48C0"/>
    <w:rsid w:val="007C60FB"/>
    <w:rsid w:val="007C6276"/>
    <w:rsid w:val="007E2D70"/>
    <w:rsid w:val="007E47B6"/>
    <w:rsid w:val="007E4BD4"/>
    <w:rsid w:val="007E5318"/>
    <w:rsid w:val="007E7586"/>
    <w:rsid w:val="007F1E97"/>
    <w:rsid w:val="007F3B38"/>
    <w:rsid w:val="007F3F33"/>
    <w:rsid w:val="00800A6E"/>
    <w:rsid w:val="008014C9"/>
    <w:rsid w:val="00802C39"/>
    <w:rsid w:val="00803C44"/>
    <w:rsid w:val="00814AD9"/>
    <w:rsid w:val="00821600"/>
    <w:rsid w:val="00821735"/>
    <w:rsid w:val="00823267"/>
    <w:rsid w:val="00825172"/>
    <w:rsid w:val="00833AB5"/>
    <w:rsid w:val="0084394E"/>
    <w:rsid w:val="00844473"/>
    <w:rsid w:val="008453FA"/>
    <w:rsid w:val="0084563F"/>
    <w:rsid w:val="0086589D"/>
    <w:rsid w:val="00872B9E"/>
    <w:rsid w:val="008730F3"/>
    <w:rsid w:val="00875E87"/>
    <w:rsid w:val="008825A0"/>
    <w:rsid w:val="00883466"/>
    <w:rsid w:val="0089638C"/>
    <w:rsid w:val="008A41CF"/>
    <w:rsid w:val="008A65AA"/>
    <w:rsid w:val="008A6964"/>
    <w:rsid w:val="008A766E"/>
    <w:rsid w:val="008A7C16"/>
    <w:rsid w:val="008B047C"/>
    <w:rsid w:val="008B1DCC"/>
    <w:rsid w:val="008B7350"/>
    <w:rsid w:val="008C0D5E"/>
    <w:rsid w:val="008C47FC"/>
    <w:rsid w:val="008C5313"/>
    <w:rsid w:val="008C66DE"/>
    <w:rsid w:val="008C6A80"/>
    <w:rsid w:val="008C70C3"/>
    <w:rsid w:val="008C7230"/>
    <w:rsid w:val="008D0DA7"/>
    <w:rsid w:val="008D7E53"/>
    <w:rsid w:val="008E12F3"/>
    <w:rsid w:val="008E4751"/>
    <w:rsid w:val="008E486D"/>
    <w:rsid w:val="008E49E0"/>
    <w:rsid w:val="008E58B5"/>
    <w:rsid w:val="008E7634"/>
    <w:rsid w:val="008F1E3D"/>
    <w:rsid w:val="008F37EB"/>
    <w:rsid w:val="008F3F61"/>
    <w:rsid w:val="008F5E17"/>
    <w:rsid w:val="009005BC"/>
    <w:rsid w:val="00904883"/>
    <w:rsid w:val="00904B02"/>
    <w:rsid w:val="00906267"/>
    <w:rsid w:val="00906C87"/>
    <w:rsid w:val="0091141B"/>
    <w:rsid w:val="009130ED"/>
    <w:rsid w:val="00913CE6"/>
    <w:rsid w:val="0091774D"/>
    <w:rsid w:val="00920173"/>
    <w:rsid w:val="00927306"/>
    <w:rsid w:val="00927D99"/>
    <w:rsid w:val="00930F01"/>
    <w:rsid w:val="00934475"/>
    <w:rsid w:val="0093744F"/>
    <w:rsid w:val="009402AB"/>
    <w:rsid w:val="00941221"/>
    <w:rsid w:val="00941D33"/>
    <w:rsid w:val="009438CF"/>
    <w:rsid w:val="0094445A"/>
    <w:rsid w:val="009451AA"/>
    <w:rsid w:val="00945863"/>
    <w:rsid w:val="00945FD3"/>
    <w:rsid w:val="00946DDC"/>
    <w:rsid w:val="00947089"/>
    <w:rsid w:val="00947A68"/>
    <w:rsid w:val="009517A3"/>
    <w:rsid w:val="009517BF"/>
    <w:rsid w:val="00953E4D"/>
    <w:rsid w:val="00955E06"/>
    <w:rsid w:val="00961E7D"/>
    <w:rsid w:val="00964271"/>
    <w:rsid w:val="0096779A"/>
    <w:rsid w:val="009770D9"/>
    <w:rsid w:val="00981AE6"/>
    <w:rsid w:val="00984EB7"/>
    <w:rsid w:val="00985C5B"/>
    <w:rsid w:val="00996867"/>
    <w:rsid w:val="00997C6D"/>
    <w:rsid w:val="009A15C1"/>
    <w:rsid w:val="009A428B"/>
    <w:rsid w:val="009A4E94"/>
    <w:rsid w:val="009B4B9F"/>
    <w:rsid w:val="009B60AA"/>
    <w:rsid w:val="009B6C08"/>
    <w:rsid w:val="009B7517"/>
    <w:rsid w:val="009C23CF"/>
    <w:rsid w:val="009C36D3"/>
    <w:rsid w:val="009C3C8F"/>
    <w:rsid w:val="009C49D3"/>
    <w:rsid w:val="009C4B8D"/>
    <w:rsid w:val="009C6D53"/>
    <w:rsid w:val="009D0565"/>
    <w:rsid w:val="009D140D"/>
    <w:rsid w:val="009D29DF"/>
    <w:rsid w:val="009D4034"/>
    <w:rsid w:val="009D6D25"/>
    <w:rsid w:val="009E0777"/>
    <w:rsid w:val="009E3FB1"/>
    <w:rsid w:val="009E4C0D"/>
    <w:rsid w:val="009E6D3E"/>
    <w:rsid w:val="009F0231"/>
    <w:rsid w:val="009F04A8"/>
    <w:rsid w:val="009F0A58"/>
    <w:rsid w:val="009F1D8A"/>
    <w:rsid w:val="00A0043A"/>
    <w:rsid w:val="00A02CCC"/>
    <w:rsid w:val="00A06787"/>
    <w:rsid w:val="00A076C2"/>
    <w:rsid w:val="00A112B7"/>
    <w:rsid w:val="00A200C6"/>
    <w:rsid w:val="00A20653"/>
    <w:rsid w:val="00A20E82"/>
    <w:rsid w:val="00A21B1D"/>
    <w:rsid w:val="00A225BE"/>
    <w:rsid w:val="00A24A4D"/>
    <w:rsid w:val="00A24B71"/>
    <w:rsid w:val="00A25B65"/>
    <w:rsid w:val="00A27DB7"/>
    <w:rsid w:val="00A33951"/>
    <w:rsid w:val="00A453C1"/>
    <w:rsid w:val="00A45A5E"/>
    <w:rsid w:val="00A471B7"/>
    <w:rsid w:val="00A51C7D"/>
    <w:rsid w:val="00A53695"/>
    <w:rsid w:val="00A55509"/>
    <w:rsid w:val="00A55FE2"/>
    <w:rsid w:val="00A563A8"/>
    <w:rsid w:val="00A56D9B"/>
    <w:rsid w:val="00A578CC"/>
    <w:rsid w:val="00A578FF"/>
    <w:rsid w:val="00A66630"/>
    <w:rsid w:val="00A67E5E"/>
    <w:rsid w:val="00A749CD"/>
    <w:rsid w:val="00A76033"/>
    <w:rsid w:val="00A84205"/>
    <w:rsid w:val="00A853DD"/>
    <w:rsid w:val="00A873C0"/>
    <w:rsid w:val="00A92CE7"/>
    <w:rsid w:val="00A95DEC"/>
    <w:rsid w:val="00AA6686"/>
    <w:rsid w:val="00AA6E77"/>
    <w:rsid w:val="00AB2FF6"/>
    <w:rsid w:val="00AB414C"/>
    <w:rsid w:val="00AB5628"/>
    <w:rsid w:val="00AC10D7"/>
    <w:rsid w:val="00AC44DF"/>
    <w:rsid w:val="00AC64F6"/>
    <w:rsid w:val="00AC7A38"/>
    <w:rsid w:val="00AC7CF7"/>
    <w:rsid w:val="00AD325C"/>
    <w:rsid w:val="00AE360A"/>
    <w:rsid w:val="00B01DF2"/>
    <w:rsid w:val="00B02923"/>
    <w:rsid w:val="00B05A92"/>
    <w:rsid w:val="00B131E6"/>
    <w:rsid w:val="00B14E7D"/>
    <w:rsid w:val="00B1549E"/>
    <w:rsid w:val="00B20E91"/>
    <w:rsid w:val="00B32EF1"/>
    <w:rsid w:val="00B33F52"/>
    <w:rsid w:val="00B3458D"/>
    <w:rsid w:val="00B35CDF"/>
    <w:rsid w:val="00B37CED"/>
    <w:rsid w:val="00B42001"/>
    <w:rsid w:val="00B44D1C"/>
    <w:rsid w:val="00B45392"/>
    <w:rsid w:val="00B534A7"/>
    <w:rsid w:val="00B56952"/>
    <w:rsid w:val="00B57472"/>
    <w:rsid w:val="00B57D14"/>
    <w:rsid w:val="00B62C56"/>
    <w:rsid w:val="00B663E8"/>
    <w:rsid w:val="00B66BE5"/>
    <w:rsid w:val="00B66FF0"/>
    <w:rsid w:val="00B67770"/>
    <w:rsid w:val="00B722AB"/>
    <w:rsid w:val="00B825D8"/>
    <w:rsid w:val="00B96AD7"/>
    <w:rsid w:val="00B96DD4"/>
    <w:rsid w:val="00BA17D0"/>
    <w:rsid w:val="00BA34C0"/>
    <w:rsid w:val="00BA3DF4"/>
    <w:rsid w:val="00BA4BBE"/>
    <w:rsid w:val="00BB138E"/>
    <w:rsid w:val="00BB21BA"/>
    <w:rsid w:val="00BC132E"/>
    <w:rsid w:val="00BC1557"/>
    <w:rsid w:val="00BC5156"/>
    <w:rsid w:val="00BD21D9"/>
    <w:rsid w:val="00BD4441"/>
    <w:rsid w:val="00BD57BE"/>
    <w:rsid w:val="00BE6E82"/>
    <w:rsid w:val="00BE7BFE"/>
    <w:rsid w:val="00BF1260"/>
    <w:rsid w:val="00BF4907"/>
    <w:rsid w:val="00BF6C3E"/>
    <w:rsid w:val="00C06C09"/>
    <w:rsid w:val="00C075C3"/>
    <w:rsid w:val="00C10E02"/>
    <w:rsid w:val="00C117D7"/>
    <w:rsid w:val="00C1298C"/>
    <w:rsid w:val="00C1342E"/>
    <w:rsid w:val="00C16928"/>
    <w:rsid w:val="00C17BFF"/>
    <w:rsid w:val="00C23E71"/>
    <w:rsid w:val="00C2542F"/>
    <w:rsid w:val="00C26304"/>
    <w:rsid w:val="00C26F8F"/>
    <w:rsid w:val="00C2719E"/>
    <w:rsid w:val="00C31BC0"/>
    <w:rsid w:val="00C33872"/>
    <w:rsid w:val="00C34E0B"/>
    <w:rsid w:val="00C414AD"/>
    <w:rsid w:val="00C42A6A"/>
    <w:rsid w:val="00C4526C"/>
    <w:rsid w:val="00C51A34"/>
    <w:rsid w:val="00C55C7B"/>
    <w:rsid w:val="00C56784"/>
    <w:rsid w:val="00C73688"/>
    <w:rsid w:val="00C76F4F"/>
    <w:rsid w:val="00C77BF2"/>
    <w:rsid w:val="00C847E7"/>
    <w:rsid w:val="00C84944"/>
    <w:rsid w:val="00C85FE4"/>
    <w:rsid w:val="00C86E49"/>
    <w:rsid w:val="00C86ED2"/>
    <w:rsid w:val="00CA2955"/>
    <w:rsid w:val="00CA322D"/>
    <w:rsid w:val="00CA6E73"/>
    <w:rsid w:val="00CB2236"/>
    <w:rsid w:val="00CC13FA"/>
    <w:rsid w:val="00CC1C8D"/>
    <w:rsid w:val="00CC310B"/>
    <w:rsid w:val="00CC71B6"/>
    <w:rsid w:val="00CD5FFF"/>
    <w:rsid w:val="00CD6A57"/>
    <w:rsid w:val="00CD7490"/>
    <w:rsid w:val="00CE383E"/>
    <w:rsid w:val="00CE54C9"/>
    <w:rsid w:val="00CF1B6C"/>
    <w:rsid w:val="00CF55FD"/>
    <w:rsid w:val="00D006AD"/>
    <w:rsid w:val="00D006D6"/>
    <w:rsid w:val="00D04104"/>
    <w:rsid w:val="00D14D58"/>
    <w:rsid w:val="00D157F1"/>
    <w:rsid w:val="00D15AAE"/>
    <w:rsid w:val="00D15B2D"/>
    <w:rsid w:val="00D221BC"/>
    <w:rsid w:val="00D22871"/>
    <w:rsid w:val="00D23B3B"/>
    <w:rsid w:val="00D25F86"/>
    <w:rsid w:val="00D269AF"/>
    <w:rsid w:val="00D27441"/>
    <w:rsid w:val="00D30514"/>
    <w:rsid w:val="00D33499"/>
    <w:rsid w:val="00D3550D"/>
    <w:rsid w:val="00D41A91"/>
    <w:rsid w:val="00D41E16"/>
    <w:rsid w:val="00D43C75"/>
    <w:rsid w:val="00D444F0"/>
    <w:rsid w:val="00D44E69"/>
    <w:rsid w:val="00D46888"/>
    <w:rsid w:val="00D63383"/>
    <w:rsid w:val="00D6708F"/>
    <w:rsid w:val="00D71EE1"/>
    <w:rsid w:val="00D72B14"/>
    <w:rsid w:val="00D75500"/>
    <w:rsid w:val="00D77457"/>
    <w:rsid w:val="00D778F0"/>
    <w:rsid w:val="00D779A3"/>
    <w:rsid w:val="00D83959"/>
    <w:rsid w:val="00D84379"/>
    <w:rsid w:val="00D85011"/>
    <w:rsid w:val="00D850B1"/>
    <w:rsid w:val="00D903D3"/>
    <w:rsid w:val="00D90440"/>
    <w:rsid w:val="00D911F6"/>
    <w:rsid w:val="00D913AA"/>
    <w:rsid w:val="00D9374C"/>
    <w:rsid w:val="00D94F0A"/>
    <w:rsid w:val="00D95023"/>
    <w:rsid w:val="00D97633"/>
    <w:rsid w:val="00DA14E3"/>
    <w:rsid w:val="00DA18DC"/>
    <w:rsid w:val="00DA1ADD"/>
    <w:rsid w:val="00DA2AE3"/>
    <w:rsid w:val="00DA3889"/>
    <w:rsid w:val="00DA65E7"/>
    <w:rsid w:val="00DA6941"/>
    <w:rsid w:val="00DB34D5"/>
    <w:rsid w:val="00DB57D4"/>
    <w:rsid w:val="00DB7E9B"/>
    <w:rsid w:val="00DC5748"/>
    <w:rsid w:val="00DC5961"/>
    <w:rsid w:val="00DD618C"/>
    <w:rsid w:val="00DD63E9"/>
    <w:rsid w:val="00DE1AF5"/>
    <w:rsid w:val="00DE1B98"/>
    <w:rsid w:val="00DE3118"/>
    <w:rsid w:val="00DE3D06"/>
    <w:rsid w:val="00DE57A2"/>
    <w:rsid w:val="00DF1E40"/>
    <w:rsid w:val="00DF4197"/>
    <w:rsid w:val="00DF5922"/>
    <w:rsid w:val="00DF5F10"/>
    <w:rsid w:val="00E00546"/>
    <w:rsid w:val="00E04389"/>
    <w:rsid w:val="00E110A1"/>
    <w:rsid w:val="00E112F3"/>
    <w:rsid w:val="00E1601F"/>
    <w:rsid w:val="00E24EF4"/>
    <w:rsid w:val="00E312A0"/>
    <w:rsid w:val="00E34CB1"/>
    <w:rsid w:val="00E36860"/>
    <w:rsid w:val="00E402B0"/>
    <w:rsid w:val="00E41C4C"/>
    <w:rsid w:val="00E45DE4"/>
    <w:rsid w:val="00E478A1"/>
    <w:rsid w:val="00E53AE9"/>
    <w:rsid w:val="00E53DA4"/>
    <w:rsid w:val="00E63145"/>
    <w:rsid w:val="00E63960"/>
    <w:rsid w:val="00E74698"/>
    <w:rsid w:val="00E7697D"/>
    <w:rsid w:val="00E82C78"/>
    <w:rsid w:val="00E8482B"/>
    <w:rsid w:val="00E91251"/>
    <w:rsid w:val="00E91C07"/>
    <w:rsid w:val="00E9426A"/>
    <w:rsid w:val="00E96616"/>
    <w:rsid w:val="00E9751D"/>
    <w:rsid w:val="00EA02EB"/>
    <w:rsid w:val="00EA3B01"/>
    <w:rsid w:val="00EA762E"/>
    <w:rsid w:val="00EB0349"/>
    <w:rsid w:val="00EB12C7"/>
    <w:rsid w:val="00EB39F8"/>
    <w:rsid w:val="00EB4F1B"/>
    <w:rsid w:val="00EC2963"/>
    <w:rsid w:val="00EC6F72"/>
    <w:rsid w:val="00EC745C"/>
    <w:rsid w:val="00ED082A"/>
    <w:rsid w:val="00ED0A9B"/>
    <w:rsid w:val="00ED0CC4"/>
    <w:rsid w:val="00ED0E6C"/>
    <w:rsid w:val="00ED71EF"/>
    <w:rsid w:val="00EE2CAD"/>
    <w:rsid w:val="00EE6BBC"/>
    <w:rsid w:val="00EE7091"/>
    <w:rsid w:val="00EF2302"/>
    <w:rsid w:val="00EF42A2"/>
    <w:rsid w:val="00EF43E0"/>
    <w:rsid w:val="00EF5E67"/>
    <w:rsid w:val="00EF6BC0"/>
    <w:rsid w:val="00EF77A1"/>
    <w:rsid w:val="00EF7FAB"/>
    <w:rsid w:val="00F02937"/>
    <w:rsid w:val="00F053E0"/>
    <w:rsid w:val="00F13A89"/>
    <w:rsid w:val="00F17909"/>
    <w:rsid w:val="00F25CDA"/>
    <w:rsid w:val="00F261AC"/>
    <w:rsid w:val="00F3208C"/>
    <w:rsid w:val="00F33048"/>
    <w:rsid w:val="00F3370E"/>
    <w:rsid w:val="00F36A7E"/>
    <w:rsid w:val="00F421BC"/>
    <w:rsid w:val="00F505A4"/>
    <w:rsid w:val="00F51091"/>
    <w:rsid w:val="00F51B2E"/>
    <w:rsid w:val="00F51C4A"/>
    <w:rsid w:val="00F550B0"/>
    <w:rsid w:val="00F562BF"/>
    <w:rsid w:val="00F61FF9"/>
    <w:rsid w:val="00F630D2"/>
    <w:rsid w:val="00F63376"/>
    <w:rsid w:val="00F63ABB"/>
    <w:rsid w:val="00F71A3C"/>
    <w:rsid w:val="00F8450D"/>
    <w:rsid w:val="00F874E4"/>
    <w:rsid w:val="00F909F4"/>
    <w:rsid w:val="00F910A2"/>
    <w:rsid w:val="00F93E19"/>
    <w:rsid w:val="00F96675"/>
    <w:rsid w:val="00FA0A5A"/>
    <w:rsid w:val="00FA1A74"/>
    <w:rsid w:val="00FB0B7F"/>
    <w:rsid w:val="00FB1029"/>
    <w:rsid w:val="00FB1110"/>
    <w:rsid w:val="00FC0207"/>
    <w:rsid w:val="00FC10EC"/>
    <w:rsid w:val="00FC4ADD"/>
    <w:rsid w:val="00FD1876"/>
    <w:rsid w:val="00FD7630"/>
    <w:rsid w:val="00FD7E49"/>
    <w:rsid w:val="00FD7F73"/>
    <w:rsid w:val="00FE0B42"/>
    <w:rsid w:val="00FE0FE5"/>
    <w:rsid w:val="00FE330B"/>
    <w:rsid w:val="00FE647A"/>
    <w:rsid w:val="00FE7702"/>
    <w:rsid w:val="00FF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1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8"/>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888"/>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D3"/>
    <w:pPr>
      <w:tabs>
        <w:tab w:val="center" w:pos="4680"/>
        <w:tab w:val="right" w:pos="9360"/>
      </w:tabs>
    </w:pPr>
    <w:rPr>
      <w:rFonts w:cstheme="minorBidi"/>
      <w:sz w:val="28"/>
      <w:szCs w:val="28"/>
    </w:rPr>
  </w:style>
  <w:style w:type="character" w:customStyle="1" w:styleId="HeaderChar">
    <w:name w:val="Header Char"/>
    <w:basedOn w:val="DefaultParagraphFont"/>
    <w:link w:val="Header"/>
    <w:uiPriority w:val="99"/>
    <w:rsid w:val="007C35D3"/>
  </w:style>
  <w:style w:type="paragraph" w:styleId="Footer">
    <w:name w:val="footer"/>
    <w:basedOn w:val="Normal"/>
    <w:link w:val="FooterChar"/>
    <w:uiPriority w:val="99"/>
    <w:unhideWhenUsed/>
    <w:rsid w:val="007C35D3"/>
    <w:pPr>
      <w:tabs>
        <w:tab w:val="center" w:pos="4680"/>
        <w:tab w:val="right" w:pos="9360"/>
      </w:tabs>
    </w:pPr>
    <w:rPr>
      <w:rFonts w:cstheme="minorBidi"/>
      <w:sz w:val="28"/>
      <w:szCs w:val="28"/>
    </w:rPr>
  </w:style>
  <w:style w:type="character" w:customStyle="1" w:styleId="FooterChar">
    <w:name w:val="Footer Char"/>
    <w:basedOn w:val="DefaultParagraphFont"/>
    <w:link w:val="Footer"/>
    <w:uiPriority w:val="99"/>
    <w:rsid w:val="007C35D3"/>
  </w:style>
  <w:style w:type="character" w:styleId="PageNumber">
    <w:name w:val="page number"/>
    <w:basedOn w:val="DefaultParagraphFont"/>
    <w:uiPriority w:val="99"/>
    <w:semiHidden/>
    <w:unhideWhenUsed/>
    <w:rsid w:val="007C35D3"/>
  </w:style>
  <w:style w:type="paragraph" w:styleId="ListParagraph">
    <w:name w:val="List Paragraph"/>
    <w:basedOn w:val="Normal"/>
    <w:uiPriority w:val="34"/>
    <w:qFormat/>
    <w:rsid w:val="007C35D3"/>
    <w:pPr>
      <w:ind w:left="720"/>
      <w:contextualSpacing/>
    </w:pPr>
    <w:rPr>
      <w:rFonts w:cstheme="minorBidi"/>
      <w:sz w:val="28"/>
      <w:szCs w:val="28"/>
    </w:rPr>
  </w:style>
  <w:style w:type="paragraph" w:styleId="FootnoteText">
    <w:name w:val="footnote text"/>
    <w:basedOn w:val="Normal"/>
    <w:link w:val="FootnoteTextChar"/>
    <w:semiHidden/>
    <w:rsid w:val="004D1089"/>
    <w:rPr>
      <w:rFonts w:eastAsia="Times New Roman"/>
      <w:sz w:val="20"/>
      <w:szCs w:val="20"/>
    </w:rPr>
  </w:style>
  <w:style w:type="character" w:customStyle="1" w:styleId="FootnoteTextChar">
    <w:name w:val="Footnote Text Char"/>
    <w:basedOn w:val="DefaultParagraphFont"/>
    <w:link w:val="FootnoteText"/>
    <w:semiHidden/>
    <w:rsid w:val="004D1089"/>
    <w:rPr>
      <w:rFonts w:eastAsia="Times New Roman" w:cs="Times New Roman"/>
      <w:sz w:val="20"/>
      <w:szCs w:val="20"/>
    </w:rPr>
  </w:style>
  <w:style w:type="character" w:styleId="FootnoteReference">
    <w:name w:val="footnote reference"/>
    <w:basedOn w:val="DefaultParagraphFont"/>
    <w:uiPriority w:val="99"/>
    <w:unhideWhenUsed/>
    <w:rsid w:val="004D1089"/>
    <w:rPr>
      <w:vertAlign w:val="superscript"/>
    </w:rPr>
  </w:style>
  <w:style w:type="character" w:styleId="Emphasis">
    <w:name w:val="Emphasis"/>
    <w:basedOn w:val="DefaultParagraphFont"/>
    <w:uiPriority w:val="20"/>
    <w:qFormat/>
    <w:rsid w:val="004D1089"/>
    <w:rPr>
      <w:i/>
      <w:iCs/>
    </w:rPr>
  </w:style>
  <w:style w:type="character" w:customStyle="1" w:styleId="apple-converted-space">
    <w:name w:val="apple-converted-space"/>
    <w:basedOn w:val="DefaultParagraphFont"/>
    <w:rsid w:val="009F0231"/>
  </w:style>
  <w:style w:type="paragraph" w:styleId="Revision">
    <w:name w:val="Revision"/>
    <w:hidden/>
    <w:uiPriority w:val="99"/>
    <w:semiHidden/>
    <w:rsid w:val="00195EF8"/>
  </w:style>
  <w:style w:type="character" w:styleId="CommentReference">
    <w:name w:val="annotation reference"/>
    <w:basedOn w:val="DefaultParagraphFont"/>
    <w:uiPriority w:val="99"/>
    <w:semiHidden/>
    <w:unhideWhenUsed/>
    <w:rsid w:val="00195EF8"/>
    <w:rPr>
      <w:sz w:val="16"/>
      <w:szCs w:val="16"/>
    </w:rPr>
  </w:style>
  <w:style w:type="paragraph" w:styleId="CommentText">
    <w:name w:val="annotation text"/>
    <w:basedOn w:val="Normal"/>
    <w:link w:val="CommentTextChar"/>
    <w:uiPriority w:val="99"/>
    <w:semiHidden/>
    <w:unhideWhenUsed/>
    <w:rsid w:val="00195EF8"/>
    <w:rPr>
      <w:sz w:val="20"/>
      <w:szCs w:val="20"/>
    </w:rPr>
  </w:style>
  <w:style w:type="character" w:customStyle="1" w:styleId="CommentTextChar">
    <w:name w:val="Comment Text Char"/>
    <w:basedOn w:val="DefaultParagraphFont"/>
    <w:link w:val="CommentText"/>
    <w:uiPriority w:val="99"/>
    <w:semiHidden/>
    <w:rsid w:val="00195EF8"/>
    <w:rPr>
      <w:sz w:val="20"/>
      <w:szCs w:val="20"/>
    </w:rPr>
  </w:style>
  <w:style w:type="paragraph" w:styleId="CommentSubject">
    <w:name w:val="annotation subject"/>
    <w:basedOn w:val="CommentText"/>
    <w:next w:val="CommentText"/>
    <w:link w:val="CommentSubjectChar"/>
    <w:uiPriority w:val="99"/>
    <w:semiHidden/>
    <w:unhideWhenUsed/>
    <w:rsid w:val="00195EF8"/>
    <w:rPr>
      <w:b/>
      <w:bCs/>
    </w:rPr>
  </w:style>
  <w:style w:type="character" w:customStyle="1" w:styleId="CommentSubjectChar">
    <w:name w:val="Comment Subject Char"/>
    <w:basedOn w:val="CommentTextChar"/>
    <w:link w:val="CommentSubject"/>
    <w:uiPriority w:val="99"/>
    <w:semiHidden/>
    <w:rsid w:val="00195EF8"/>
    <w:rPr>
      <w:b/>
      <w:bCs/>
      <w:sz w:val="20"/>
      <w:szCs w:val="20"/>
    </w:rPr>
  </w:style>
  <w:style w:type="paragraph" w:styleId="BalloonText">
    <w:name w:val="Balloon Text"/>
    <w:basedOn w:val="Normal"/>
    <w:link w:val="BalloonTextChar"/>
    <w:uiPriority w:val="99"/>
    <w:semiHidden/>
    <w:unhideWhenUsed/>
    <w:rsid w:val="00195E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EF8"/>
    <w:rPr>
      <w:rFonts w:ascii="Segoe UI" w:hAnsi="Segoe UI" w:cs="Segoe UI"/>
      <w:sz w:val="18"/>
      <w:szCs w:val="18"/>
    </w:rPr>
  </w:style>
  <w:style w:type="character" w:styleId="Hyperlink">
    <w:name w:val="Hyperlink"/>
    <w:basedOn w:val="DefaultParagraphFont"/>
    <w:uiPriority w:val="99"/>
    <w:unhideWhenUsed/>
    <w:rsid w:val="007E47B6"/>
    <w:rPr>
      <w:color w:val="0000FF"/>
      <w:u w:val="single"/>
    </w:rPr>
  </w:style>
  <w:style w:type="paragraph" w:styleId="NormalWeb">
    <w:name w:val="Normal (Web)"/>
    <w:basedOn w:val="Normal"/>
    <w:uiPriority w:val="99"/>
    <w:unhideWhenUsed/>
    <w:rsid w:val="00465FB4"/>
    <w:pPr>
      <w:spacing w:before="100" w:beforeAutospacing="1" w:after="100" w:afterAutospacing="1"/>
    </w:pPr>
    <w:rPr>
      <w:rFonts w:eastAsia="Times New Roman"/>
      <w:color w:val="000000" w:themeColor="text1"/>
      <w:lang w:eastAsia="ja-JP"/>
    </w:rPr>
  </w:style>
  <w:style w:type="character" w:styleId="FollowedHyperlink">
    <w:name w:val="FollowedHyperlink"/>
    <w:basedOn w:val="DefaultParagraphFont"/>
    <w:uiPriority w:val="99"/>
    <w:semiHidden/>
    <w:unhideWhenUsed/>
    <w:rsid w:val="00DE3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3426">
      <w:bodyDiv w:val="1"/>
      <w:marLeft w:val="0"/>
      <w:marRight w:val="0"/>
      <w:marTop w:val="0"/>
      <w:marBottom w:val="0"/>
      <w:divBdr>
        <w:top w:val="none" w:sz="0" w:space="0" w:color="auto"/>
        <w:left w:val="none" w:sz="0" w:space="0" w:color="auto"/>
        <w:bottom w:val="none" w:sz="0" w:space="0" w:color="auto"/>
        <w:right w:val="none" w:sz="0" w:space="0" w:color="auto"/>
      </w:divBdr>
    </w:div>
    <w:div w:id="57636753">
      <w:bodyDiv w:val="1"/>
      <w:marLeft w:val="0"/>
      <w:marRight w:val="0"/>
      <w:marTop w:val="0"/>
      <w:marBottom w:val="0"/>
      <w:divBdr>
        <w:top w:val="none" w:sz="0" w:space="0" w:color="auto"/>
        <w:left w:val="none" w:sz="0" w:space="0" w:color="auto"/>
        <w:bottom w:val="none" w:sz="0" w:space="0" w:color="auto"/>
        <w:right w:val="none" w:sz="0" w:space="0" w:color="auto"/>
      </w:divBdr>
    </w:div>
    <w:div w:id="140922882">
      <w:bodyDiv w:val="1"/>
      <w:marLeft w:val="0"/>
      <w:marRight w:val="0"/>
      <w:marTop w:val="0"/>
      <w:marBottom w:val="0"/>
      <w:divBdr>
        <w:top w:val="none" w:sz="0" w:space="0" w:color="auto"/>
        <w:left w:val="none" w:sz="0" w:space="0" w:color="auto"/>
        <w:bottom w:val="none" w:sz="0" w:space="0" w:color="auto"/>
        <w:right w:val="none" w:sz="0" w:space="0" w:color="auto"/>
      </w:divBdr>
    </w:div>
    <w:div w:id="257105416">
      <w:bodyDiv w:val="1"/>
      <w:marLeft w:val="0"/>
      <w:marRight w:val="0"/>
      <w:marTop w:val="0"/>
      <w:marBottom w:val="0"/>
      <w:divBdr>
        <w:top w:val="none" w:sz="0" w:space="0" w:color="auto"/>
        <w:left w:val="none" w:sz="0" w:space="0" w:color="auto"/>
        <w:bottom w:val="none" w:sz="0" w:space="0" w:color="auto"/>
        <w:right w:val="none" w:sz="0" w:space="0" w:color="auto"/>
      </w:divBdr>
    </w:div>
    <w:div w:id="264269309">
      <w:bodyDiv w:val="1"/>
      <w:marLeft w:val="0"/>
      <w:marRight w:val="0"/>
      <w:marTop w:val="0"/>
      <w:marBottom w:val="0"/>
      <w:divBdr>
        <w:top w:val="none" w:sz="0" w:space="0" w:color="auto"/>
        <w:left w:val="none" w:sz="0" w:space="0" w:color="auto"/>
        <w:bottom w:val="none" w:sz="0" w:space="0" w:color="auto"/>
        <w:right w:val="none" w:sz="0" w:space="0" w:color="auto"/>
      </w:divBdr>
    </w:div>
    <w:div w:id="266159006">
      <w:bodyDiv w:val="1"/>
      <w:marLeft w:val="0"/>
      <w:marRight w:val="0"/>
      <w:marTop w:val="0"/>
      <w:marBottom w:val="0"/>
      <w:divBdr>
        <w:top w:val="none" w:sz="0" w:space="0" w:color="auto"/>
        <w:left w:val="none" w:sz="0" w:space="0" w:color="auto"/>
        <w:bottom w:val="none" w:sz="0" w:space="0" w:color="auto"/>
        <w:right w:val="none" w:sz="0" w:space="0" w:color="auto"/>
      </w:divBdr>
    </w:div>
    <w:div w:id="317812067">
      <w:bodyDiv w:val="1"/>
      <w:marLeft w:val="0"/>
      <w:marRight w:val="0"/>
      <w:marTop w:val="0"/>
      <w:marBottom w:val="0"/>
      <w:divBdr>
        <w:top w:val="none" w:sz="0" w:space="0" w:color="auto"/>
        <w:left w:val="none" w:sz="0" w:space="0" w:color="auto"/>
        <w:bottom w:val="none" w:sz="0" w:space="0" w:color="auto"/>
        <w:right w:val="none" w:sz="0" w:space="0" w:color="auto"/>
      </w:divBdr>
    </w:div>
    <w:div w:id="355884335">
      <w:bodyDiv w:val="1"/>
      <w:marLeft w:val="0"/>
      <w:marRight w:val="0"/>
      <w:marTop w:val="0"/>
      <w:marBottom w:val="0"/>
      <w:divBdr>
        <w:top w:val="none" w:sz="0" w:space="0" w:color="auto"/>
        <w:left w:val="none" w:sz="0" w:space="0" w:color="auto"/>
        <w:bottom w:val="none" w:sz="0" w:space="0" w:color="auto"/>
        <w:right w:val="none" w:sz="0" w:space="0" w:color="auto"/>
      </w:divBdr>
    </w:div>
    <w:div w:id="380250538">
      <w:bodyDiv w:val="1"/>
      <w:marLeft w:val="0"/>
      <w:marRight w:val="0"/>
      <w:marTop w:val="0"/>
      <w:marBottom w:val="0"/>
      <w:divBdr>
        <w:top w:val="none" w:sz="0" w:space="0" w:color="auto"/>
        <w:left w:val="none" w:sz="0" w:space="0" w:color="auto"/>
        <w:bottom w:val="none" w:sz="0" w:space="0" w:color="auto"/>
        <w:right w:val="none" w:sz="0" w:space="0" w:color="auto"/>
      </w:divBdr>
    </w:div>
    <w:div w:id="618337403">
      <w:bodyDiv w:val="1"/>
      <w:marLeft w:val="0"/>
      <w:marRight w:val="0"/>
      <w:marTop w:val="0"/>
      <w:marBottom w:val="0"/>
      <w:divBdr>
        <w:top w:val="none" w:sz="0" w:space="0" w:color="auto"/>
        <w:left w:val="none" w:sz="0" w:space="0" w:color="auto"/>
        <w:bottom w:val="none" w:sz="0" w:space="0" w:color="auto"/>
        <w:right w:val="none" w:sz="0" w:space="0" w:color="auto"/>
      </w:divBdr>
    </w:div>
    <w:div w:id="658849840">
      <w:bodyDiv w:val="1"/>
      <w:marLeft w:val="0"/>
      <w:marRight w:val="0"/>
      <w:marTop w:val="0"/>
      <w:marBottom w:val="0"/>
      <w:divBdr>
        <w:top w:val="none" w:sz="0" w:space="0" w:color="auto"/>
        <w:left w:val="none" w:sz="0" w:space="0" w:color="auto"/>
        <w:bottom w:val="none" w:sz="0" w:space="0" w:color="auto"/>
        <w:right w:val="none" w:sz="0" w:space="0" w:color="auto"/>
      </w:divBdr>
    </w:div>
    <w:div w:id="718357694">
      <w:bodyDiv w:val="1"/>
      <w:marLeft w:val="0"/>
      <w:marRight w:val="0"/>
      <w:marTop w:val="0"/>
      <w:marBottom w:val="0"/>
      <w:divBdr>
        <w:top w:val="none" w:sz="0" w:space="0" w:color="auto"/>
        <w:left w:val="none" w:sz="0" w:space="0" w:color="auto"/>
        <w:bottom w:val="none" w:sz="0" w:space="0" w:color="auto"/>
        <w:right w:val="none" w:sz="0" w:space="0" w:color="auto"/>
      </w:divBdr>
    </w:div>
    <w:div w:id="768042135">
      <w:bodyDiv w:val="1"/>
      <w:marLeft w:val="0"/>
      <w:marRight w:val="0"/>
      <w:marTop w:val="0"/>
      <w:marBottom w:val="0"/>
      <w:divBdr>
        <w:top w:val="none" w:sz="0" w:space="0" w:color="auto"/>
        <w:left w:val="none" w:sz="0" w:space="0" w:color="auto"/>
        <w:bottom w:val="none" w:sz="0" w:space="0" w:color="auto"/>
        <w:right w:val="none" w:sz="0" w:space="0" w:color="auto"/>
      </w:divBdr>
    </w:div>
    <w:div w:id="782918465">
      <w:bodyDiv w:val="1"/>
      <w:marLeft w:val="0"/>
      <w:marRight w:val="0"/>
      <w:marTop w:val="0"/>
      <w:marBottom w:val="0"/>
      <w:divBdr>
        <w:top w:val="none" w:sz="0" w:space="0" w:color="auto"/>
        <w:left w:val="none" w:sz="0" w:space="0" w:color="auto"/>
        <w:bottom w:val="none" w:sz="0" w:space="0" w:color="auto"/>
        <w:right w:val="none" w:sz="0" w:space="0" w:color="auto"/>
      </w:divBdr>
    </w:div>
    <w:div w:id="793451365">
      <w:bodyDiv w:val="1"/>
      <w:marLeft w:val="0"/>
      <w:marRight w:val="0"/>
      <w:marTop w:val="0"/>
      <w:marBottom w:val="0"/>
      <w:divBdr>
        <w:top w:val="none" w:sz="0" w:space="0" w:color="auto"/>
        <w:left w:val="none" w:sz="0" w:space="0" w:color="auto"/>
        <w:bottom w:val="none" w:sz="0" w:space="0" w:color="auto"/>
        <w:right w:val="none" w:sz="0" w:space="0" w:color="auto"/>
      </w:divBdr>
    </w:div>
    <w:div w:id="821390806">
      <w:bodyDiv w:val="1"/>
      <w:marLeft w:val="0"/>
      <w:marRight w:val="0"/>
      <w:marTop w:val="0"/>
      <w:marBottom w:val="0"/>
      <w:divBdr>
        <w:top w:val="none" w:sz="0" w:space="0" w:color="auto"/>
        <w:left w:val="none" w:sz="0" w:space="0" w:color="auto"/>
        <w:bottom w:val="none" w:sz="0" w:space="0" w:color="auto"/>
        <w:right w:val="none" w:sz="0" w:space="0" w:color="auto"/>
      </w:divBdr>
    </w:div>
    <w:div w:id="828208416">
      <w:bodyDiv w:val="1"/>
      <w:marLeft w:val="0"/>
      <w:marRight w:val="0"/>
      <w:marTop w:val="0"/>
      <w:marBottom w:val="0"/>
      <w:divBdr>
        <w:top w:val="none" w:sz="0" w:space="0" w:color="auto"/>
        <w:left w:val="none" w:sz="0" w:space="0" w:color="auto"/>
        <w:bottom w:val="none" w:sz="0" w:space="0" w:color="auto"/>
        <w:right w:val="none" w:sz="0" w:space="0" w:color="auto"/>
      </w:divBdr>
    </w:div>
    <w:div w:id="968974375">
      <w:bodyDiv w:val="1"/>
      <w:marLeft w:val="0"/>
      <w:marRight w:val="0"/>
      <w:marTop w:val="0"/>
      <w:marBottom w:val="0"/>
      <w:divBdr>
        <w:top w:val="none" w:sz="0" w:space="0" w:color="auto"/>
        <w:left w:val="none" w:sz="0" w:space="0" w:color="auto"/>
        <w:bottom w:val="none" w:sz="0" w:space="0" w:color="auto"/>
        <w:right w:val="none" w:sz="0" w:space="0" w:color="auto"/>
      </w:divBdr>
    </w:div>
    <w:div w:id="1003363680">
      <w:bodyDiv w:val="1"/>
      <w:marLeft w:val="0"/>
      <w:marRight w:val="0"/>
      <w:marTop w:val="0"/>
      <w:marBottom w:val="0"/>
      <w:divBdr>
        <w:top w:val="none" w:sz="0" w:space="0" w:color="auto"/>
        <w:left w:val="none" w:sz="0" w:space="0" w:color="auto"/>
        <w:bottom w:val="none" w:sz="0" w:space="0" w:color="auto"/>
        <w:right w:val="none" w:sz="0" w:space="0" w:color="auto"/>
      </w:divBdr>
    </w:div>
    <w:div w:id="1010183419">
      <w:bodyDiv w:val="1"/>
      <w:marLeft w:val="0"/>
      <w:marRight w:val="0"/>
      <w:marTop w:val="0"/>
      <w:marBottom w:val="0"/>
      <w:divBdr>
        <w:top w:val="none" w:sz="0" w:space="0" w:color="auto"/>
        <w:left w:val="none" w:sz="0" w:space="0" w:color="auto"/>
        <w:bottom w:val="none" w:sz="0" w:space="0" w:color="auto"/>
        <w:right w:val="none" w:sz="0" w:space="0" w:color="auto"/>
      </w:divBdr>
    </w:div>
    <w:div w:id="1016543386">
      <w:bodyDiv w:val="1"/>
      <w:marLeft w:val="0"/>
      <w:marRight w:val="0"/>
      <w:marTop w:val="0"/>
      <w:marBottom w:val="0"/>
      <w:divBdr>
        <w:top w:val="none" w:sz="0" w:space="0" w:color="auto"/>
        <w:left w:val="none" w:sz="0" w:space="0" w:color="auto"/>
        <w:bottom w:val="none" w:sz="0" w:space="0" w:color="auto"/>
        <w:right w:val="none" w:sz="0" w:space="0" w:color="auto"/>
      </w:divBdr>
    </w:div>
    <w:div w:id="1107430711">
      <w:bodyDiv w:val="1"/>
      <w:marLeft w:val="0"/>
      <w:marRight w:val="0"/>
      <w:marTop w:val="0"/>
      <w:marBottom w:val="0"/>
      <w:divBdr>
        <w:top w:val="none" w:sz="0" w:space="0" w:color="auto"/>
        <w:left w:val="none" w:sz="0" w:space="0" w:color="auto"/>
        <w:bottom w:val="none" w:sz="0" w:space="0" w:color="auto"/>
        <w:right w:val="none" w:sz="0" w:space="0" w:color="auto"/>
      </w:divBdr>
    </w:div>
    <w:div w:id="1140029462">
      <w:bodyDiv w:val="1"/>
      <w:marLeft w:val="0"/>
      <w:marRight w:val="0"/>
      <w:marTop w:val="0"/>
      <w:marBottom w:val="0"/>
      <w:divBdr>
        <w:top w:val="none" w:sz="0" w:space="0" w:color="auto"/>
        <w:left w:val="none" w:sz="0" w:space="0" w:color="auto"/>
        <w:bottom w:val="none" w:sz="0" w:space="0" w:color="auto"/>
        <w:right w:val="none" w:sz="0" w:space="0" w:color="auto"/>
      </w:divBdr>
    </w:div>
    <w:div w:id="1176070364">
      <w:bodyDiv w:val="1"/>
      <w:marLeft w:val="0"/>
      <w:marRight w:val="0"/>
      <w:marTop w:val="0"/>
      <w:marBottom w:val="0"/>
      <w:divBdr>
        <w:top w:val="none" w:sz="0" w:space="0" w:color="auto"/>
        <w:left w:val="none" w:sz="0" w:space="0" w:color="auto"/>
        <w:bottom w:val="none" w:sz="0" w:space="0" w:color="auto"/>
        <w:right w:val="none" w:sz="0" w:space="0" w:color="auto"/>
      </w:divBdr>
    </w:div>
    <w:div w:id="1228565866">
      <w:bodyDiv w:val="1"/>
      <w:marLeft w:val="0"/>
      <w:marRight w:val="0"/>
      <w:marTop w:val="0"/>
      <w:marBottom w:val="0"/>
      <w:divBdr>
        <w:top w:val="none" w:sz="0" w:space="0" w:color="auto"/>
        <w:left w:val="none" w:sz="0" w:space="0" w:color="auto"/>
        <w:bottom w:val="none" w:sz="0" w:space="0" w:color="auto"/>
        <w:right w:val="none" w:sz="0" w:space="0" w:color="auto"/>
      </w:divBdr>
    </w:div>
    <w:div w:id="1247227678">
      <w:bodyDiv w:val="1"/>
      <w:marLeft w:val="0"/>
      <w:marRight w:val="0"/>
      <w:marTop w:val="0"/>
      <w:marBottom w:val="0"/>
      <w:divBdr>
        <w:top w:val="none" w:sz="0" w:space="0" w:color="auto"/>
        <w:left w:val="none" w:sz="0" w:space="0" w:color="auto"/>
        <w:bottom w:val="none" w:sz="0" w:space="0" w:color="auto"/>
        <w:right w:val="none" w:sz="0" w:space="0" w:color="auto"/>
      </w:divBdr>
    </w:div>
    <w:div w:id="1272585835">
      <w:bodyDiv w:val="1"/>
      <w:marLeft w:val="0"/>
      <w:marRight w:val="0"/>
      <w:marTop w:val="0"/>
      <w:marBottom w:val="0"/>
      <w:divBdr>
        <w:top w:val="none" w:sz="0" w:space="0" w:color="auto"/>
        <w:left w:val="none" w:sz="0" w:space="0" w:color="auto"/>
        <w:bottom w:val="none" w:sz="0" w:space="0" w:color="auto"/>
        <w:right w:val="none" w:sz="0" w:space="0" w:color="auto"/>
      </w:divBdr>
    </w:div>
    <w:div w:id="1292052253">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53190626">
      <w:bodyDiv w:val="1"/>
      <w:marLeft w:val="0"/>
      <w:marRight w:val="0"/>
      <w:marTop w:val="0"/>
      <w:marBottom w:val="0"/>
      <w:divBdr>
        <w:top w:val="none" w:sz="0" w:space="0" w:color="auto"/>
        <w:left w:val="none" w:sz="0" w:space="0" w:color="auto"/>
        <w:bottom w:val="none" w:sz="0" w:space="0" w:color="auto"/>
        <w:right w:val="none" w:sz="0" w:space="0" w:color="auto"/>
      </w:divBdr>
    </w:div>
    <w:div w:id="1452626687">
      <w:bodyDiv w:val="1"/>
      <w:marLeft w:val="0"/>
      <w:marRight w:val="0"/>
      <w:marTop w:val="0"/>
      <w:marBottom w:val="0"/>
      <w:divBdr>
        <w:top w:val="none" w:sz="0" w:space="0" w:color="auto"/>
        <w:left w:val="none" w:sz="0" w:space="0" w:color="auto"/>
        <w:bottom w:val="none" w:sz="0" w:space="0" w:color="auto"/>
        <w:right w:val="none" w:sz="0" w:space="0" w:color="auto"/>
      </w:divBdr>
    </w:div>
    <w:div w:id="1513446476">
      <w:bodyDiv w:val="1"/>
      <w:marLeft w:val="0"/>
      <w:marRight w:val="0"/>
      <w:marTop w:val="0"/>
      <w:marBottom w:val="0"/>
      <w:divBdr>
        <w:top w:val="none" w:sz="0" w:space="0" w:color="auto"/>
        <w:left w:val="none" w:sz="0" w:space="0" w:color="auto"/>
        <w:bottom w:val="none" w:sz="0" w:space="0" w:color="auto"/>
        <w:right w:val="none" w:sz="0" w:space="0" w:color="auto"/>
      </w:divBdr>
    </w:div>
    <w:div w:id="1544444803">
      <w:bodyDiv w:val="1"/>
      <w:marLeft w:val="0"/>
      <w:marRight w:val="0"/>
      <w:marTop w:val="0"/>
      <w:marBottom w:val="0"/>
      <w:divBdr>
        <w:top w:val="none" w:sz="0" w:space="0" w:color="auto"/>
        <w:left w:val="none" w:sz="0" w:space="0" w:color="auto"/>
        <w:bottom w:val="none" w:sz="0" w:space="0" w:color="auto"/>
        <w:right w:val="none" w:sz="0" w:space="0" w:color="auto"/>
      </w:divBdr>
    </w:div>
    <w:div w:id="1544757151">
      <w:bodyDiv w:val="1"/>
      <w:marLeft w:val="0"/>
      <w:marRight w:val="0"/>
      <w:marTop w:val="0"/>
      <w:marBottom w:val="0"/>
      <w:divBdr>
        <w:top w:val="none" w:sz="0" w:space="0" w:color="auto"/>
        <w:left w:val="none" w:sz="0" w:space="0" w:color="auto"/>
        <w:bottom w:val="none" w:sz="0" w:space="0" w:color="auto"/>
        <w:right w:val="none" w:sz="0" w:space="0" w:color="auto"/>
      </w:divBdr>
    </w:div>
    <w:div w:id="1567032589">
      <w:bodyDiv w:val="1"/>
      <w:marLeft w:val="0"/>
      <w:marRight w:val="0"/>
      <w:marTop w:val="0"/>
      <w:marBottom w:val="0"/>
      <w:divBdr>
        <w:top w:val="none" w:sz="0" w:space="0" w:color="auto"/>
        <w:left w:val="none" w:sz="0" w:space="0" w:color="auto"/>
        <w:bottom w:val="none" w:sz="0" w:space="0" w:color="auto"/>
        <w:right w:val="none" w:sz="0" w:space="0" w:color="auto"/>
      </w:divBdr>
    </w:div>
    <w:div w:id="1577938896">
      <w:bodyDiv w:val="1"/>
      <w:marLeft w:val="0"/>
      <w:marRight w:val="0"/>
      <w:marTop w:val="0"/>
      <w:marBottom w:val="0"/>
      <w:divBdr>
        <w:top w:val="none" w:sz="0" w:space="0" w:color="auto"/>
        <w:left w:val="none" w:sz="0" w:space="0" w:color="auto"/>
        <w:bottom w:val="none" w:sz="0" w:space="0" w:color="auto"/>
        <w:right w:val="none" w:sz="0" w:space="0" w:color="auto"/>
      </w:divBdr>
    </w:div>
    <w:div w:id="1583444645">
      <w:bodyDiv w:val="1"/>
      <w:marLeft w:val="0"/>
      <w:marRight w:val="0"/>
      <w:marTop w:val="0"/>
      <w:marBottom w:val="0"/>
      <w:divBdr>
        <w:top w:val="none" w:sz="0" w:space="0" w:color="auto"/>
        <w:left w:val="none" w:sz="0" w:space="0" w:color="auto"/>
        <w:bottom w:val="none" w:sz="0" w:space="0" w:color="auto"/>
        <w:right w:val="none" w:sz="0" w:space="0" w:color="auto"/>
      </w:divBdr>
    </w:div>
    <w:div w:id="1686322427">
      <w:bodyDiv w:val="1"/>
      <w:marLeft w:val="0"/>
      <w:marRight w:val="0"/>
      <w:marTop w:val="0"/>
      <w:marBottom w:val="0"/>
      <w:divBdr>
        <w:top w:val="none" w:sz="0" w:space="0" w:color="auto"/>
        <w:left w:val="none" w:sz="0" w:space="0" w:color="auto"/>
        <w:bottom w:val="none" w:sz="0" w:space="0" w:color="auto"/>
        <w:right w:val="none" w:sz="0" w:space="0" w:color="auto"/>
      </w:divBdr>
    </w:div>
    <w:div w:id="1760783807">
      <w:bodyDiv w:val="1"/>
      <w:marLeft w:val="0"/>
      <w:marRight w:val="0"/>
      <w:marTop w:val="0"/>
      <w:marBottom w:val="0"/>
      <w:divBdr>
        <w:top w:val="none" w:sz="0" w:space="0" w:color="auto"/>
        <w:left w:val="none" w:sz="0" w:space="0" w:color="auto"/>
        <w:bottom w:val="none" w:sz="0" w:space="0" w:color="auto"/>
        <w:right w:val="none" w:sz="0" w:space="0" w:color="auto"/>
      </w:divBdr>
    </w:div>
    <w:div w:id="1910992413">
      <w:bodyDiv w:val="1"/>
      <w:marLeft w:val="0"/>
      <w:marRight w:val="0"/>
      <w:marTop w:val="0"/>
      <w:marBottom w:val="0"/>
      <w:divBdr>
        <w:top w:val="none" w:sz="0" w:space="0" w:color="auto"/>
        <w:left w:val="none" w:sz="0" w:space="0" w:color="auto"/>
        <w:bottom w:val="none" w:sz="0" w:space="0" w:color="auto"/>
        <w:right w:val="none" w:sz="0" w:space="0" w:color="auto"/>
      </w:divBdr>
    </w:div>
    <w:div w:id="2111389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5539/ijms.v4n5p129" TargetMode="External"/><Relationship Id="rId20" Type="http://schemas.openxmlformats.org/officeDocument/2006/relationships/hyperlink" Target="http://dx.doi.org/10.1016/j.iref.2015.08.010" TargetMode="External"/><Relationship Id="rId21" Type="http://schemas.openxmlformats.org/officeDocument/2006/relationships/hyperlink" Target="http://dx.doi.org/10.1355/ae26-3c" TargetMode="External"/><Relationship Id="rId22" Type="http://schemas.openxmlformats.org/officeDocument/2006/relationships/hyperlink" Target="http://dx.dox.org/10.5267/j.msl.2015.2.005" TargetMode="External"/><Relationship Id="rId23" Type="http://schemas.openxmlformats.org/officeDocument/2006/relationships/hyperlink" Target="http://dx.dox.org/10.7916/D8HQ3ZK8" TargetMode="External"/><Relationship Id="rId24" Type="http://schemas.openxmlformats.org/officeDocument/2006/relationships/hyperlink" Target="http://dx.doi.org/10.1111/j.1748-3131.2011.01187.x" TargetMode="External"/><Relationship Id="rId25" Type="http://schemas.openxmlformats.org/officeDocument/2006/relationships/hyperlink" Target="http://dx.doi.org/10.2307/2229041" TargetMode="External"/><Relationship Id="rId26" Type="http://schemas.openxmlformats.org/officeDocument/2006/relationships/hyperlink" Target="http://citeseerx.ist.psu.edu/viewdoc/download?doi=10.1.1.6.5455&amp;rep=rep1&amp;type=pdf" TargetMode="External"/><Relationship Id="rId27" Type="http://schemas.openxmlformats.org/officeDocument/2006/relationships/hyperlink" Target="http://dx.doi.org/10.1111/j.1468-0351.2008.00321.x"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doi.org/10.1257/000282803321455214" TargetMode="External"/><Relationship Id="rId11" Type="http://schemas.openxmlformats.org/officeDocument/2006/relationships/hyperlink" Target="http://www.jstor.org/stable/1813911" TargetMode="External"/><Relationship Id="rId12" Type="http://schemas.openxmlformats.org/officeDocument/2006/relationships/hyperlink" Target="http://dx.doi.org/10.2139/ssrn.1760426" TargetMode="External"/><Relationship Id="rId13" Type="http://schemas.openxmlformats.org/officeDocument/2006/relationships/hyperlink" Target="http://dx.doi.org/10.1016/j.jinteco.2008.10.004" TargetMode="External"/><Relationship Id="rId14" Type="http://schemas.openxmlformats.org/officeDocument/2006/relationships/hyperlink" Target="http://dx.doi.org/10.1007/BF00158774" TargetMode="External"/><Relationship Id="rId15" Type="http://schemas.openxmlformats.org/officeDocument/2006/relationships/hyperlink" Target="http://dx.doi.org/10.1111/j.1467-8489.1977.tb00204.x" TargetMode="External"/><Relationship Id="rId16" Type="http://schemas.openxmlformats.org/officeDocument/2006/relationships/hyperlink" Target="http://dx.doi.org/10.2307/1925976" TargetMode="External"/><Relationship Id="rId17" Type="http://schemas.openxmlformats.org/officeDocument/2006/relationships/hyperlink" Target="https://asu.pure.elsevier.com/en/publications/regional-economic-integration-and-the-volume-of-intra-regional-tr" TargetMode="External"/><Relationship Id="rId18" Type="http://schemas.openxmlformats.org/officeDocument/2006/relationships/hyperlink" Target="http://users.nber.org/~wei/data/fsw1996/fsw1996.pdf" TargetMode="External"/><Relationship Id="rId19" Type="http://schemas.openxmlformats.org/officeDocument/2006/relationships/hyperlink" Target="http://dx.doi.org/10.1355/ae13-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yperlink" Target="https://www.kansascityfed.org/PUBLICAT/econrev/EconRevArchive/1980/1q80abra.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ngocthangdoan\Dropbox\Hoc%20vien%20Ngan%20hang\y%20tuong%20viet%20de%20tai\De%20tai%20cap%20nganh%202016\SO%20LIEU\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Sheet10!$A$3</c:f>
              <c:strCache>
                <c:ptCount val="1"/>
                <c:pt idx="0">
                  <c:v>Export</c:v>
                </c:pt>
              </c:strCache>
            </c:strRef>
          </c:tx>
          <c:spPr>
            <a:ln w="28575" cap="rnd">
              <a:solidFill>
                <a:schemeClr val="accent1"/>
              </a:solidFill>
              <a:round/>
            </a:ln>
            <a:effectLst/>
          </c:spPr>
          <c:marker>
            <c:symbol val="none"/>
          </c:marker>
          <c:cat>
            <c:numRef>
              <c:f>Sheet10!$B$2:$V$2</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cat>
          <c:val>
            <c:numRef>
              <c:f>Sheet10!$B$3:$V$3</c:f>
              <c:numCache>
                <c:formatCode>General</c:formatCode>
                <c:ptCount val="21"/>
                <c:pt idx="0">
                  <c:v>18.9465</c:v>
                </c:pt>
                <c:pt idx="1">
                  <c:v>19.53852833333328</c:v>
                </c:pt>
                <c:pt idx="2">
                  <c:v>21.08160833333318</c:v>
                </c:pt>
                <c:pt idx="3">
                  <c:v>21.73302733333328</c:v>
                </c:pt>
                <c:pt idx="4">
                  <c:v>22.397262</c:v>
                </c:pt>
                <c:pt idx="5">
                  <c:v>23.07406733333332</c:v>
                </c:pt>
                <c:pt idx="6">
                  <c:v>23.763177</c:v>
                </c:pt>
                <c:pt idx="7">
                  <c:v>24.46430433333313</c:v>
                </c:pt>
                <c:pt idx="8">
                  <c:v>25.17714133333332</c:v>
                </c:pt>
                <c:pt idx="9">
                  <c:v>25.901355</c:v>
                </c:pt>
                <c:pt idx="10">
                  <c:v>26.63659933333328</c:v>
                </c:pt>
                <c:pt idx="11">
                  <c:v>27.38250233333312</c:v>
                </c:pt>
                <c:pt idx="12">
                  <c:v>28.13867966666666</c:v>
                </c:pt>
                <c:pt idx="13">
                  <c:v>28.90472633333313</c:v>
                </c:pt>
                <c:pt idx="14">
                  <c:v>29.68022166666666</c:v>
                </c:pt>
                <c:pt idx="15">
                  <c:v>30.46472800000001</c:v>
                </c:pt>
                <c:pt idx="16">
                  <c:v>31.25779466666667</c:v>
                </c:pt>
                <c:pt idx="17">
                  <c:v>32.05895833333333</c:v>
                </c:pt>
                <c:pt idx="18">
                  <c:v>32.867738</c:v>
                </c:pt>
                <c:pt idx="19">
                  <c:v>33.68365133333332</c:v>
                </c:pt>
                <c:pt idx="20">
                  <c:v>34.13554300000001</c:v>
                </c:pt>
              </c:numCache>
            </c:numRef>
          </c:val>
          <c:smooth val="0"/>
          <c:extLst xmlns:c16r2="http://schemas.microsoft.com/office/drawing/2015/06/chart">
            <c:ext xmlns:c16="http://schemas.microsoft.com/office/drawing/2014/chart" uri="{C3380CC4-5D6E-409C-BE32-E72D297353CC}">
              <c16:uniqueId val="{00000000-5F31-4C33-9665-A145BD3AD11E}"/>
            </c:ext>
          </c:extLst>
        </c:ser>
        <c:ser>
          <c:idx val="1"/>
          <c:order val="1"/>
          <c:tx>
            <c:strRef>
              <c:f>Sheet10!$A$4</c:f>
              <c:strCache>
                <c:ptCount val="1"/>
                <c:pt idx="0">
                  <c:v>Import</c:v>
                </c:pt>
              </c:strCache>
            </c:strRef>
          </c:tx>
          <c:spPr>
            <a:ln w="28575" cap="rnd">
              <a:solidFill>
                <a:schemeClr val="accent2"/>
              </a:solidFill>
              <a:round/>
            </a:ln>
            <a:effectLst/>
          </c:spPr>
          <c:marker>
            <c:symbol val="none"/>
          </c:marker>
          <c:cat>
            <c:numRef>
              <c:f>Sheet10!$B$2:$V$2</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cat>
          <c:val>
            <c:numRef>
              <c:f>Sheet10!$B$4:$V$4</c:f>
              <c:numCache>
                <c:formatCode>General</c:formatCode>
                <c:ptCount val="21"/>
                <c:pt idx="0">
                  <c:v>12.186952</c:v>
                </c:pt>
                <c:pt idx="1">
                  <c:v>12.82203566666667</c:v>
                </c:pt>
                <c:pt idx="2">
                  <c:v>13.93524266666666</c:v>
                </c:pt>
                <c:pt idx="3">
                  <c:v>14.651941</c:v>
                </c:pt>
                <c:pt idx="4">
                  <c:v>15.39782166666666</c:v>
                </c:pt>
                <c:pt idx="5">
                  <c:v>16.172631</c:v>
                </c:pt>
                <c:pt idx="6">
                  <c:v>16.97601866666666</c:v>
                </c:pt>
                <c:pt idx="7">
                  <c:v>17.80752066666667</c:v>
                </c:pt>
                <c:pt idx="8">
                  <c:v>18.66658633333313</c:v>
                </c:pt>
                <c:pt idx="9">
                  <c:v>19.55255733333328</c:v>
                </c:pt>
                <c:pt idx="10">
                  <c:v>20.464693</c:v>
                </c:pt>
                <c:pt idx="11">
                  <c:v>21.40215999999998</c:v>
                </c:pt>
                <c:pt idx="12">
                  <c:v>22.36404466666666</c:v>
                </c:pt>
                <c:pt idx="13">
                  <c:v>23.34935733333332</c:v>
                </c:pt>
                <c:pt idx="14">
                  <c:v>24.35703633333332</c:v>
                </c:pt>
                <c:pt idx="15">
                  <c:v>25.38595433333332</c:v>
                </c:pt>
                <c:pt idx="16">
                  <c:v>26.43492699999999</c:v>
                </c:pt>
                <c:pt idx="17">
                  <c:v>27.50271800000001</c:v>
                </c:pt>
                <c:pt idx="18">
                  <c:v>28.58804466666667</c:v>
                </c:pt>
                <c:pt idx="19">
                  <c:v>29.68958566666666</c:v>
                </c:pt>
                <c:pt idx="20">
                  <c:v>30.58964133333313</c:v>
                </c:pt>
              </c:numCache>
            </c:numRef>
          </c:val>
          <c:smooth val="0"/>
          <c:extLst xmlns:c16r2="http://schemas.microsoft.com/office/drawing/2015/06/chart">
            <c:ext xmlns:c16="http://schemas.microsoft.com/office/drawing/2014/chart" uri="{C3380CC4-5D6E-409C-BE32-E72D297353CC}">
              <c16:uniqueId val="{00000001-5F31-4C33-9665-A145BD3AD11E}"/>
            </c:ext>
          </c:extLst>
        </c:ser>
        <c:dLbls>
          <c:showLegendKey val="0"/>
          <c:showVal val="0"/>
          <c:showCatName val="0"/>
          <c:showSerName val="0"/>
          <c:showPercent val="0"/>
          <c:showBubbleSize val="0"/>
        </c:dLbls>
        <c:smooth val="0"/>
        <c:axId val="-2124632992"/>
        <c:axId val="-2112414352"/>
      </c:lineChart>
      <c:catAx>
        <c:axId val="-212463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414352"/>
        <c:crosses val="autoZero"/>
        <c:auto val="1"/>
        <c:lblAlgn val="ctr"/>
        <c:lblOffset val="100"/>
        <c:tickLblSkip val="5"/>
        <c:noMultiLvlLbl val="0"/>
      </c:catAx>
      <c:valAx>
        <c:axId val="-211241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63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5215</Words>
  <Characters>29732</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347</cp:revision>
  <dcterms:created xsi:type="dcterms:W3CDTF">2017-02-12T13:12:00Z</dcterms:created>
  <dcterms:modified xsi:type="dcterms:W3CDTF">2017-03-09T06:37:00Z</dcterms:modified>
</cp:coreProperties>
</file>