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Реачна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2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 и sestatus</w:t>
      </w:r>
      <w:r>
        <w:t xml:space="preserve">.</w:t>
      </w:r>
    </w:p>
    <w:p>
      <w:pPr>
        <w:pStyle w:val="CaptionedFigure"/>
      </w:pPr>
      <w:r>
        <w:drawing>
          <wp:inline>
            <wp:extent cx="5334000" cy="3639418"/>
            <wp:effectExtent b="0" l="0" r="0" t="0"/>
            <wp:docPr descr="getenforce и sestatu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getenforce и sestatus</w:t>
      </w:r>
    </w:p>
    <w:p>
      <w:pPr>
        <w:numPr>
          <w:ilvl w:val="0"/>
          <w:numId w:val="1003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работает: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</w:p>
    <w:p>
      <w:pPr>
        <w:pStyle w:val="CaptionedFigure"/>
      </w:pPr>
      <w:r>
        <w:drawing>
          <wp:inline>
            <wp:extent cx="3733800" cy="2854686"/>
            <wp:effectExtent b="0" l="0" r="0" t="0"/>
            <wp:docPr descr="запуск htt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http</w:t>
      </w:r>
    </w:p>
    <w:p>
      <w:pPr>
        <w:numPr>
          <w:ilvl w:val="0"/>
          <w:numId w:val="1004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 или ps -eZ | grep httpd</w:t>
      </w:r>
    </w:p>
    <w:p>
      <w:pPr>
        <w:pStyle w:val="CaptionedFigure"/>
      </w:pPr>
      <w:r>
        <w:drawing>
          <wp:inline>
            <wp:extent cx="3733800" cy="1246210"/>
            <wp:effectExtent b="0" l="0" r="0" t="0"/>
            <wp:docPr descr="контекст безопасности http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http</w:t>
      </w:r>
    </w:p>
    <w:p>
      <w:pPr>
        <w:numPr>
          <w:ilvl w:val="0"/>
          <w:numId w:val="1005"/>
        </w:numPr>
        <w:pStyle w:val="Compact"/>
      </w:pPr>
      <w:r>
        <w:t xml:space="preserve">Посмотрите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-bigrep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</w:p>
    <w:p>
      <w:pPr>
        <w:pStyle w:val="CaptionedFigure"/>
      </w:pPr>
      <w:r>
        <w:drawing>
          <wp:inline>
            <wp:extent cx="3733800" cy="3816341"/>
            <wp:effectExtent b="0" l="0" r="0" t="0"/>
            <wp:docPr descr="переключатели SELinux для http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переключатели SELinux для http</w:t>
      </w:r>
    </w:p>
    <w:p>
      <w:pPr>
        <w:numPr>
          <w:ilvl w:val="0"/>
          <w:numId w:val="1006"/>
        </w:numPr>
        <w:pStyle w:val="Compact"/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, также определите множество пользователей, ролей, типов.</w:t>
      </w:r>
    </w:p>
    <w:p>
      <w:pPr>
        <w:pStyle w:val="CaptionedFigure"/>
      </w:pPr>
      <w:r>
        <w:drawing>
          <wp:inline>
            <wp:extent cx="5334000" cy="3588969"/>
            <wp:effectExtent b="0" l="0" r="0" t="0"/>
            <wp:docPr descr="статистика по политик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7"/>
        </w:numPr>
      </w:pPr>
      <w:r>
        <w:t xml:space="preserve">Определите тип файлов и поддиректорий, находящихся в директории /var/www, с помощью команды</w:t>
      </w:r>
      <w:r>
        <w:t xml:space="preserve"> </w:t>
      </w:r>
      <w:r>
        <w:rPr>
          <w:rStyle w:val="VerbatimChar"/>
        </w:rPr>
        <w:t xml:space="preserve">ls -lZ /var/ww</w:t>
      </w:r>
      <w:r>
        <w:t xml:space="preserve">w. В поддиректориях могут располагаться системные скрипты и контент для http.</w:t>
      </w:r>
    </w:p>
    <w:p>
      <w:pPr>
        <w:numPr>
          <w:ilvl w:val="0"/>
          <w:numId w:val="1007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rPr>
          <w:rStyle w:val="VerbatimChar"/>
        </w:rPr>
        <w:t xml:space="preserve">ls -lZ /var/www/html</w:t>
      </w:r>
      <w:r>
        <w:t xml:space="preserve">. В директории изначально нет файлов.</w:t>
      </w:r>
    </w:p>
    <w:p>
      <w:pPr>
        <w:numPr>
          <w:ilvl w:val="0"/>
          <w:numId w:val="1007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7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7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7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r>
        <w:drawing>
          <wp:inline>
            <wp:extent cx="3733800" cy="2175209"/>
            <wp:effectExtent b="0" l="0" r="0" t="0"/>
            <wp:docPr descr="создание html-файла и доступ по htt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html-файла и доступ по http</w:t>
      </w:r>
    </w:p>
    <w:p>
      <w:pPr>
        <w:numPr>
          <w:ilvl w:val="0"/>
          <w:numId w:val="1008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</w:t>
      </w:r>
      <w:r>
        <w:t xml:space="preserve"> </w:t>
      </w:r>
      <w:r>
        <w:rPr>
          <w:rStyle w:val="VerbatimChar"/>
        </w:rPr>
        <w:t xml:space="preserve">ls -Z. ls -Z /var/www/html/test.html</w:t>
      </w:r>
      <w:r>
        <w:t xml:space="preserve">. Основным контекстом является httpd_sys_content_t, его мы и увидели в выводе команды.</w:t>
      </w:r>
    </w:p>
    <w:p>
      <w:pPr>
        <w:numPr>
          <w:ilvl w:val="0"/>
          <w:numId w:val="1008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поменялся.</w:t>
      </w:r>
    </w:p>
    <w:p>
      <w:pPr>
        <w:numPr>
          <w:ilvl w:val="0"/>
          <w:numId w:val="1008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</w:t>
      </w:r>
    </w:p>
    <w:p>
      <w:pPr>
        <w:pStyle w:val="FirstParagraph"/>
      </w:pPr>
      <w:r>
        <w:t xml:space="preserve">Forbidden</w:t>
      </w:r>
      <w:r>
        <w:t xml:space="preserve"> </w:t>
      </w:r>
      <w:r>
        <w:t xml:space="preserve">You don’t have permission to access /test.html on this server.</w:t>
      </w:r>
    </w:p>
    <w:p>
      <w:pPr>
        <w:pStyle w:val="BodyText"/>
      </w:pPr>
      <w:r>
        <w:t xml:space="preserve">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r>
        <w:drawing>
          <wp:inline>
            <wp:extent cx="3733800" cy="2313332"/>
            <wp:effectExtent b="0" l="0" r="0" t="0"/>
            <wp:docPr descr="ошибка доступа после изменения контекст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доступа после изменения контекста</w:t>
      </w:r>
    </w:p>
    <w:p>
      <w:pPr>
        <w:numPr>
          <w:ilvl w:val="0"/>
          <w:numId w:val="1009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 </w:t>
      </w:r>
      <w:r>
        <w:t xml:space="preserve">Если в системе окажутся запущенными процессы setroubleshootd и audtd, то вы также сможете увидеть ошибки, аналогичные указанным выше, в файле</w:t>
      </w:r>
      <w:r>
        <w:t xml:space="preserve"> </w:t>
      </w:r>
      <w:r>
        <w:rPr>
          <w:rStyle w:val="VerbatimChar"/>
        </w:rPr>
        <w:t xml:space="preserve">/var/log/audit/audit.log</w:t>
      </w:r>
      <w:r>
        <w:t xml:space="preserve">. Проверьте это утверждение самостоятельно.</w:t>
      </w:r>
    </w:p>
    <w:p>
      <w:pPr>
        <w:pStyle w:val="CaptionedFigure"/>
      </w:pPr>
      <w:r>
        <w:drawing>
          <wp:inline>
            <wp:extent cx="3733800" cy="3724430"/>
            <wp:effectExtent b="0" l="0" r="0" t="0"/>
            <wp:docPr descr="лог ошибо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ошибок</w:t>
      </w:r>
    </w:p>
    <w:p>
      <w:pPr>
        <w:numPr>
          <w:ilvl w:val="0"/>
          <w:numId w:val="1010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r>
        <w:drawing>
          <wp:inline>
            <wp:extent cx="3733800" cy="2806450"/>
            <wp:effectExtent b="0" l="0" r="0" t="0"/>
            <wp:docPr descr="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порта</w:t>
      </w:r>
    </w:p>
    <w:p>
      <w:pPr>
        <w:numPr>
          <w:ilvl w:val="0"/>
          <w:numId w:val="1011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11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11"/>
        </w:numPr>
      </w:pPr>
      <w:r>
        <w:t xml:space="preserve">Выполните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</w:p>
    <w:p>
      <w:pPr>
        <w:numPr>
          <w:ilvl w:val="0"/>
          <w:numId w:val="1011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11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r>
        <w:drawing>
          <wp:inline>
            <wp:extent cx="3733800" cy="2034013"/>
            <wp:effectExtent b="0" l="0" r="0" t="0"/>
            <wp:docPr descr="доступ по http на 81 пор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по http на 81 порт</w:t>
      </w:r>
    </w:p>
    <w:p>
      <w:pPr>
        <w:numPr>
          <w:ilvl w:val="0"/>
          <w:numId w:val="1012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2"/>
        </w:numPr>
      </w:pPr>
      <w:r>
        <w:t xml:space="preserve">Удалите привязку http_port_t к 81 порту: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12"/>
        </w:numPr>
      </w:pPr>
      <w:r>
        <w:t xml:space="preserve">Удалите файл /var/www/html/test.html: rm /var/www/html/test.html</w:t>
      </w:r>
    </w:p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4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hyperlink r:id="rId55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3"/>
        </w:numPr>
        <w:pStyle w:val="Compact"/>
      </w:pPr>
      <w:hyperlink r:id="rId56">
        <w:r>
          <w:rPr>
            <w:rStyle w:val="Hyperlink"/>
          </w:rPr>
          <w:t xml:space="preserve">Веб-сервер Apache</w:t>
        </w:r>
      </w:hyperlink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0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1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5" Target="https://access.redhat.com/documentation/en-us/red_hat_enterprise_linux/6/html/security-enhanced_linux/index" TargetMode="External" /><Relationship Type="http://schemas.openxmlformats.org/officeDocument/2006/relationships/hyperlink" Id="rId56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access.redhat.com/documentation/en-us/red_hat_enterprise_linux/6/html/security-enhanced_linux/index" TargetMode="External" /><Relationship Type="http://schemas.openxmlformats.org/officeDocument/2006/relationships/hyperlink" Id="rId56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Ким Реачна</dc:creator>
  <dc:language>ru-RU</dc:language>
  <cp:keywords/>
  <dcterms:created xsi:type="dcterms:W3CDTF">2023-10-12T11:53:15Z</dcterms:created>
  <dcterms:modified xsi:type="dcterms:W3CDTF">2023-10-12T11:53:15Z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