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PaperTrail Compare</w:t>
      </w:r>
    </w:p>
    <w:p>
      <w:pPr>
        <w:spacing w:after="400"/>
      </w:pPr>
      <w:r>
        <w:rPr>
          <w:i/>
          <w:iCs/>
          <w:color w:val="44546A"/>
          <w:sz w:val="24"/>
          <w:szCs w:val="24"/>
        </w:rPr>
        <w:t xml:space="preserve">Konzeptbeschreibung zum inhaltlichen PDF-Vergleich bei Drucksystem-Migrationen</w:t>
      </w:r>
    </w:p>
    <w:p>
      <w:pPr>
        <w:pStyle w:val="Heading1"/>
        <w:pBdr>
          <w:bottom w:val="single" w:color="2F5496" w:sz="6" w:space="4"/>
        </w:pBdr>
        <w:spacing w:after="160" w:before="360"/>
      </w:pPr>
      <w:r>
        <w:rPr>
          <w:b/>
          <w:bCs/>
          <w:color w:val="1F3864"/>
          <w:sz w:val="30"/>
          <w:szCs w:val="30"/>
        </w:rPr>
        <w:t xml:space="preserve">1. Ausgangslage</w:t>
      </w:r>
    </w:p>
    <w:p>
      <w:pPr>
        <w:spacing w:after="200"/>
      </w:pPr>
      <w:r>
        <w:rPr>
          <w:sz w:val="22"/>
          <w:szCs w:val="22"/>
        </w:rPr>
        <w:t xml:space="preserve">Wechselt ein Unternehmen sein zentrales Drucksystem, muss belastbar nachgewiesen werden, dass die neu erzeugten Dokumente inhaltlich mit denen des bisherigen Systems übereinstimmen. In der Praxis erweist sich genau dieser Nachweis als schwierig: Unterschiedliche Formatierungs-Engines geben denselben Text – selbst bei identischer Schriftart – nicht pixelgenau gleich aus. Ein rein bildlicher Vergleich der erzeugten Seiten würde daher schon dann eine Abweichung melden, wenn der Inhalt vollständig unverändert ist.</w:t>
      </w:r>
    </w:p>
    <w:p>
      <w:pPr>
        <w:spacing w:after="200"/>
      </w:pPr>
      <w:r>
        <w:rPr>
          <w:sz w:val="22"/>
          <w:szCs w:val="22"/>
        </w:rPr>
        <w:t xml:space="preserve">Hinzu kommt, dass neue Dokumenten-Generatoren häufig andere Seitenumbrüche setzen als das Altsystem, ohne dass sich der eigentliche Text ändert. Für die Freigabe einer Migration zählt jedoch nicht die optische, sondern die inhaltliche Übereinstimmung.</w:t>
      </w:r>
    </w:p>
    <w:p>
      <w:pPr>
        <w:pStyle w:val="Heading1"/>
        <w:pBdr>
          <w:bottom w:val="single" w:color="2F5496" w:sz="6" w:space="4"/>
        </w:pBdr>
        <w:spacing w:after="160" w:before="360"/>
      </w:pPr>
      <w:r>
        <w:rPr>
          <w:b/>
          <w:bCs/>
          <w:color w:val="1F3864"/>
          <w:sz w:val="30"/>
          <w:szCs w:val="30"/>
        </w:rPr>
        <w:t xml:space="preserve">2. Zielgruppe</w:t>
      </w:r>
    </w:p>
    <w:p>
      <w:pPr>
        <w:spacing w:after="200"/>
      </w:pPr>
      <w:r>
        <w:rPr>
          <w:sz w:val="22"/>
          <w:szCs w:val="22"/>
        </w:rPr>
        <w:t xml:space="preserve">Adressiert werden Unternehmen mit zentralen Drucksystemen, die einen Wechsel ihres Drucksystems planen oder bereits durchführen und dabei die inhaltliche Gleichwertigkeit von Alt- und Neu-Dokumenten nachweisen müssen.</w:t>
      </w:r>
    </w:p>
    <w:p>
      <w:pPr>
        <w:pStyle w:val="Heading1"/>
        <w:pBdr>
          <w:bottom w:val="single" w:color="2F5496" w:sz="6" w:space="4"/>
        </w:pBdr>
        <w:spacing w:after="160" w:before="360"/>
      </w:pPr>
      <w:r>
        <w:rPr>
          <w:b/>
          <w:bCs/>
          <w:color w:val="1F3864"/>
          <w:sz w:val="30"/>
          <w:szCs w:val="30"/>
        </w:rPr>
        <w:t xml:space="preserve">3. Lösungsansatz</w:t>
      </w:r>
    </w:p>
    <w:p>
      <w:pPr>
        <w:spacing w:after="200"/>
      </w:pPr>
      <w:r>
        <w:rPr>
          <w:sz w:val="22"/>
          <w:szCs w:val="22"/>
        </w:rPr>
        <w:t xml:space="preserve">PaperTrail Compare setzt genau an dieser Stelle an: Die Anwendung vergleicht PDF-Dokumente nicht auf Pixel-, sondern auf Textebene und blendet dabei technisch bedingte, inhaltlich aber irrelevante Unterschiede gezielt aus.</w:t>
      </w:r>
    </w:p>
    <w:p>
      <w:pPr>
        <w:pStyle w:val="Heading1"/>
        <w:pBdr>
          <w:bottom w:val="single" w:color="2F5496" w:sz="6" w:space="4"/>
        </w:pBdr>
        <w:spacing w:after="160" w:before="360"/>
      </w:pPr>
      <w:r>
        <w:rPr>
          <w:b/>
          <w:bCs/>
          <w:color w:val="1F3864"/>
          <w:sz w:val="30"/>
          <w:szCs w:val="30"/>
        </w:rPr>
        <w:t xml:space="preserve">4. Rahmenbedingungen für Einsatz und Betrieb</w:t>
      </w:r>
    </w:p>
    <w:p>
      <w:pPr>
        <w:pStyle w:val="Heading2"/>
        <w:spacing w:after="120" w:before="260"/>
      </w:pPr>
      <w:r>
        <w:rPr>
          <w:b/>
          <w:bCs/>
          <w:color w:val="2F5496"/>
          <w:sz w:val="24"/>
          <w:szCs w:val="24"/>
        </w:rPr>
        <w:t xml:space="preserve">4.1 Datenschutz und Datenhoheit</w:t>
      </w:r>
    </w:p>
    <w:p>
      <w:pPr>
        <w:spacing w:after="200"/>
      </w:pPr>
      <w:r>
        <w:rPr>
          <w:sz w:val="22"/>
          <w:szCs w:val="22"/>
        </w:rPr>
        <w:t xml:space="preserve">Da es sich bei den zu vergleichenden Dokumenten regelmäßig um sensible Unternehmensdaten handelt, dürfen diese das Unternehmen bzw. den Kunden zu keinem Zeitpunkt verlassen. Verarbeitung und Speicherung der Daten erfolgen deshalb ausschließlich in der Umgebung bzw. auf den Rechnern des Kunden.</w:t>
      </w:r>
    </w:p>
    <w:p>
      <w:pPr>
        <w:pStyle w:val="Heading2"/>
        <w:spacing w:after="120" w:before="260"/>
      </w:pPr>
      <w:r>
        <w:rPr>
          <w:b/>
          <w:bCs/>
          <w:color w:val="2F5496"/>
          <w:sz w:val="24"/>
          <w:szCs w:val="24"/>
        </w:rPr>
        <w:t xml:space="preserve">4.2 Betrieb beim Kunden</w:t>
      </w:r>
    </w:p>
    <w:p>
      <w:pPr>
        <w:pStyle w:val="ListParagraph"/>
        <w:numPr>
          <w:ilvl w:val="0"/>
          <w:numId w:val="2"/>
        </w:numPr>
        <w:spacing w:after="100"/>
      </w:pPr>
      <w:r>
        <w:rPr>
          <w:sz w:val="22"/>
          <w:szCs w:val="22"/>
        </w:rPr>
        <w:t xml:space="preserve">Das System muss vollständig in der Infrastruktur des Kunden betrieben werden können, um die genannten Datenschutzanforderungen zu erfüllen.</w:t>
      </w:r>
    </w:p>
    <w:p>
      <w:pPr>
        <w:pStyle w:val="ListParagraph"/>
        <w:numPr>
          <w:ilvl w:val="0"/>
          <w:numId w:val="2"/>
        </w:numPr>
        <w:spacing w:after="100"/>
      </w:pPr>
      <w:r>
        <w:rPr>
          <w:sz w:val="22"/>
          <w:szCs w:val="22"/>
        </w:rPr>
        <w:t xml:space="preserve">Eine eigene Serverinstallation ist bewusst nicht vorgesehen: Serverinstallationen ziehen bei Kunden häufig langwierige interne Genehmigungs- und Beschaffungsprozesse nach sich, die eine Einführung der Software erheblich verzögern oder verhindern würden.</w:t>
      </w:r>
    </w:p>
    <w:p>
      <w:pPr>
        <w:pStyle w:val="Heading1"/>
        <w:pBdr>
          <w:bottom w:val="single" w:color="2F5496" w:sz="6" w:space="4"/>
        </w:pBdr>
        <w:spacing w:after="160" w:before="360"/>
      </w:pPr>
      <w:r>
        <w:rPr>
          <w:b/>
          <w:bCs/>
          <w:color w:val="1F3864"/>
          <w:sz w:val="30"/>
          <w:szCs w:val="30"/>
        </w:rPr>
        <w:t xml:space="preserve">5. Funktionsbereiche</w:t>
      </w:r>
    </w:p>
    <w:p>
      <w:pPr>
        <w:pStyle w:val="Heading2"/>
        <w:spacing w:after="120" w:before="260"/>
      </w:pPr>
      <w:r>
        <w:rPr>
          <w:b/>
          <w:bCs/>
          <w:color w:val="2F5496"/>
          <w:sz w:val="24"/>
          <w:szCs w:val="24"/>
        </w:rPr>
        <w:t xml:space="preserve">5.1 Intelligente Textgegenüberstellung</w:t>
      </w:r>
    </w:p>
    <w:p>
      <w:pPr>
        <w:pStyle w:val="ListParagraph"/>
        <w:numPr>
          <w:ilvl w:val="0"/>
          <w:numId w:val="2"/>
        </w:numPr>
        <w:spacing w:after="100"/>
      </w:pPr>
      <w:r>
        <w:rPr>
          <w:sz w:val="22"/>
          <w:szCs w:val="22"/>
        </w:rPr>
        <w:t xml:space="preserve">Wortumbrüche durch Silbentrennung werden erkannt und vor dem Vergleich wieder zu einem Wort zusammengeführt, sodass daraus kein falsches Delta entsteht.</w:t>
      </w:r>
    </w:p>
    <w:p>
      <w:pPr>
        <w:pStyle w:val="ListParagraph"/>
        <w:numPr>
          <w:ilvl w:val="0"/>
          <w:numId w:val="2"/>
        </w:numPr>
        <w:spacing w:after="100"/>
      </w:pPr>
      <w:r>
        <w:rPr>
          <w:sz w:val="22"/>
          <w:szCs w:val="22"/>
        </w:rPr>
        <w:t xml:space="preserve">Ein versetzter Seitenumbruch führt nicht automatisch zu einer gemeldeten Abweichung, solange der zugrunde liegende Text identisch bleibt.</w:t>
      </w:r>
    </w:p>
    <w:p>
      <w:pPr>
        <w:pStyle w:val="ListParagraph"/>
        <w:numPr>
          <w:ilvl w:val="0"/>
          <w:numId w:val="2"/>
        </w:numPr>
        <w:spacing w:after="100"/>
      </w:pPr>
      <w:r>
        <w:rPr>
          <w:sz w:val="22"/>
          <w:szCs w:val="22"/>
        </w:rPr>
        <w:t xml:space="preserve">Einzelne Bereiche einer Seite lassen sich gezielt vom Vergleich ausnehmen, etwa variable oder unerhebliche Feldinhalte.</w:t>
      </w:r>
    </w:p>
    <w:p>
      <w:pPr>
        <w:pStyle w:val="ListParagraph"/>
        <w:numPr>
          <w:ilvl w:val="0"/>
          <w:numId w:val="2"/>
        </w:numPr>
        <w:spacing w:after="100"/>
      </w:pPr>
      <w:r>
        <w:rPr>
          <w:sz w:val="22"/>
          <w:szCs w:val="22"/>
        </w:rPr>
        <w:t xml:space="preserve">Zusammengehörige Seiten können über Such-Muster zu Seitengruppen zusammengefasst werden.</w:t>
      </w:r>
    </w:p>
    <w:p>
      <w:pPr>
        <w:pStyle w:val="ListParagraph"/>
        <w:numPr>
          <w:ilvl w:val="0"/>
          <w:numId w:val="2"/>
        </w:numPr>
        <w:spacing w:after="100"/>
      </w:pPr>
      <w:r>
        <w:rPr>
          <w:sz w:val="22"/>
          <w:szCs w:val="22"/>
        </w:rPr>
        <w:t xml:space="preserve">Der Vergleich lässt sich gezielt auf ausgewählte Seitengruppen beschränken.</w:t>
      </w:r>
    </w:p>
    <w:p>
      <w:pPr>
        <w:pStyle w:val="ListParagraph"/>
        <w:numPr>
          <w:ilvl w:val="0"/>
          <w:numId w:val="2"/>
        </w:numPr>
        <w:spacing w:after="100"/>
      </w:pPr>
      <w:r>
        <w:rPr>
          <w:sz w:val="22"/>
          <w:szCs w:val="22"/>
        </w:rPr>
        <w:t xml:space="preserve">Mehrspaltige Layouts werden automatisch erkannt und in der korrekten Lesereihenfolge verarbeitet.</w:t>
      </w:r>
    </w:p>
    <w:p>
      <w:pPr>
        <w:pStyle w:val="ListParagraph"/>
        <w:numPr>
          <w:ilvl w:val="0"/>
          <w:numId w:val="2"/>
        </w:numPr>
        <w:spacing w:after="100"/>
      </w:pPr>
      <w:r>
        <w:rPr>
          <w:sz w:val="22"/>
          <w:szCs w:val="22"/>
        </w:rPr>
        <w:t xml:space="preserve">Tabellenstrukturen innerhalb der Dokumente werden automatisch erkannt.</w:t>
      </w:r>
    </w:p>
    <w:p>
      <w:pPr>
        <w:pStyle w:val="ListParagraph"/>
        <w:numPr>
          <w:ilvl w:val="0"/>
          <w:numId w:val="2"/>
        </w:numPr>
        <w:spacing w:after="100"/>
      </w:pPr>
      <w:r>
        <w:rPr>
          <w:sz w:val="22"/>
          <w:szCs w:val="22"/>
        </w:rPr>
        <w:t xml:space="preserve">Text, der nur als eingescannte Grafik vorliegt, wird per OCR erfasst und ebenso in den Vergleich einbezogen.</w:t>
      </w:r>
    </w:p>
    <w:p>
      <w:pPr>
        <w:pStyle w:val="Heading2"/>
        <w:spacing w:after="120" w:before="260"/>
      </w:pPr>
      <w:r>
        <w:rPr>
          <w:b/>
          <w:bCs/>
          <w:color w:val="2F5496"/>
          <w:sz w:val="24"/>
          <w:szCs w:val="24"/>
        </w:rPr>
        <w:t xml:space="preserve">5.2 Konfigurierbarkeit</w:t>
      </w:r>
    </w:p>
    <w:p>
      <w:pPr>
        <w:spacing w:after="200"/>
      </w:pPr>
      <w:r>
        <w:rPr>
          <w:sz w:val="22"/>
          <w:szCs w:val="22"/>
        </w:rPr>
        <w:t xml:space="preserve">Die genannten Vergleichsregeln lassen sich je Anwendungsfall über JSON-basierte Vergleichsprofile konfigurieren. So können unterschiedliche Dokumenttypen mit jeweils passenden Toleranzregeln behandelt werden.</w:t>
      </w:r>
    </w:p>
    <w:p>
      <w:pPr>
        <w:pStyle w:val="Heading2"/>
        <w:spacing w:after="120" w:before="260"/>
      </w:pPr>
      <w:r>
        <w:rPr>
          <w:b/>
          <w:bCs/>
          <w:color w:val="2F5496"/>
          <w:sz w:val="24"/>
          <w:szCs w:val="24"/>
        </w:rPr>
        <w:t xml:space="preserve">5.3 Skalierung auf große Mengen</w:t>
      </w:r>
    </w:p>
    <w:p>
      <w:pPr>
        <w:pStyle w:val="ListParagraph"/>
        <w:numPr>
          <w:ilvl w:val="0"/>
          <w:numId w:val="2"/>
        </w:numPr>
        <w:spacing w:after="100"/>
      </w:pPr>
      <w:r>
        <w:rPr>
          <w:sz w:val="22"/>
          <w:szCs w:val="22"/>
        </w:rPr>
        <w:t xml:space="preserve">Große Mengen an Dokumentenpaaren lassen sich anhand einer vorgegebenen Dateiliste automatisiert verarbeiten.</w:t>
      </w:r>
    </w:p>
    <w:p>
      <w:pPr>
        <w:pStyle w:val="ListParagraph"/>
        <w:numPr>
          <w:ilvl w:val="0"/>
          <w:numId w:val="2"/>
        </w:numPr>
        <w:spacing w:after="100"/>
      </w:pPr>
      <w:r>
        <w:rPr>
          <w:sz w:val="22"/>
          <w:szCs w:val="22"/>
        </w:rPr>
        <w:t xml:space="preserve">Alternativ können Dokumentenpaare automatisch über gemeinsame Metadaten ermittelt werden, etwa eine übereinstimmende XMP-Document-ID.</w:t>
      </w:r>
    </w:p>
    <w:p>
      <w:pPr>
        <w:pStyle w:val="ListParagraph"/>
        <w:numPr>
          <w:ilvl w:val="0"/>
          <w:numId w:val="2"/>
        </w:numPr>
        <w:spacing w:after="100"/>
      </w:pPr>
      <w:r>
        <w:rPr>
          <w:sz w:val="22"/>
          <w:szCs w:val="22"/>
        </w:rPr>
        <w:t xml:space="preserve">Auch innerhalb großer Sammel-PDFs lassen sich einzelne Dokumente anhand bestimmter Texte in definierten Seitengruppen erkennen und einander zugeordnet vergleichen.</w:t>
      </w:r>
    </w:p>
    <w:p>
      <w:pPr>
        <w:pStyle w:val="Heading2"/>
        <w:spacing w:after="120" w:before="260"/>
      </w:pPr>
      <w:r>
        <w:rPr>
          <w:b/>
          <w:bCs/>
          <w:color w:val="2F5496"/>
          <w:sz w:val="24"/>
          <w:szCs w:val="24"/>
        </w:rPr>
        <w:t xml:space="preserve">5.4 Nachvollziehbarkeit und Reporting</w:t>
      </w:r>
    </w:p>
    <w:p>
      <w:pPr>
        <w:pStyle w:val="ListParagraph"/>
        <w:numPr>
          <w:ilvl w:val="0"/>
          <w:numId w:val="2"/>
        </w:numPr>
        <w:spacing w:after="100"/>
      </w:pPr>
      <w:r>
        <w:rPr>
          <w:sz w:val="22"/>
          <w:szCs w:val="22"/>
        </w:rPr>
        <w:t xml:space="preserve">Gefundene Abweichungen werden direkt im Referenz- und im zu prüfenden Dokument sichtbar markiert.</w:t>
      </w:r>
    </w:p>
    <w:p>
      <w:pPr>
        <w:pStyle w:val="ListParagraph"/>
        <w:numPr>
          <w:ilvl w:val="0"/>
          <w:numId w:val="2"/>
        </w:numPr>
        <w:spacing w:after="100"/>
      </w:pPr>
      <w:r>
        <w:rPr>
          <w:sz w:val="22"/>
          <w:szCs w:val="22"/>
        </w:rPr>
        <w:t xml:space="preserve">Für Sammelvergleiche entsteht ein zusammenfassender Bericht über alle verglichenen Dateipaare.</w:t>
      </w:r>
    </w:p>
    <w:p>
      <w:pPr>
        <w:pStyle w:val="ListParagraph"/>
        <w:numPr>
          <w:ilvl w:val="0"/>
          <w:numId w:val="2"/>
        </w:numPr>
        <w:spacing w:after="100"/>
      </w:pPr>
      <w:r>
        <w:rPr>
          <w:sz w:val="22"/>
          <w:szCs w:val="22"/>
        </w:rPr>
        <w:t xml:space="preserve">Zusätzlich steht ein detaillierter Bericht zur Verfügung, der jede einzelne Abweichung mit Seiten- und Dateiangabe auflistet.</w:t>
      </w:r>
    </w:p>
    <w:p>
      <w:pPr>
        <w:pStyle w:val="Heading2"/>
        <w:spacing w:after="120" w:before="260"/>
      </w:pPr>
      <w:r>
        <w:rPr>
          <w:b/>
          <w:bCs/>
          <w:color w:val="2F5496"/>
          <w:sz w:val="24"/>
          <w:szCs w:val="24"/>
        </w:rPr>
        <w:t xml:space="preserve">5.5 Bedienung</w:t>
      </w:r>
    </w:p>
    <w:p>
      <w:pPr>
        <w:spacing w:after="200"/>
      </w:pPr>
      <w:r>
        <w:rPr>
          <w:sz w:val="22"/>
          <w:szCs w:val="22"/>
        </w:rPr>
        <w:t xml:space="preserve">Für den täglichen Einsatz stellt PaperTrail Compare eine grafische Oberfläche bereit, über die sich sowohl einzelne Dateipaare direkt vergleichen als auch umfangreiche Massenvergleiche inklusive der zugehörigen Job-Warteschlangen administrieren lassen.</w:t>
      </w:r>
    </w:p>
    <w:p>
      <w:pPr>
        <w:pStyle w:val="Heading1"/>
        <w:pBdr>
          <w:bottom w:val="single" w:color="2F5496" w:sz="6" w:space="4"/>
        </w:pBdr>
        <w:spacing w:after="160" w:before="360"/>
      </w:pPr>
      <w:r>
        <w:rPr>
          <w:b/>
          <w:bCs/>
          <w:color w:val="1F3864"/>
          <w:sz w:val="30"/>
          <w:szCs w:val="30"/>
        </w:rPr>
        <w:t xml:space="preserve">6. Fazit</w:t>
      </w:r>
    </w:p>
    <w:p>
      <w:pPr>
        <w:spacing w:after="200"/>
      </w:pPr>
      <w:r>
        <w:rPr>
          <w:sz w:val="22"/>
          <w:szCs w:val="22"/>
        </w:rPr>
        <w:t xml:space="preserve">Im Ergebnis ermöglicht PaperTrail Compare eine belastbare inhaltliche Freigabeprüfung bei Systemwechseln – unabhängig davon, wie stark sich die rein optische Darstellung zwischen altem und neuem System im Detail unterscheidet.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2026-07-22T07:16:39.519Z</dcterms:created>
  <dcterms:modified xsi:type="dcterms:W3CDTF">2026-07-22T07:16:39.519Z</dcterms:modified>
</cp:coreProperties>
</file>

<file path=docProps/custom.xml><?xml version="1.0" encoding="utf-8"?>
<Properties xmlns="http://schemas.openxmlformats.org/officeDocument/2006/custom-properties" xmlns:vt="http://schemas.openxmlformats.org/officeDocument/2006/docPropsVTypes"/>
</file>