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5886" w14:textId="649E45EB" w:rsidR="00DA27BC" w:rsidRPr="00DA27BC" w:rsidRDefault="00DA27BC" w:rsidP="00DA27BC">
      <w:pPr>
        <w:pStyle w:val="a4"/>
        <w:keepNext/>
        <w:rPr>
          <w:rFonts w:ascii="Arial" w:hAnsi="Arial" w:cs="Arial"/>
        </w:rPr>
      </w:pPr>
      <w:r w:rsidRPr="00DA27BC">
        <w:rPr>
          <w:rFonts w:ascii="Arial" w:hAnsi="Arial" w:cs="Arial"/>
        </w:rPr>
        <w:t xml:space="preserve">Table </w:t>
      </w:r>
      <w:r w:rsidRPr="00DA27BC">
        <w:rPr>
          <w:rFonts w:ascii="Arial" w:hAnsi="Arial" w:cs="Arial"/>
        </w:rPr>
        <w:fldChar w:fldCharType="begin"/>
      </w:r>
      <w:r w:rsidRPr="00DA27BC">
        <w:rPr>
          <w:rFonts w:ascii="Arial" w:hAnsi="Arial" w:cs="Arial"/>
        </w:rPr>
        <w:instrText xml:space="preserve"> SEQ Table \* ARABIC </w:instrText>
      </w:r>
      <w:r w:rsidRPr="00DA27BC">
        <w:rPr>
          <w:rFonts w:ascii="Arial" w:hAnsi="Arial" w:cs="Arial"/>
        </w:rPr>
        <w:fldChar w:fldCharType="separate"/>
      </w:r>
      <w:r w:rsidRPr="00DA27BC">
        <w:rPr>
          <w:rFonts w:ascii="Arial" w:hAnsi="Arial" w:cs="Arial"/>
          <w:noProof/>
        </w:rPr>
        <w:t>1</w:t>
      </w:r>
      <w:r w:rsidRPr="00DA27BC">
        <w:rPr>
          <w:rFonts w:ascii="Arial" w:hAnsi="Arial" w:cs="Arial"/>
        </w:rPr>
        <w:fldChar w:fldCharType="end"/>
      </w:r>
      <w:r w:rsidRPr="00DA27BC">
        <w:rPr>
          <w:rFonts w:ascii="Arial" w:hAnsi="Arial" w:cs="Arial"/>
        </w:rPr>
        <w:t xml:space="preserve"> CDR comparison, USA vs Canada, 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738"/>
        <w:gridCol w:w="2739"/>
      </w:tblGrid>
      <w:tr w:rsidR="00DA27BC" w:rsidRPr="00DA27BC" w14:paraId="52DB1064" w14:textId="77777777" w:rsidTr="00DA27BC">
        <w:tc>
          <w:tcPr>
            <w:tcW w:w="3539" w:type="dxa"/>
          </w:tcPr>
          <w:p w14:paraId="042475CB" w14:textId="158C1771" w:rsidR="00DA27BC" w:rsidRPr="00DA27BC" w:rsidRDefault="00DA27BC">
            <w:pPr>
              <w:rPr>
                <w:rFonts w:ascii="Arial" w:hAnsi="Arial" w:cs="Arial"/>
              </w:rPr>
            </w:pPr>
          </w:p>
        </w:tc>
        <w:tc>
          <w:tcPr>
            <w:tcW w:w="2738" w:type="dxa"/>
          </w:tcPr>
          <w:p w14:paraId="05C79AE8" w14:textId="6C4DB0B4" w:rsidR="00DA27BC" w:rsidRPr="00DA27BC" w:rsidRDefault="00DA27BC">
            <w:pPr>
              <w:rPr>
                <w:rFonts w:ascii="Arial" w:hAnsi="Arial" w:cs="Arial"/>
              </w:rPr>
            </w:pPr>
            <w:r w:rsidRPr="00DA27BC">
              <w:rPr>
                <w:rFonts w:ascii="Arial" w:hAnsi="Arial" w:cs="Arial"/>
              </w:rPr>
              <w:t>USA</w:t>
            </w:r>
          </w:p>
        </w:tc>
        <w:tc>
          <w:tcPr>
            <w:tcW w:w="2739" w:type="dxa"/>
          </w:tcPr>
          <w:p w14:paraId="558E658F" w14:textId="788C459F" w:rsidR="00DA27BC" w:rsidRPr="00DA27BC" w:rsidRDefault="00DA27BC">
            <w:pPr>
              <w:rPr>
                <w:rFonts w:ascii="Arial" w:hAnsi="Arial" w:cs="Arial"/>
              </w:rPr>
            </w:pPr>
            <w:r w:rsidRPr="00DA27BC">
              <w:rPr>
                <w:rFonts w:ascii="Arial" w:hAnsi="Arial" w:cs="Arial"/>
              </w:rPr>
              <w:t>Canada</w:t>
            </w:r>
          </w:p>
        </w:tc>
      </w:tr>
      <w:tr w:rsidR="00DA27BC" w:rsidRPr="00DA27BC" w14:paraId="267C9C7C" w14:textId="77777777" w:rsidTr="00DA27BC">
        <w:tc>
          <w:tcPr>
            <w:tcW w:w="3539" w:type="dxa"/>
          </w:tcPr>
          <w:p w14:paraId="01D335C5" w14:textId="3F5DC232" w:rsidR="00DA27BC" w:rsidRPr="00DA27BC" w:rsidRDefault="00DA27BC">
            <w:pPr>
              <w:rPr>
                <w:rFonts w:ascii="Arial" w:hAnsi="Arial" w:cs="Arial"/>
              </w:rPr>
            </w:pPr>
            <w:r w:rsidRPr="00DA27BC">
              <w:rPr>
                <w:rFonts w:ascii="Arial" w:hAnsi="Arial" w:cs="Arial"/>
              </w:rPr>
              <w:t>Crude Death Rate (CDR)</w:t>
            </w:r>
          </w:p>
        </w:tc>
        <w:tc>
          <w:tcPr>
            <w:tcW w:w="2738" w:type="dxa"/>
          </w:tcPr>
          <w:p w14:paraId="1EC27D7E" w14:textId="2246DE72" w:rsidR="00DA27BC" w:rsidRPr="00DA27BC" w:rsidRDefault="00DA27BC">
            <w:pPr>
              <w:rPr>
                <w:rFonts w:ascii="Arial" w:hAnsi="Arial" w:cs="Arial"/>
              </w:rPr>
            </w:pPr>
            <w:r w:rsidRPr="00DA27BC">
              <w:rPr>
                <w:rFonts w:ascii="Arial" w:hAnsi="Arial" w:cs="Arial"/>
              </w:rPr>
              <w:t>10.2</w:t>
            </w:r>
          </w:p>
        </w:tc>
        <w:tc>
          <w:tcPr>
            <w:tcW w:w="2739" w:type="dxa"/>
          </w:tcPr>
          <w:p w14:paraId="265503B9" w14:textId="1D598EEB" w:rsidR="00DA27BC" w:rsidRPr="00DA27BC" w:rsidRDefault="00DA27BC">
            <w:pPr>
              <w:rPr>
                <w:rFonts w:ascii="Arial" w:hAnsi="Arial" w:cs="Arial"/>
              </w:rPr>
            </w:pPr>
            <w:r w:rsidRPr="00DA27BC">
              <w:rPr>
                <w:rFonts w:ascii="Arial" w:hAnsi="Arial" w:cs="Arial"/>
              </w:rPr>
              <w:t>8.1</w:t>
            </w:r>
          </w:p>
        </w:tc>
      </w:tr>
      <w:tr w:rsidR="00DA27BC" w:rsidRPr="00DA27BC" w14:paraId="755BB2D8" w14:textId="77777777" w:rsidTr="00DA27BC">
        <w:tc>
          <w:tcPr>
            <w:tcW w:w="3539" w:type="dxa"/>
          </w:tcPr>
          <w:p w14:paraId="3910A651" w14:textId="59FDABE1" w:rsidR="00DA27BC" w:rsidRPr="00DA27BC" w:rsidRDefault="00DA27BC">
            <w:pPr>
              <w:rPr>
                <w:rFonts w:ascii="Arial" w:hAnsi="Arial" w:cs="Arial"/>
              </w:rPr>
            </w:pPr>
            <w:r w:rsidRPr="00DA27BC">
              <w:rPr>
                <w:rFonts w:ascii="Arial" w:hAnsi="Arial" w:cs="Arial"/>
              </w:rPr>
              <w:t xml:space="preserve">Indirect Standardized </w:t>
            </w:r>
            <w:r>
              <w:rPr>
                <w:rFonts w:ascii="Arial" w:hAnsi="Arial" w:cs="Arial" w:hint="eastAsia"/>
              </w:rPr>
              <w:t>CDR</w:t>
            </w:r>
          </w:p>
        </w:tc>
        <w:tc>
          <w:tcPr>
            <w:tcW w:w="2738" w:type="dxa"/>
          </w:tcPr>
          <w:p w14:paraId="4EC95109" w14:textId="738AA35C" w:rsidR="00DA27BC" w:rsidRPr="00DA27BC" w:rsidRDefault="00DA27BC">
            <w:pPr>
              <w:rPr>
                <w:rFonts w:ascii="Arial" w:hAnsi="Arial" w:cs="Arial"/>
              </w:rPr>
            </w:pPr>
            <w:r w:rsidRPr="00DA27BC">
              <w:rPr>
                <w:rFonts w:ascii="Arial" w:hAnsi="Arial" w:cs="Arial"/>
              </w:rPr>
              <w:t>8.7</w:t>
            </w:r>
          </w:p>
        </w:tc>
        <w:tc>
          <w:tcPr>
            <w:tcW w:w="2739" w:type="dxa"/>
          </w:tcPr>
          <w:p w14:paraId="1C36976B" w14:textId="67A3678B" w:rsidR="00DA27BC" w:rsidRPr="00DA27BC" w:rsidRDefault="00DA27BC">
            <w:pPr>
              <w:rPr>
                <w:rFonts w:ascii="Arial" w:hAnsi="Arial" w:cs="Arial"/>
              </w:rPr>
            </w:pPr>
            <w:r w:rsidRPr="00DA27BC">
              <w:rPr>
                <w:rFonts w:ascii="Arial" w:hAnsi="Arial" w:cs="Arial"/>
              </w:rPr>
              <w:t>9.8</w:t>
            </w:r>
          </w:p>
        </w:tc>
      </w:tr>
    </w:tbl>
    <w:p w14:paraId="24817B97" w14:textId="77777777" w:rsidR="00DA27BC" w:rsidRDefault="00DA27BC">
      <w:pPr>
        <w:rPr>
          <w:rFonts w:ascii="Arial" w:hAnsi="Arial" w:cs="Arial"/>
        </w:rPr>
      </w:pPr>
    </w:p>
    <w:p w14:paraId="4628F723" w14:textId="77777777" w:rsidR="000120C5" w:rsidRDefault="000120C5" w:rsidP="00DA27BC">
      <w:pPr>
        <w:rPr>
          <w:rFonts w:ascii="Arial" w:hAnsi="Arial" w:cs="Arial"/>
          <w:b/>
          <w:bCs/>
        </w:rPr>
      </w:pPr>
    </w:p>
    <w:p w14:paraId="794BAE36" w14:textId="132FED23" w:rsidR="00DA27BC" w:rsidRPr="00DA27BC" w:rsidRDefault="00DA27BC" w:rsidP="00DA27BC">
      <w:pPr>
        <w:rPr>
          <w:rFonts w:ascii="Arial" w:hAnsi="Arial" w:cs="Arial"/>
          <w:b/>
          <w:bCs/>
        </w:rPr>
      </w:pPr>
      <w:r w:rsidRPr="00DA27BC">
        <w:rPr>
          <w:rFonts w:ascii="Arial" w:hAnsi="Arial" w:cs="Arial"/>
          <w:b/>
          <w:bCs/>
        </w:rPr>
        <w:t>Crude Death Rate:</w:t>
      </w:r>
    </w:p>
    <w:p w14:paraId="7D52CECD" w14:textId="6D86993E" w:rsidR="00DA27BC" w:rsidRPr="00DA27BC" w:rsidRDefault="00DA27BC" w:rsidP="00DA27BC">
      <w:pPr>
        <w:rPr>
          <w:rFonts w:ascii="Arial" w:hAnsi="Arial" w:cs="Arial"/>
        </w:rPr>
      </w:pPr>
      <w:r w:rsidRPr="00DA27BC">
        <w:rPr>
          <w:rFonts w:ascii="Arial" w:hAnsi="Arial" w:cs="Arial"/>
        </w:rPr>
        <w:t>In 2020, the CDR for the USA was 10.2 deaths per 1,000 people, while in Canada, it was 8.1 deaths per 1,000 people.</w:t>
      </w:r>
      <w:r>
        <w:rPr>
          <w:rFonts w:ascii="Arial" w:hAnsi="Arial" w:cs="Arial"/>
        </w:rPr>
        <w:t xml:space="preserve"> </w:t>
      </w:r>
      <w:r w:rsidRPr="00DA27BC">
        <w:rPr>
          <w:rFonts w:ascii="Arial" w:hAnsi="Arial" w:cs="Arial"/>
        </w:rPr>
        <w:t>The CDR in the USA was higher than in Canada in 2020, indicating that a higher proportion of the population died in the USA compared to Canada that year.</w:t>
      </w:r>
    </w:p>
    <w:p w14:paraId="6CD477D2" w14:textId="77777777" w:rsidR="00DA27BC" w:rsidRPr="00DA27BC" w:rsidRDefault="00DA27BC" w:rsidP="00DA27BC">
      <w:pPr>
        <w:rPr>
          <w:rFonts w:ascii="Arial" w:hAnsi="Arial" w:cs="Arial"/>
        </w:rPr>
      </w:pPr>
    </w:p>
    <w:p w14:paraId="2E059C1D" w14:textId="77777777" w:rsidR="00DA27BC" w:rsidRPr="00DA27BC" w:rsidRDefault="00DA27BC" w:rsidP="00DA27BC">
      <w:pPr>
        <w:rPr>
          <w:rFonts w:ascii="Arial" w:hAnsi="Arial" w:cs="Arial"/>
          <w:b/>
          <w:bCs/>
        </w:rPr>
      </w:pPr>
      <w:r w:rsidRPr="00DA27BC">
        <w:rPr>
          <w:rFonts w:ascii="Arial" w:hAnsi="Arial" w:cs="Arial"/>
          <w:b/>
          <w:bCs/>
        </w:rPr>
        <w:t>Indirect Standardized CDR:</w:t>
      </w:r>
    </w:p>
    <w:p w14:paraId="6C395FA4" w14:textId="460C5612" w:rsidR="00DA27BC" w:rsidRDefault="00DA27BC" w:rsidP="00DA27BC">
      <w:pPr>
        <w:rPr>
          <w:rFonts w:ascii="Arial" w:hAnsi="Arial" w:cs="Arial"/>
        </w:rPr>
      </w:pPr>
      <w:r>
        <w:rPr>
          <w:rFonts w:ascii="Arial" w:hAnsi="Arial" w:cs="Arial" w:hint="eastAsia"/>
        </w:rPr>
        <w:t>After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adjusting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age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structure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populations,</w:t>
      </w:r>
      <w:r>
        <w:rPr>
          <w:rFonts w:ascii="Arial" w:hAnsi="Arial" w:cs="Arial"/>
        </w:rPr>
        <w:t xml:space="preserve"> </w:t>
      </w:r>
      <w:r w:rsidRPr="00DA27BC">
        <w:rPr>
          <w:rFonts w:ascii="Arial" w:hAnsi="Arial" w:cs="Arial"/>
        </w:rPr>
        <w:t>the Indirect Standardized CDR for the USA was 8.7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1,000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people</w:t>
      </w:r>
      <w:r w:rsidRPr="00DA27BC">
        <w:rPr>
          <w:rFonts w:ascii="Arial" w:hAnsi="Arial" w:cs="Arial"/>
        </w:rPr>
        <w:t>, while in Canada, it was 9.8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1,000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people</w:t>
      </w:r>
      <w:r w:rsidRPr="00DA27B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DA27BC">
        <w:rPr>
          <w:rFonts w:ascii="Arial" w:hAnsi="Arial" w:cs="Arial"/>
        </w:rPr>
        <w:t xml:space="preserve">This means that </w:t>
      </w:r>
      <w:r w:rsidR="00DB6C24">
        <w:rPr>
          <w:rFonts w:ascii="Arial" w:hAnsi="Arial" w:cs="Arial" w:hint="eastAsia"/>
        </w:rPr>
        <w:t>when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age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differences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are</w:t>
      </w:r>
      <w:r w:rsidR="00DB6C24">
        <w:rPr>
          <w:rFonts w:ascii="Arial" w:hAnsi="Arial" w:cs="Arial"/>
        </w:rPr>
        <w:t xml:space="preserve"> considered</w:t>
      </w:r>
      <w:r w:rsidR="00DB6C24">
        <w:rPr>
          <w:rFonts w:ascii="Arial" w:hAnsi="Arial" w:cs="Arial" w:hint="eastAsia"/>
        </w:rPr>
        <w:t>,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the</w:t>
      </w:r>
      <w:r w:rsidR="00DB6C24">
        <w:rPr>
          <w:rFonts w:ascii="Arial" w:hAnsi="Arial" w:cs="Arial"/>
        </w:rPr>
        <w:t xml:space="preserve"> comparison </w:t>
      </w:r>
      <w:r w:rsidR="00DB6C24">
        <w:rPr>
          <w:rFonts w:ascii="Arial" w:hAnsi="Arial" w:cs="Arial" w:hint="eastAsia"/>
        </w:rPr>
        <w:t>of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death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rates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between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the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USA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and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Canada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shows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a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different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pattern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than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what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was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initially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observed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with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the</w:t>
      </w:r>
      <w:r w:rsidR="00DB6C24">
        <w:rPr>
          <w:rFonts w:ascii="Arial" w:hAnsi="Arial" w:cs="Arial"/>
        </w:rPr>
        <w:t xml:space="preserve"> </w:t>
      </w:r>
      <w:r w:rsidR="00DB6C24">
        <w:rPr>
          <w:rFonts w:ascii="Arial" w:hAnsi="Arial" w:cs="Arial" w:hint="eastAsia"/>
        </w:rPr>
        <w:t>CDR.</w:t>
      </w:r>
    </w:p>
    <w:p w14:paraId="513A00DB" w14:textId="3F640626" w:rsidR="00B77917" w:rsidRPr="00F1371B" w:rsidRDefault="00F1371B" w:rsidP="00F1371B">
      <w:pPr>
        <w:rPr>
          <w:rFonts w:ascii="Arial" w:hAnsi="Arial" w:cs="Arial" w:hint="eastAsia"/>
        </w:rPr>
      </w:pPr>
      <w:r w:rsidRPr="00F1371B">
        <w:rPr>
          <w:rFonts w:ascii="Arial" w:hAnsi="Arial" w:cs="Arial"/>
        </w:rPr>
        <w:t xml:space="preserve">Since a higher proportion of the elderly population is associated with an increase in the </w:t>
      </w:r>
      <w:r w:rsidR="000F2888">
        <w:rPr>
          <w:rFonts w:ascii="Arial" w:hAnsi="Arial" w:cs="Arial" w:hint="eastAsia"/>
        </w:rPr>
        <w:t>crude</w:t>
      </w:r>
      <w:r w:rsidR="000F2888">
        <w:rPr>
          <w:rFonts w:ascii="Arial" w:hAnsi="Arial" w:cs="Arial"/>
        </w:rPr>
        <w:t xml:space="preserve"> </w:t>
      </w:r>
      <w:r w:rsidR="000F2888">
        <w:rPr>
          <w:rFonts w:ascii="Arial" w:hAnsi="Arial" w:cs="Arial" w:hint="eastAsia"/>
        </w:rPr>
        <w:t>death</w:t>
      </w:r>
      <w:r w:rsidRPr="00F1371B">
        <w:rPr>
          <w:rFonts w:ascii="Arial" w:hAnsi="Arial" w:cs="Arial"/>
        </w:rPr>
        <w:t xml:space="preserve"> rate, it can be speculated that the </w:t>
      </w:r>
      <w:r w:rsidR="00A52EA8">
        <w:rPr>
          <w:rFonts w:ascii="Arial" w:hAnsi="Arial" w:cs="Arial" w:hint="eastAsia"/>
        </w:rPr>
        <w:t>USA</w:t>
      </w:r>
      <w:r w:rsidR="00A52EA8">
        <w:rPr>
          <w:rFonts w:ascii="Arial" w:hAnsi="Arial" w:cs="Arial"/>
        </w:rPr>
        <w:t xml:space="preserve"> </w:t>
      </w:r>
      <w:r w:rsidRPr="00F1371B">
        <w:rPr>
          <w:rFonts w:ascii="Arial" w:hAnsi="Arial" w:cs="Arial"/>
        </w:rPr>
        <w:t>has a higher proportion of elderly population than Canada.</w:t>
      </w:r>
    </w:p>
    <w:sectPr w:rsidR="00B77917" w:rsidRPr="00F13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BC"/>
    <w:rsid w:val="000120C5"/>
    <w:rsid w:val="000F2888"/>
    <w:rsid w:val="00A52EA8"/>
    <w:rsid w:val="00B55793"/>
    <w:rsid w:val="00B77917"/>
    <w:rsid w:val="00DA27BC"/>
    <w:rsid w:val="00DB6C24"/>
    <w:rsid w:val="00F1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19F8"/>
  <w15:chartTrackingRefBased/>
  <w15:docId w15:val="{CD4DC59E-5F41-433A-A503-EEF59565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A2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27BC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DA27BC"/>
  </w:style>
  <w:style w:type="table" w:styleId="a3">
    <w:name w:val="Table Grid"/>
    <w:basedOn w:val="a1"/>
    <w:uiPriority w:val="39"/>
    <w:rsid w:val="00DA2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A27B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259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2217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176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7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7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5</cp:revision>
  <dcterms:created xsi:type="dcterms:W3CDTF">2023-07-31T12:48:00Z</dcterms:created>
  <dcterms:modified xsi:type="dcterms:W3CDTF">2023-07-31T13:21:00Z</dcterms:modified>
</cp:coreProperties>
</file>