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PeakCL</w:t>
      </w:r>
    </w:p>
    <w:p>
      <w:pPr>
        <w:spacing w:after="240"/>
      </w:pPr>
      <w:r>
        <w:rPr>
          <w:color w:val="2E75B6"/>
          <w:sz w:val="24"/>
          <w:szCs w:val="24"/>
        </w:rPr>
        <w:t xml:space="preserve">Paiement échelonné — modèle d’échéancier &amp; clauses de devis</w:t>
      </w:r>
    </w:p>
    <w:p>
      <w:pPr>
        <w:pStyle w:val="Heading1"/>
      </w:pPr>
      <w:r>
        <w:t xml:space="preserve">L’essentiel en deux phrases</w:t>
      </w:r>
    </w:p>
    <w:p>
      <w:pPr>
        <w:spacing w:after="120"/>
      </w:pPr>
      <w:r>
        <w:t xml:space="preserve">Tu proposes à ton client de régler en plusieurs fois, et tu gères toi-même les versements (sur Shine ou ta banque). Tu économises les commissions d’un organisme type Alma ou Hero, mais en contrepartie tu encaisses au fil des échéances et tu portes le risque d’impayé — que tu réduis fortement avec un acompte et une livraison conditionnée au paiement.</w:t>
      </w:r>
    </w:p>
    <w:p>
      <w:pPr>
        <w:pStyle w:val="Heading1"/>
      </w:pPr>
      <w:r>
        <w:t xml:space="preserve">1. Site web (1 500 – 2 000 €)</w:t>
      </w:r>
    </w:p>
    <w:p>
      <w:pPr>
        <w:pStyle w:val="Heading2"/>
      </w:pPr>
      <w:r>
        <w:t xml:space="preserve">Option recommandée — acompte 40 % + solde en 2 fois</w:t>
      </w:r>
    </w:p>
    <w:p>
      <w:pPr>
        <w:spacing w:after="120"/>
      </w:pPr>
      <w:r>
        <w:t xml:space="preserve">Le plus sain pour une prestation : un acompte qui sécurise ton démarrage, puis deux mensualités. Exemple chiffré sur un devis à 1 800 €.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2200"/>
        <w:gridCol w:w="2200"/>
      </w:tblGrid>
      <w:tr>
        <w:tc>
          <w:tcPr>
            <w:tcW w:type="dxa" w:w="1400"/>
            <w:tcBorders>
              <w:top w:val="single" w:color="C9D6E5" w:sz="1"/>
              <w:left w:val="single" w:color="C9D6E5" w:sz="1"/>
              <w:bottom w:val="single" w:color="C9D6E5" w:sz="1"/>
              <w:right w:val="single" w:color="C9D6E5" w:sz="1"/>
            </w:tcBorders>
            <w:shd w:fill="1F3A5F" w:val="clear"/>
            <w:tcMar>
              <w:top w:type="dxa" w:w="80"/>
              <w:left w:type="dxa" w:w="120"/>
              <w:bottom w:type="dxa" w:w="80"/>
              <w:right w:type="dxa" w:w="120"/>
            </w:tcMar>
          </w:tcPr>
          <w:p>
            <w:r>
              <w:rPr>
                <w:b/>
                <w:bCs/>
                <w:color w:val="FFFFFF"/>
                <w:sz w:val="20"/>
                <w:szCs w:val="20"/>
              </w:rPr>
              <w:t xml:space="preserve">Échéance</w:t>
            </w:r>
          </w:p>
        </w:tc>
        <w:tc>
          <w:tcPr>
            <w:tcW w:type="dxa" w:w="3560"/>
            <w:tcBorders>
              <w:top w:val="single" w:color="C9D6E5" w:sz="1"/>
              <w:left w:val="single" w:color="C9D6E5" w:sz="1"/>
              <w:bottom w:val="single" w:color="C9D6E5" w:sz="1"/>
              <w:right w:val="single" w:color="C9D6E5" w:sz="1"/>
            </w:tcBorders>
            <w:shd w:fill="1F3A5F" w:val="clear"/>
            <w:tcMar>
              <w:top w:type="dxa" w:w="80"/>
              <w:left w:type="dxa" w:w="120"/>
              <w:bottom w:type="dxa" w:w="80"/>
              <w:right w:type="dxa" w:w="120"/>
            </w:tcMar>
          </w:tcPr>
          <w:p>
            <w:r>
              <w:rPr>
                <w:b/>
                <w:bCs/>
                <w:color w:val="FFFFFF"/>
                <w:sz w:val="20"/>
                <w:szCs w:val="20"/>
              </w:rPr>
              <w:t xml:space="preserve">Déclencheur</w:t>
            </w:r>
          </w:p>
        </w:tc>
        <w:tc>
          <w:tcPr>
            <w:tcW w:type="dxa" w:w="2200"/>
            <w:tcBorders>
              <w:top w:val="single" w:color="C9D6E5" w:sz="1"/>
              <w:left w:val="single" w:color="C9D6E5" w:sz="1"/>
              <w:bottom w:val="single" w:color="C9D6E5" w:sz="1"/>
              <w:right w:val="single" w:color="C9D6E5" w:sz="1"/>
            </w:tcBorders>
            <w:shd w:fill="1F3A5F" w:val="clear"/>
            <w:tcMar>
              <w:top w:type="dxa" w:w="80"/>
              <w:left w:type="dxa" w:w="120"/>
              <w:bottom w:type="dxa" w:w="80"/>
              <w:right w:type="dxa" w:w="120"/>
            </w:tcMar>
          </w:tcPr>
          <w:p>
            <w:r>
              <w:rPr>
                <w:b/>
                <w:bCs/>
                <w:color w:val="FFFFFF"/>
                <w:sz w:val="20"/>
                <w:szCs w:val="20"/>
              </w:rPr>
              <w:t xml:space="preserve">% du total</w:t>
            </w:r>
          </w:p>
        </w:tc>
        <w:tc>
          <w:tcPr>
            <w:tcW w:type="dxa" w:w="2200"/>
            <w:tcBorders>
              <w:top w:val="single" w:color="C9D6E5" w:sz="1"/>
              <w:left w:val="single" w:color="C9D6E5" w:sz="1"/>
              <w:bottom w:val="single" w:color="C9D6E5" w:sz="1"/>
              <w:right w:val="single" w:color="C9D6E5" w:sz="1"/>
            </w:tcBorders>
            <w:shd w:fill="1F3A5F" w:val="clear"/>
            <w:tcMar>
              <w:top w:type="dxa" w:w="80"/>
              <w:left w:type="dxa" w:w="120"/>
              <w:bottom w:type="dxa" w:w="80"/>
              <w:right w:type="dxa" w:w="120"/>
            </w:tcMar>
          </w:tcPr>
          <w:p>
            <w:r>
              <w:rPr>
                <w:b/>
                <w:bCs/>
                <w:color w:val="FFFFFF"/>
                <w:sz w:val="20"/>
                <w:szCs w:val="20"/>
              </w:rPr>
              <w:t xml:space="preserve">Exemple 1 800 €</w:t>
            </w:r>
          </w:p>
        </w:tc>
      </w:tr>
      <w:tr>
        <w:tc>
          <w:tcPr>
            <w:tcW w:type="dxa" w:w="1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35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r>
              <w:rPr>
                <w:b w:val="false"/>
                <w:bCs w:val="false"/>
                <w:color w:val="000000"/>
                <w:sz w:val="20"/>
                <w:szCs w:val="20"/>
              </w:rPr>
              <w:t xml:space="preserve">À la signature du devis (acompte)</w:t>
            </w:r>
          </w:p>
        </w:tc>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40 %</w:t>
            </w:r>
          </w:p>
        </w:tc>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720 €</w:t>
            </w:r>
          </w:p>
        </w:tc>
      </w:tr>
      <w:tr>
        <w:tc>
          <w:tcPr>
            <w:tcW w:type="dxa" w:w="1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35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r>
              <w:rPr>
                <w:b w:val="false"/>
                <w:bCs w:val="false"/>
                <w:color w:val="000000"/>
                <w:sz w:val="20"/>
                <w:szCs w:val="20"/>
              </w:rPr>
              <w:t xml:space="preserve">À la mise en ligne / livraison</w:t>
            </w:r>
          </w:p>
        </w:tc>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30 %</w:t>
            </w:r>
          </w:p>
        </w:tc>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540 €</w:t>
            </w:r>
          </w:p>
        </w:tc>
      </w:tr>
      <w:tr>
        <w:tc>
          <w:tcPr>
            <w:tcW w:type="dxa" w:w="1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35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r>
              <w:rPr>
                <w:b w:val="false"/>
                <w:bCs w:val="false"/>
                <w:color w:val="000000"/>
                <w:sz w:val="20"/>
                <w:szCs w:val="20"/>
              </w:rPr>
              <w:t xml:space="preserve">30 jours après la livraison</w:t>
            </w:r>
          </w:p>
        </w:tc>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30 %</w:t>
            </w:r>
          </w:p>
        </w:tc>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540 €</w:t>
            </w:r>
          </w:p>
        </w:tc>
      </w:tr>
    </w:tbl>
    <w:p>
      <w:pPr>
        <w:spacing w:after="120"/>
      </w:pPr>
    </w:p>
    <w:p>
      <w:pPr>
        <w:pStyle w:val="Heading2"/>
      </w:pPr>
      <w:r>
        <w:t xml:space="preserve">Option souple — acompte 30 % + solde en 3 fois</w:t>
      </w:r>
    </w:p>
    <w:p>
      <w:pPr>
        <w:spacing w:after="120"/>
      </w:pPr>
      <w:r>
        <w:t xml:space="preserve">Si le client a besoin d’étaler davantage. Exemple sur 1 800 €.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2200"/>
        <w:gridCol w:w="2200"/>
      </w:tblGrid>
      <w:tr>
        <w:tc>
          <w:tcPr>
            <w:tcW w:type="dxa" w:w="1400"/>
            <w:tcBorders>
              <w:top w:val="single" w:color="C9D6E5" w:sz="1"/>
              <w:left w:val="single" w:color="C9D6E5" w:sz="1"/>
              <w:bottom w:val="single" w:color="C9D6E5" w:sz="1"/>
              <w:right w:val="single" w:color="C9D6E5" w:sz="1"/>
            </w:tcBorders>
            <w:shd w:fill="1F3A5F" w:val="clear"/>
            <w:tcMar>
              <w:top w:type="dxa" w:w="80"/>
              <w:left w:type="dxa" w:w="120"/>
              <w:bottom w:type="dxa" w:w="80"/>
              <w:right w:type="dxa" w:w="120"/>
            </w:tcMar>
          </w:tcPr>
          <w:p>
            <w:r>
              <w:rPr>
                <w:b/>
                <w:bCs/>
                <w:color w:val="FFFFFF"/>
                <w:sz w:val="20"/>
                <w:szCs w:val="20"/>
              </w:rPr>
              <w:t xml:space="preserve">Échéance</w:t>
            </w:r>
          </w:p>
        </w:tc>
        <w:tc>
          <w:tcPr>
            <w:tcW w:type="dxa" w:w="3560"/>
            <w:tcBorders>
              <w:top w:val="single" w:color="C9D6E5" w:sz="1"/>
              <w:left w:val="single" w:color="C9D6E5" w:sz="1"/>
              <w:bottom w:val="single" w:color="C9D6E5" w:sz="1"/>
              <w:right w:val="single" w:color="C9D6E5" w:sz="1"/>
            </w:tcBorders>
            <w:shd w:fill="1F3A5F" w:val="clear"/>
            <w:tcMar>
              <w:top w:type="dxa" w:w="80"/>
              <w:left w:type="dxa" w:w="120"/>
              <w:bottom w:type="dxa" w:w="80"/>
              <w:right w:type="dxa" w:w="120"/>
            </w:tcMar>
          </w:tcPr>
          <w:p>
            <w:r>
              <w:rPr>
                <w:b/>
                <w:bCs/>
                <w:color w:val="FFFFFF"/>
                <w:sz w:val="20"/>
                <w:szCs w:val="20"/>
              </w:rPr>
              <w:t xml:space="preserve">Déclencheur</w:t>
            </w:r>
          </w:p>
        </w:tc>
        <w:tc>
          <w:tcPr>
            <w:tcW w:type="dxa" w:w="2200"/>
            <w:tcBorders>
              <w:top w:val="single" w:color="C9D6E5" w:sz="1"/>
              <w:left w:val="single" w:color="C9D6E5" w:sz="1"/>
              <w:bottom w:val="single" w:color="C9D6E5" w:sz="1"/>
              <w:right w:val="single" w:color="C9D6E5" w:sz="1"/>
            </w:tcBorders>
            <w:shd w:fill="1F3A5F" w:val="clear"/>
            <w:tcMar>
              <w:top w:type="dxa" w:w="80"/>
              <w:left w:type="dxa" w:w="120"/>
              <w:bottom w:type="dxa" w:w="80"/>
              <w:right w:type="dxa" w:w="120"/>
            </w:tcMar>
          </w:tcPr>
          <w:p>
            <w:r>
              <w:rPr>
                <w:b/>
                <w:bCs/>
                <w:color w:val="FFFFFF"/>
                <w:sz w:val="20"/>
                <w:szCs w:val="20"/>
              </w:rPr>
              <w:t xml:space="preserve">% du total</w:t>
            </w:r>
          </w:p>
        </w:tc>
        <w:tc>
          <w:tcPr>
            <w:tcW w:type="dxa" w:w="2200"/>
            <w:tcBorders>
              <w:top w:val="single" w:color="C9D6E5" w:sz="1"/>
              <w:left w:val="single" w:color="C9D6E5" w:sz="1"/>
              <w:bottom w:val="single" w:color="C9D6E5" w:sz="1"/>
              <w:right w:val="single" w:color="C9D6E5" w:sz="1"/>
            </w:tcBorders>
            <w:shd w:fill="1F3A5F" w:val="clear"/>
            <w:tcMar>
              <w:top w:type="dxa" w:w="80"/>
              <w:left w:type="dxa" w:w="120"/>
              <w:bottom w:type="dxa" w:w="80"/>
              <w:right w:type="dxa" w:w="120"/>
            </w:tcMar>
          </w:tcPr>
          <w:p>
            <w:r>
              <w:rPr>
                <w:b/>
                <w:bCs/>
                <w:color w:val="FFFFFF"/>
                <w:sz w:val="20"/>
                <w:szCs w:val="20"/>
              </w:rPr>
              <w:t xml:space="preserve">Exemple 1 800 €</w:t>
            </w:r>
          </w:p>
        </w:tc>
      </w:tr>
      <w:tr>
        <w:tc>
          <w:tcPr>
            <w:tcW w:type="dxa" w:w="1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35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r>
              <w:rPr>
                <w:b w:val="false"/>
                <w:bCs w:val="false"/>
                <w:color w:val="000000"/>
                <w:sz w:val="20"/>
                <w:szCs w:val="20"/>
              </w:rPr>
              <w:t xml:space="preserve">À la signature du devis (acompte)</w:t>
            </w:r>
          </w:p>
        </w:tc>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30 %</w:t>
            </w:r>
          </w:p>
        </w:tc>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540 €</w:t>
            </w:r>
          </w:p>
        </w:tc>
      </w:tr>
      <w:tr>
        <w:tc>
          <w:tcPr>
            <w:tcW w:type="dxa" w:w="1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35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r>
              <w:rPr>
                <w:b w:val="false"/>
                <w:bCs w:val="false"/>
                <w:color w:val="000000"/>
                <w:sz w:val="20"/>
                <w:szCs w:val="20"/>
              </w:rPr>
              <w:t xml:space="preserve">Au lancement de la production</w:t>
            </w:r>
          </w:p>
        </w:tc>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25 %</w:t>
            </w:r>
          </w:p>
        </w:tc>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450 €</w:t>
            </w:r>
          </w:p>
        </w:tc>
      </w:tr>
      <w:tr>
        <w:tc>
          <w:tcPr>
            <w:tcW w:type="dxa" w:w="1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35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r>
              <w:rPr>
                <w:b w:val="false"/>
                <w:bCs w:val="false"/>
                <w:color w:val="000000"/>
                <w:sz w:val="20"/>
                <w:szCs w:val="20"/>
              </w:rPr>
              <w:t xml:space="preserve">À la livraison</w:t>
            </w:r>
          </w:p>
        </w:tc>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25 %</w:t>
            </w:r>
          </w:p>
        </w:tc>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450 €</w:t>
            </w:r>
          </w:p>
        </w:tc>
      </w:tr>
      <w:tr>
        <w:tc>
          <w:tcPr>
            <w:tcW w:type="dxa" w:w="1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35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r>
              <w:rPr>
                <w:b w:val="false"/>
                <w:bCs w:val="false"/>
                <w:color w:val="000000"/>
                <w:sz w:val="20"/>
                <w:szCs w:val="20"/>
              </w:rPr>
              <w:t xml:space="preserve">30 jours après la livraison</w:t>
            </w:r>
          </w:p>
        </w:tc>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20 %</w:t>
            </w:r>
          </w:p>
        </w:tc>
        <w:tc>
          <w:tcPr>
            <w:tcW w:type="dxa" w:w="22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360 €</w:t>
            </w:r>
          </w:p>
        </w:tc>
      </w:tr>
    </w:tbl>
    <w:p>
      <w:pPr>
        <w:spacing w:after="60"/>
      </w:pPr>
    </w:p>
    <w:p>
      <w:pPr>
        <w:spacing w:after="120"/>
      </w:pPr>
      <w:r>
        <w:rPr>
          <w:i/>
          <w:iCs/>
        </w:rPr>
        <w:t xml:space="preserve">Règle d’or : tu remets les livrables finaux (mise en ligne, fichiers sources du logo, accès) seulement une fois le solde réglé. C’est ton vrai levier en cas de retard.</w:t>
      </w:r>
    </w:p>
    <w:p>
      <w:pPr>
        <w:pStyle w:val="Heading1"/>
      </w:pPr>
      <w:r>
        <w:t xml:space="preserve">2. Prestations Community Management</w:t>
      </w:r>
    </w:p>
    <w:p>
      <w:pPr>
        <w:spacing w:after="120"/>
      </w:pPr>
      <w:r>
        <w:t xml:space="preserve">Ce n’est pas un « paiement en plusieurs fois » : c’est un abonnement mensuel. Tu factures chaque mois, en début de période, le montant de la formule choisie (Essentiel, Standard, Dynamique…).</w:t>
      </w:r>
    </w:p>
    <w:p>
      <w:pPr>
        <w:pStyle w:val="ListParagraph"/>
        <w:numPr>
          <w:ilvl w:val="0"/>
          <w:numId w:val="2"/>
        </w:numPr>
        <w:spacing w:after="60"/>
      </w:pPr>
      <w:r>
        <w:t xml:space="preserve">Facture émise le 1er du mois, paiement à réception.</w:t>
      </w:r>
    </w:p>
    <w:p>
      <w:pPr>
        <w:pStyle w:val="ListParagraph"/>
        <w:numPr>
          <w:ilvl w:val="0"/>
          <w:numId w:val="2"/>
        </w:numPr>
        <w:spacing w:after="60"/>
      </w:pPr>
      <w:r>
        <w:t xml:space="preserve">Le plus simple : le client met en place un virement permanent mensuel sur ton IBAN.</w:t>
      </w:r>
    </w:p>
    <w:p>
      <w:pPr>
        <w:pStyle w:val="ListParagraph"/>
        <w:numPr>
          <w:ilvl w:val="0"/>
          <w:numId w:val="2"/>
        </w:numPr>
        <w:spacing w:after="60"/>
      </w:pPr>
      <w:r>
        <w:t xml:space="preserve">Sans engagement long imposé, mais avec un préavis (ex. 30 jours) pour arrêter.</w:t>
      </w:r>
    </w:p>
    <w:p>
      <w:pPr>
        <w:pStyle w:val="Heading1"/>
      </w:pPr>
      <w:r>
        <w:t xml:space="preserve">3. Clause à coller sur tes devis</w:t>
      </w:r>
    </w:p>
    <w:p>
      <w:pPr>
        <w:spacing w:after="120"/>
      </w:pPr>
      <w:r>
        <w:t xml:space="preserve">Texte prêt à reprendre dans tes devis et conditions. Adapte les pourcentages à l’option choisie.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5" w:sz="1"/>
              <w:left w:val="single" w:color="C9D6E5" w:sz="1"/>
              <w:bottom w:val="single" w:color="C9D6E5" w:sz="1"/>
              <w:right w:val="single" w:color="C9D6E5" w:sz="1"/>
            </w:tcBorders>
            <w:shd w:fill="EAF1F8" w:val="clear"/>
            <w:tcMar>
              <w:top w:type="dxa" w:w="160"/>
              <w:left w:type="dxa" w:w="200"/>
              <w:bottom w:type="dxa" w:w="160"/>
              <w:right w:type="dxa" w:w="200"/>
            </w:tcMar>
          </w:tcPr>
          <w:p>
            <w:pPr>
              <w:spacing w:after="100"/>
            </w:pPr>
            <w:r>
              <w:rPr>
                <w:b/>
                <w:bCs/>
                <w:color w:val="1F3A5F"/>
              </w:rPr>
              <w:t xml:space="preserve">Modalités de paiement</w:t>
            </w:r>
          </w:p>
          <w:p>
            <w:pPr>
              <w:spacing w:after="80"/>
            </w:pPr>
            <w:r>
              <w:t xml:space="preserve">Le règlement s’effectue selon l’échéancier suivant : 40 % à la signature du présent devis (acompte), 30 % à la livraison, 30 % à 30 jours. L’acompte valide la commande et déclenche le démarrage de la prestation.</w:t>
            </w:r>
          </w:p>
          <w:p>
            <w:pPr>
              <w:spacing w:after="80"/>
            </w:pPr>
            <w:r>
              <w:t xml:space="preserve">Les livrables finaux (mise en ligne du site, fichiers sources, transfert des accès et droits) sont remis après encaissement du solde total.</w:t>
            </w:r>
          </w:p>
          <w:p>
            <w:pPr>
              <w:spacing w:after="80"/>
            </w:pPr>
            <w:r>
              <w:t xml:space="preserve">Paiement par virement bancaire (IBAN communiqué sur la facture) ou par lien de paiement. Tout retard de paiement pourra entraîner la suspension de la prestation et, conformément à la loi, des pénalités de retard ainsi qu’une indemnité forfaitaire de 40 € pour frais de recouvrement.</w:t>
            </w:r>
          </w:p>
          <w:p>
            <w:r>
              <w:rPr>
                <w:i/>
                <w:iCs/>
              </w:rPr>
              <w:t xml:space="preserve">Acompte non remboursable en cas d’annulation du fait du client après démarrage des travaux.</w:t>
            </w:r>
          </w:p>
        </w:tc>
      </w:tr>
    </w:tbl>
    <w:p>
      <w:pPr>
        <w:pStyle w:val="Heading1"/>
      </w:pPr>
      <w:r>
        <w:t xml:space="preserve">4. Mise en place sur Shine</w:t>
      </w:r>
    </w:p>
    <w:p>
      <w:pPr>
        <w:pStyle w:val="Heading2"/>
      </w:pPr>
      <w:r>
        <w:t xml:space="preserve">A. Échéancier de facturation (sites web)</w:t>
      </w:r>
    </w:p>
    <w:p>
      <w:pPr>
        <w:pStyle w:val="ListParagraph"/>
        <w:numPr>
          <w:ilvl w:val="0"/>
          <w:numId w:val="2"/>
        </w:numPr>
        <w:spacing w:after="60"/>
      </w:pPr>
      <w:r>
        <w:t xml:space="preserve">Crée une facture d’acompte (40 %) dès la signature — le client paie pour lancer le projet.</w:t>
      </w:r>
    </w:p>
    <w:p>
      <w:pPr>
        <w:pStyle w:val="ListParagraph"/>
        <w:numPr>
          <w:ilvl w:val="0"/>
          <w:numId w:val="2"/>
        </w:numPr>
        <w:spacing w:after="60"/>
      </w:pPr>
      <w:r>
        <w:t xml:space="preserve">À la livraison, émets la 2e facture ; puis la 3e à 30 jours.</w:t>
      </w:r>
    </w:p>
    <w:p>
      <w:pPr>
        <w:pStyle w:val="ListParagraph"/>
        <w:numPr>
          <w:ilvl w:val="0"/>
          <w:numId w:val="2"/>
        </w:numPr>
        <w:spacing w:after="60"/>
      </w:pPr>
      <w:r>
        <w:t xml:space="preserve">Chaque facture Shine peut s’accompagner d’un lien de paiement ou de ton IBAN.</w:t>
      </w:r>
    </w:p>
    <w:p>
      <w:pPr>
        <w:pStyle w:val="ListParagraph"/>
        <w:numPr>
          <w:ilvl w:val="0"/>
          <w:numId w:val="2"/>
        </w:numPr>
        <w:spacing w:after="60"/>
      </w:pPr>
      <w:r>
        <w:t xml:space="preserve">Tu suis qui a payé directement dans l’appli, et tu relances en un clic.</w:t>
      </w:r>
    </w:p>
    <w:p>
      <w:pPr>
        <w:pStyle w:val="Heading2"/>
      </w:pPr>
      <w:r>
        <w:t xml:space="preserve">B. Virement permanent (CM mensuel)</w:t>
      </w:r>
    </w:p>
    <w:p>
      <w:pPr>
        <w:pStyle w:val="ListParagraph"/>
        <w:numPr>
          <w:ilvl w:val="0"/>
          <w:numId w:val="2"/>
        </w:numPr>
        <w:spacing w:after="60"/>
      </w:pPr>
      <w:r>
        <w:t xml:space="preserve">Communique ton IBAN Shine au client.</w:t>
      </w:r>
    </w:p>
    <w:p>
      <w:pPr>
        <w:pStyle w:val="ListParagraph"/>
        <w:numPr>
          <w:ilvl w:val="0"/>
          <w:numId w:val="2"/>
        </w:numPr>
        <w:spacing w:after="60"/>
      </w:pPr>
      <w:r>
        <w:t xml:space="preserve">Il programme un virement permanent mensuel du montant de la formule.</w:t>
      </w:r>
    </w:p>
    <w:p>
      <w:pPr>
        <w:pStyle w:val="ListParagraph"/>
        <w:numPr>
          <w:ilvl w:val="0"/>
          <w:numId w:val="2"/>
        </w:numPr>
        <w:spacing w:after="60"/>
      </w:pPr>
      <w:r>
        <w:t xml:space="preserve">Tu n’as plus qu’à émettre la facture chaque mois pour ta compta.</w:t>
      </w:r>
    </w:p>
    <w:p>
      <w:pPr>
        <w:pStyle w:val="Heading1"/>
      </w:pPr>
      <w:r>
        <w:t xml:space="preserve">5. À garder en tête</w:t>
      </w:r>
    </w:p>
    <w:p>
      <w:pPr>
        <w:spacing w:after="120"/>
      </w:pPr>
      <w:r>
        <w:t xml:space="preserve">Ce que tu gagnes : zéro commission, contrôle total, simplicité, adapté à des montants à 4 chiffres.</w:t>
      </w:r>
    </w:p>
    <w:p>
      <w:pPr>
        <w:spacing w:after="120"/>
      </w:pPr>
      <w:r>
        <w:t xml:space="preserve">Ce que tu portes : la trésorerie est étalée (tu n’as pas tout tout de suite) et le risque d’impayé est sur toi — d’où l’acompte et la livraison conditionnée.</w:t>
      </w:r>
    </w:p>
    <w:p>
      <w:pPr>
        <w:spacing w:after="120"/>
      </w:pPr>
      <w:r>
        <w:t xml:space="preserve">Quand rebasculer vers Hero / un financeur : quand tu auras de l’historique (6–12 mois), du volume, des montants plus élevés ou des clients que tu ne connais pas et où un impayé ferait vraiment mal. La commission (~7 % en version étalée) se justifie alors par le risque qu’ils prennent à ta place.</w:t>
      </w:r>
    </w:p>
    <w:p>
      <w:pPr>
        <w:spacing w:before="240"/>
      </w:pPr>
      <w:r>
        <w:rPr>
          <w:i/>
          <w:iCs/>
          <w:color w:val="888888"/>
          <w:sz w:val="18"/>
          <w:szCs w:val="18"/>
        </w:rPr>
        <w:t xml:space="preserve">Document indicatif — ne constitue pas un conseil juridique. Fais relire tes CGV si besoin.</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2026-06-19T12:59:59.075Z</dcterms:created>
  <dcterms:modified xsi:type="dcterms:W3CDTF">2026-06-19T12:59:59.075Z</dcterms:modified>
</cp:coreProperties>
</file>

<file path=docProps/custom.xml><?xml version="1.0" encoding="utf-8"?>
<Properties xmlns="http://schemas.openxmlformats.org/officeDocument/2006/custom-properties" xmlns:vt="http://schemas.openxmlformats.org/officeDocument/2006/docPropsVTypes"/>
</file>