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  <w:rPr>
          <w:rFonts w:hint="default" w:ascii="Arial" w:hAnsi="Arial" w:eastAsia="黑体" w:cs="Arial"/>
          <w:sz w:val="32"/>
        </w:rPr>
      </w:pPr>
      <w:r>
        <w:rPr>
          <w:rFonts w:hint="default" w:ascii="Arial" w:hAnsi="Arial" w:eastAsia="黑体" w:cs="Arial"/>
          <w:sz w:val="32"/>
          <w:lang w:eastAsia="zh-CN"/>
        </w:rPr>
        <w:t>第十一届华中地区数学建模邀请赛</w:t>
      </w:r>
      <w:r>
        <w:rPr>
          <w:rFonts w:hint="default" w:ascii="Arial" w:hAnsi="Arial" w:eastAsia="黑体" w:cs="Arial"/>
          <w:sz w:val="32"/>
        </w:rPr>
        <w:t>题目</w:t>
      </w:r>
    </w:p>
    <w:p>
      <w:pPr>
        <w:adjustRightInd w:val="0"/>
        <w:snapToGrid w:val="0"/>
        <w:spacing w:line="240" w:lineRule="atLeast"/>
        <w:jc w:val="center"/>
        <w:rPr>
          <w:rFonts w:hint="default" w:ascii="Arial" w:hAnsi="Arial" w:cs="Arial"/>
          <w:b/>
          <w:sz w:val="24"/>
        </w:rPr>
      </w:pPr>
      <w:r>
        <w:rPr>
          <w:rFonts w:hint="default" w:ascii="Arial" w:hAnsi="Arial" w:cs="Arial"/>
          <w:b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28575" r="3175" b="40005"/>
                <wp:wrapNone/>
                <wp:docPr id="1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 2" o:spid="_x0000_s1026" o:spt="20" style="position:absolute;left:0pt;margin-left:0pt;margin-top:6.8pt;height:0.6pt;width:419.75pt;z-index:251659264;mso-width-relative:page;mso-height-relative:page;" filled="f" stroked="t" coordsize="21600,21600" o:gfxdata="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n1RM3XAAAABgEAAA8AAAAAAAAAAQAgAAAAIgAAAGRycy9k&#10;b3ducmV2LnhtbFBLAQIUABQAAAAIAIdO4kBU7e9cygEAAJUDAAAOAAAAAAAAAAEAIAAAACYBAABk&#10;cnMvZTJvRG9jLnhtbFBLBQYAAAAABgAGAFkBAABi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Arial" w:hAnsi="Arial" w:cs="Arial"/>
          <w:b/>
          <w:sz w:val="24"/>
        </w:rPr>
        <w:t xml:space="preserve">           </w:t>
      </w:r>
    </w:p>
    <w:p>
      <w:pPr>
        <w:spacing w:before="156" w:beforeLines="50" w:after="156" w:afterLines="50" w:line="480" w:lineRule="auto"/>
        <w:jc w:val="center"/>
        <w:rPr>
          <w:rFonts w:hint="default" w:ascii="Arial" w:hAnsi="Arial" w:eastAsia="黑体" w:cs="Arial"/>
          <w:sz w:val="32"/>
          <w:szCs w:val="32"/>
        </w:rPr>
      </w:pPr>
      <w:r>
        <w:rPr>
          <w:rFonts w:hint="eastAsia" w:ascii="Arial" w:hAnsi="Arial" w:eastAsia="黑体" w:cs="Arial"/>
          <w:sz w:val="32"/>
          <w:szCs w:val="32"/>
          <w:lang w:val="en-US" w:eastAsia="zh-CN"/>
        </w:rPr>
        <w:t>B</w:t>
      </w:r>
      <w:r>
        <w:rPr>
          <w:rFonts w:hint="default" w:ascii="Arial" w:hAnsi="Arial" w:eastAsia="黑体" w:cs="Arial"/>
          <w:sz w:val="32"/>
          <w:szCs w:val="32"/>
        </w:rPr>
        <w:t>题  糖尿病</w:t>
      </w:r>
      <w:r>
        <w:rPr>
          <w:rFonts w:hint="eastAsia" w:ascii="Arial" w:hAnsi="Arial" w:eastAsia="黑体" w:cs="Arial"/>
          <w:sz w:val="32"/>
          <w:szCs w:val="32"/>
          <w:lang w:val="en-US" w:eastAsia="zh-CN"/>
        </w:rPr>
        <w:t>诊疗的大</w:t>
      </w:r>
      <w:r>
        <w:rPr>
          <w:rFonts w:hint="default" w:ascii="Arial" w:hAnsi="Arial" w:eastAsia="黑体" w:cs="Arial"/>
          <w:sz w:val="32"/>
          <w:szCs w:val="32"/>
        </w:rPr>
        <w:t>数据分析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40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default" w:ascii="Arial" w:hAnsi="Arial" w:eastAsia="楷体" w:cs="Arial"/>
          <w:sz w:val="24"/>
          <w:lang w:eastAsia="zh-CN"/>
        </w:rPr>
      </w:pPr>
      <w:r>
        <w:rPr>
          <w:rFonts w:hint="default" w:ascii="Arial" w:hAnsi="Arial" w:eastAsia="楷体" w:cs="Arial"/>
          <w:sz w:val="24"/>
          <w:lang w:eastAsia="zh-CN"/>
        </w:rPr>
        <w:t>（</w:t>
      </w:r>
      <w:r>
        <w:rPr>
          <w:rFonts w:hint="default" w:ascii="Arial" w:hAnsi="Arial" w:eastAsia="楷体" w:cs="Arial"/>
          <w:sz w:val="24"/>
          <w:lang w:val="en-US" w:eastAsia="zh-CN"/>
        </w:rPr>
        <w:t>命题人：清华大学 张阳阳</w:t>
      </w:r>
      <w:r>
        <w:rPr>
          <w:rFonts w:hint="default" w:ascii="Arial" w:hAnsi="Arial" w:eastAsia="楷体" w:cs="Arial"/>
          <w:sz w:val="24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控制住院病人的血糖水平对降低发病率和死亡率具有重要作用，许多医疗机构把严格的血糖指标纳入到重症监护室ICU级别的正式协议。但是，对于大多数非ICU住院病人的接收却没有这样做。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420" w:firstLine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default" w:ascii="Arial" w:hAnsi="Arial" w:cs="Arial"/>
          <w:sz w:val="24"/>
        </w:rPr>
        <w:t>事实上，按传统的方式，住院病人的管理比较随意，导致或者完全没有处理，或者在血糖方面波动很大。为了提高患者的安全性，有必要对现有的医院收治的病人的糖尿病治疗模式进行分析评估。附件中有来自美国130家医院的糖尿病患者的治疗数据，请你用数学建模的方法，对医院对糖尿病的治疗模式进行评估，并对医院将来的努力方向给出合理建议。</w:t>
      </w:r>
    </w:p>
    <w:p>
      <w:pPr>
        <w:spacing w:line="360" w:lineRule="auto"/>
        <w:ind w:firstLine="420" w:firstLineChars="0"/>
        <w:rPr>
          <w:rFonts w:hint="eastAsia"/>
          <w:sz w:val="24"/>
        </w:rPr>
      </w:pPr>
      <w:r>
        <w:rPr>
          <w:rFonts w:hint="eastAsia"/>
          <w:sz w:val="24"/>
        </w:rPr>
        <w:t>请建立相应的数学模型和算法，解决以下问题：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eastAsia="zh-CN"/>
        </w:rPr>
        <w:t>（</w:t>
      </w:r>
      <w:r>
        <w:rPr>
          <w:rFonts w:hint="eastAsia" w:ascii="Arial" w:hAnsi="Arial" w:cs="Arial"/>
          <w:sz w:val="24"/>
          <w:lang w:val="en-US" w:eastAsia="zh-CN"/>
        </w:rPr>
        <w:t>1</w:t>
      </w:r>
      <w:r>
        <w:rPr>
          <w:rFonts w:hint="eastAsia" w:ascii="Arial" w:hAnsi="Arial" w:cs="Arial"/>
          <w:sz w:val="24"/>
          <w:lang w:eastAsia="zh-CN"/>
        </w:rPr>
        <w:t>）</w:t>
      </w:r>
      <w:r>
        <w:rPr>
          <w:rFonts w:hint="default" w:ascii="Arial" w:hAnsi="Arial" w:cs="Arial"/>
          <w:sz w:val="24"/>
        </w:rPr>
        <w:t>试分析确定合理的评价指标体系，用以评价医院对糖尿病患者的治疗效果。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eastAsia="zh-CN"/>
        </w:rPr>
        <w:t>（</w:t>
      </w:r>
      <w:r>
        <w:rPr>
          <w:rFonts w:hint="eastAsia" w:ascii="Arial" w:hAnsi="Arial" w:cs="Arial"/>
          <w:sz w:val="24"/>
          <w:lang w:val="en-US" w:eastAsia="zh-CN"/>
        </w:rPr>
        <w:t>2</w:t>
      </w:r>
      <w:r>
        <w:rPr>
          <w:rFonts w:hint="eastAsia" w:ascii="Arial" w:hAnsi="Arial" w:cs="Arial"/>
          <w:sz w:val="24"/>
          <w:lang w:eastAsia="zh-CN"/>
        </w:rPr>
        <w:t>）</w:t>
      </w:r>
      <w:r>
        <w:rPr>
          <w:rFonts w:hint="default" w:ascii="Arial" w:hAnsi="Arial" w:cs="Arial"/>
          <w:sz w:val="24"/>
        </w:rPr>
        <w:t>对数据进行预处理，剔除无效或无用数据。对各种疾病类型进行分组，并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给出各组的诊断值（icd9编码）范围以及各组就</w:t>
      </w:r>
      <w:r>
        <w:rPr>
          <w:rFonts w:hint="eastAsia" w:ascii="Arial" w:hAnsi="Arial" w:cs="Arial"/>
          <w:sz w:val="24"/>
          <w:lang w:val="en-US" w:eastAsia="zh-CN"/>
        </w:rPr>
        <w:t>诊</w:t>
      </w:r>
      <w:bookmarkStart w:id="0" w:name="_GoBack"/>
      <w:bookmarkEnd w:id="0"/>
      <w:r>
        <w:rPr>
          <w:rFonts w:hint="default" w:ascii="Arial" w:hAnsi="Arial" w:cs="Arial"/>
          <w:sz w:val="24"/>
        </w:rPr>
        <w:t>人数在所有</w:t>
      </w:r>
      <w:r>
        <w:rPr>
          <w:rFonts w:hint="eastAsia" w:ascii="Arial" w:hAnsi="Arial" w:cs="Arial"/>
          <w:sz w:val="24"/>
          <w:lang w:val="en-US" w:eastAsia="zh-CN"/>
        </w:rPr>
        <w:t>就诊</w:t>
      </w:r>
      <w:r>
        <w:rPr>
          <w:rFonts w:hint="default" w:ascii="Arial" w:hAnsi="Arial" w:cs="Arial"/>
          <w:sz w:val="24"/>
        </w:rPr>
        <w:t>人数中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所占的百分比。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eastAsia="zh-CN"/>
        </w:rPr>
        <w:t>（</w:t>
      </w:r>
      <w:r>
        <w:rPr>
          <w:rFonts w:hint="eastAsia" w:ascii="Arial" w:hAnsi="Arial" w:cs="Arial"/>
          <w:sz w:val="24"/>
          <w:lang w:val="en-US" w:eastAsia="zh-CN"/>
        </w:rPr>
        <w:t>3</w:t>
      </w:r>
      <w:r>
        <w:rPr>
          <w:rFonts w:hint="eastAsia" w:ascii="Arial" w:hAnsi="Arial" w:cs="Arial"/>
          <w:sz w:val="24"/>
          <w:lang w:eastAsia="zh-CN"/>
        </w:rPr>
        <w:t>）</w:t>
      </w:r>
      <w:r>
        <w:rPr>
          <w:rFonts w:hint="default" w:ascii="Arial" w:hAnsi="Arial" w:cs="Arial"/>
          <w:sz w:val="24"/>
        </w:rPr>
        <w:t>给出</w:t>
      </w:r>
      <w:r>
        <w:rPr>
          <w:rFonts w:hint="eastAsia" w:ascii="Arial" w:hAnsi="Arial" w:cs="Arial"/>
          <w:sz w:val="24"/>
          <w:lang w:val="en-US" w:eastAsia="zh-CN"/>
        </w:rPr>
        <w:t>就诊</w:t>
      </w:r>
      <w:r>
        <w:rPr>
          <w:rFonts w:hint="default" w:ascii="Arial" w:hAnsi="Arial" w:cs="Arial"/>
          <w:sz w:val="24"/>
        </w:rPr>
        <w:t>病人的HbA1C检测、性别、年龄、种族、出院去处、入院来源、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住院天数、</w:t>
      </w:r>
      <w:r>
        <w:rPr>
          <w:rFonts w:hint="eastAsia" w:ascii="Arial" w:hAnsi="Arial" w:cs="Arial"/>
          <w:sz w:val="24"/>
          <w:lang w:val="en-US" w:eastAsia="zh-CN"/>
        </w:rPr>
        <w:t>诊</w:t>
      </w:r>
      <w:r>
        <w:rPr>
          <w:rFonts w:hint="default" w:ascii="Arial" w:hAnsi="Arial" w:cs="Arial"/>
          <w:sz w:val="24"/>
        </w:rPr>
        <w:t>疗医师的专业、初次诊断结果、葡萄糖血清检测等特征变量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的概率分布，各类</w:t>
      </w:r>
      <w:r>
        <w:rPr>
          <w:rFonts w:hint="eastAsia" w:ascii="Arial" w:hAnsi="Arial" w:cs="Arial"/>
          <w:sz w:val="24"/>
          <w:lang w:val="en-US" w:eastAsia="zh-CN"/>
        </w:rPr>
        <w:t>就诊</w:t>
      </w:r>
      <w:r>
        <w:rPr>
          <w:rFonts w:hint="default" w:ascii="Arial" w:hAnsi="Arial" w:cs="Arial"/>
          <w:sz w:val="24"/>
        </w:rPr>
        <w:t>病人的再次入院率及其置信区间。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eastAsia="zh-CN"/>
        </w:rPr>
        <w:t>（</w:t>
      </w:r>
      <w:r>
        <w:rPr>
          <w:rFonts w:hint="eastAsia" w:ascii="Arial" w:hAnsi="Arial" w:cs="Arial"/>
          <w:sz w:val="24"/>
          <w:lang w:val="en-US" w:eastAsia="zh-CN"/>
        </w:rPr>
        <w:t>4</w:t>
      </w:r>
      <w:r>
        <w:rPr>
          <w:rFonts w:hint="eastAsia" w:ascii="Arial" w:hAnsi="Arial" w:cs="Arial"/>
          <w:sz w:val="24"/>
          <w:lang w:eastAsia="zh-CN"/>
        </w:rPr>
        <w:t>）</w:t>
      </w:r>
      <w:r>
        <w:rPr>
          <w:rFonts w:hint="default" w:ascii="Arial" w:hAnsi="Arial" w:cs="Arial"/>
          <w:sz w:val="24"/>
        </w:rPr>
        <w:t>分析再次入院率与各特征变量之间的关系，分析HbA1C检测等因素对再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次入院率的影响。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  <w:r>
        <w:rPr>
          <w:rFonts w:hint="eastAsia" w:ascii="Arial" w:hAnsi="Arial" w:cs="Arial"/>
          <w:sz w:val="24"/>
          <w:lang w:eastAsia="zh-CN"/>
        </w:rPr>
        <w:t>（</w:t>
      </w:r>
      <w:r>
        <w:rPr>
          <w:rFonts w:hint="eastAsia" w:ascii="Arial" w:hAnsi="Arial" w:cs="Arial"/>
          <w:sz w:val="24"/>
          <w:lang w:val="en-US" w:eastAsia="zh-CN"/>
        </w:rPr>
        <w:t>5</w:t>
      </w:r>
      <w:r>
        <w:rPr>
          <w:rFonts w:hint="eastAsia" w:ascii="Arial" w:hAnsi="Arial" w:cs="Arial"/>
          <w:sz w:val="24"/>
          <w:lang w:eastAsia="zh-CN"/>
        </w:rPr>
        <w:t>）</w:t>
      </w:r>
      <w:r>
        <w:rPr>
          <w:rFonts w:hint="default" w:ascii="Arial" w:hAnsi="Arial" w:cs="Arial"/>
          <w:sz w:val="24"/>
        </w:rPr>
        <w:t>对医院糖尿病治疗模式进行评价，就如何降低再次入院率，提高治病效率</w:t>
      </w:r>
      <w:r>
        <w:rPr>
          <w:rFonts w:hint="eastAsia" w:ascii="Arial" w:hAnsi="Arial" w:cs="Arial"/>
          <w:sz w:val="24"/>
          <w:lang w:val="en-US" w:eastAsia="zh-CN"/>
        </w:rPr>
        <w:tab/>
      </w:r>
      <w:r>
        <w:rPr>
          <w:rFonts w:hint="eastAsia" w:ascii="Arial" w:hAnsi="Arial" w:cs="Arial"/>
          <w:sz w:val="24"/>
          <w:lang w:val="en-US" w:eastAsia="zh-CN"/>
        </w:rPr>
        <w:t xml:space="preserve"> </w:t>
      </w:r>
      <w:r>
        <w:rPr>
          <w:rFonts w:hint="default" w:ascii="Arial" w:hAnsi="Arial" w:cs="Arial"/>
          <w:sz w:val="24"/>
        </w:rPr>
        <w:t>和效果，降低病人住院治疗成本给出合理建议。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lang w:val="en-US" w:eastAsia="zh-CN"/>
        </w:rPr>
        <w:t>附件：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lang w:val="en-US" w:eastAsia="zh-CN"/>
        </w:rPr>
        <w:t>diabetic_data.csv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right="0" w:rightChars="0"/>
        <w:jc w:val="both"/>
        <w:textAlignment w:val="auto"/>
        <w:outlineLvl w:val="9"/>
        <w:rPr>
          <w:rFonts w:hint="eastAsia" w:ascii="Arial" w:hAnsi="Arial" w:cs="Arial"/>
          <w:b/>
          <w:bCs/>
          <w:sz w:val="24"/>
          <w:lang w:val="en-US" w:eastAsia="zh-CN"/>
        </w:rPr>
      </w:pPr>
      <w:r>
        <w:rPr>
          <w:rFonts w:hint="eastAsia" w:ascii="Arial" w:hAnsi="Arial" w:cs="Arial"/>
          <w:b/>
          <w:bCs/>
          <w:sz w:val="24"/>
          <w:lang w:val="en-US" w:eastAsia="zh-CN"/>
        </w:rPr>
        <w:t>IDs_mapping.csv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/>
        <w:jc w:val="both"/>
        <w:textAlignment w:val="auto"/>
        <w:outlineLvl w:val="9"/>
        <w:rPr>
          <w:rFonts w:hint="default" w:ascii="Arial" w:hAnsi="Arial" w:cs="Arial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方正姚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Gulim">
    <w:altName w:val="Malgun Gothic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@Arial Unicode MS">
    <w:altName w:val="宋体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55B73"/>
    <w:multiLevelType w:val="singleLevel"/>
    <w:tmpl w:val="5A955B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2190B"/>
    <w:rsid w:val="0FD0000C"/>
    <w:rsid w:val="19602C67"/>
    <w:rsid w:val="1A67094F"/>
    <w:rsid w:val="1A72190B"/>
    <w:rsid w:val="1CEE59A8"/>
    <w:rsid w:val="1EA92FC8"/>
    <w:rsid w:val="24052FBD"/>
    <w:rsid w:val="240664D1"/>
    <w:rsid w:val="241B3F13"/>
    <w:rsid w:val="24363FF3"/>
    <w:rsid w:val="253E0265"/>
    <w:rsid w:val="276A3C5B"/>
    <w:rsid w:val="2A6E3216"/>
    <w:rsid w:val="2B413847"/>
    <w:rsid w:val="2BE57974"/>
    <w:rsid w:val="2C015DF1"/>
    <w:rsid w:val="2E8037C4"/>
    <w:rsid w:val="36B012E9"/>
    <w:rsid w:val="36FF4F9A"/>
    <w:rsid w:val="39E26ED2"/>
    <w:rsid w:val="3E226CE8"/>
    <w:rsid w:val="3EA33B75"/>
    <w:rsid w:val="42785E43"/>
    <w:rsid w:val="456F3AC5"/>
    <w:rsid w:val="487E656C"/>
    <w:rsid w:val="49CC472C"/>
    <w:rsid w:val="4A244C2D"/>
    <w:rsid w:val="4B943048"/>
    <w:rsid w:val="4C4F5633"/>
    <w:rsid w:val="51762080"/>
    <w:rsid w:val="51D77C58"/>
    <w:rsid w:val="527F43C4"/>
    <w:rsid w:val="533E6FB5"/>
    <w:rsid w:val="53AB55FD"/>
    <w:rsid w:val="53F8275E"/>
    <w:rsid w:val="54A818AC"/>
    <w:rsid w:val="55006476"/>
    <w:rsid w:val="58304A19"/>
    <w:rsid w:val="58A84C14"/>
    <w:rsid w:val="5A2E48C4"/>
    <w:rsid w:val="5B0F4030"/>
    <w:rsid w:val="5C8D2767"/>
    <w:rsid w:val="5CB671BB"/>
    <w:rsid w:val="5E2B31FC"/>
    <w:rsid w:val="68CD7DD8"/>
    <w:rsid w:val="6AA64D60"/>
    <w:rsid w:val="6EC103D5"/>
    <w:rsid w:val="6ED946A0"/>
    <w:rsid w:val="70520928"/>
    <w:rsid w:val="71FE481E"/>
    <w:rsid w:val="74861204"/>
    <w:rsid w:val="79572CB2"/>
    <w:rsid w:val="7EAB064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25" w:beforeLines="25" w:beforeAutospacing="0" w:after="25" w:afterLines="25" w:afterAutospacing="0" w:line="240" w:lineRule="auto"/>
      <w:jc w:val="left"/>
      <w:outlineLvl w:val="0"/>
    </w:pPr>
    <w:rPr>
      <w:rFonts w:ascii="Times New Roman" w:hAnsi="Times New Roman" w:eastAsia="黑体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5" w:beforeLines="25" w:beforeAutospacing="0" w:after="25" w:afterLines="25" w:afterAutospacing="0" w:line="240" w:lineRule="auto"/>
      <w:jc w:val="left"/>
      <w:outlineLvl w:val="1"/>
    </w:pPr>
    <w:rPr>
      <w:rFonts w:ascii="Times New Roman" w:hAnsi="Times New Roman" w:eastAsia="黑体"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jc w:val="left"/>
      <w:outlineLvl w:val="2"/>
    </w:pPr>
    <w:rPr>
      <w:rFonts w:ascii="Times New Roman" w:hAnsi="Times New Roman" w:eastAsia="黑体"/>
      <w:sz w:val="28"/>
    </w:rPr>
  </w:style>
  <w:style w:type="character" w:default="1" w:styleId="9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0"/>
    <w:pPr>
      <w:spacing w:after="50" w:afterLines="50" w:line="360" w:lineRule="auto"/>
      <w:jc w:val="center"/>
    </w:pPr>
    <w:rPr>
      <w:rFonts w:ascii="Times New Roman" w:hAnsi="Times New Roman"/>
      <w:sz w:val="21"/>
    </w:rPr>
  </w:style>
  <w:style w:type="paragraph" w:styleId="6">
    <w:name w:val="Plain Text"/>
    <w:basedOn w:val="1"/>
    <w:qFormat/>
    <w:uiPriority w:val="0"/>
    <w:pPr>
      <w:adjustRightInd w:val="0"/>
      <w:spacing w:line="312" w:lineRule="atLeast"/>
      <w:textAlignment w:val="baseline"/>
    </w:pPr>
    <w:rPr>
      <w:rFonts w:ascii="宋体" w:hAnsi="Courier New"/>
      <w:kern w:val="0"/>
      <w:szCs w:val="20"/>
    </w:r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标题 1 Char"/>
    <w:link w:val="2"/>
    <w:qFormat/>
    <w:uiPriority w:val="0"/>
    <w:rPr>
      <w:rFonts w:ascii="Times New Roman" w:hAnsi="Times New Roman" w:eastAsia="黑体"/>
      <w:kern w:val="44"/>
      <w:sz w:val="32"/>
    </w:rPr>
  </w:style>
  <w:style w:type="paragraph" w:customStyle="1" w:styleId="12">
    <w:name w:val="正1"/>
    <w:basedOn w:val="2"/>
    <w:qFormat/>
    <w:uiPriority w:val="0"/>
    <w:pPr>
      <w:spacing w:line="400" w:lineRule="exact"/>
      <w:ind w:firstLine="480" w:firstLineChars="200"/>
      <w:jc w:val="both"/>
    </w:pPr>
    <w:rPr>
      <w:rFonts w:ascii="Times New Roman" w:hAnsi="Times New Roman" w:eastAsia="宋体"/>
      <w:kern w:val="2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2018-02-27T04:24:00Z</dcterms:created>
  <dc:creator>English</dc:creator>
  <cp:lastModifiedBy>十年</cp:lastModifiedBy>
  <dcterms:modified xsi:type="dcterms:W3CDTF">2018-04-28T23:42:55Z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