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35i78lj5q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Project Title: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"Demographic Insights from a Stage III Lung Cancer Cohort"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fpt9tu5f1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🗂️ I. Project Overview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  <w:br w:type="textWrapping"/>
        <w:t xml:space="preserve"> To explore and visualize demographic patterns—specifically age, gender, and BMI—among patients with Stage III lung cancer.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</w:t>
        <w:br w:type="textWrapping"/>
        <w:t xml:space="preserve"> An anonymized dataset of patients diagnosed with Stage III lung cancer.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(Pandas, Seaborn, Matplotlib)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Jupyter Notebook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5rwweuzvm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🧹 II. Data Preparation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Steps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relevant demographic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bmi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Detected formatting issues (e.g., commas instead of decimals).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Cleaned and converted age and BMI to numeric format.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Non-numeric BMI or age entries were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for robustness in analysis.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xxoua2ct1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📊 III. Exploratory Data Analysis (EDA)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oepnw5gea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Summary Statistics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Presented central tendencies and spread for age and BMI.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Counted gender distribution.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jkbclrtxg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Visualizations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 + KDE to show skewness and spread.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central tendencies and outliers.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by Gender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Boxplot highlighted differences in distribution between genders.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vs. BMI Scatterplot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Visualized correlation with Pearson r = </w:t>
      </w:r>
      <w:r w:rsidDel="00000000" w:rsidR="00000000" w:rsidRPr="00000000">
        <w:rPr>
          <w:i w:val="1"/>
          <w:rtl w:val="0"/>
        </w:rPr>
        <w:t xml:space="preserve">[insert value]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Color-coded by gender to show overlap and trends.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k1zx481l9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⚖️ IV. Additional Insights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Classification</w:t>
      </w:r>
      <w:r w:rsidDel="00000000" w:rsidR="00000000" w:rsidRPr="00000000">
        <w:rPr>
          <w:rtl w:val="0"/>
        </w:rPr>
        <w:t xml:space="preserve"> (Optional Step):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Categorized patients into Underweight, Normal, Overweight, and Obese based on WHO standards.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 the dataset for future clinical interpretation or predictive modeling.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28kvjpaea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V. Key Takeaways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variation in BMI by gender, though overlapping distributions.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Mild correlation between age and BMI in this population.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ability to clean, analyze, and communicate real-world health data effectively.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08hk9xyiz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🚀 VI. Future Directions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 this demographic data with clinical outcomes (e.g., survival, recurrence).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Stratify by smoking status or treatment timing.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multivariate models to predict risk factors for poor outcomes.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