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A6EA3" w14:textId="77777777" w:rsidR="00BC3038" w:rsidRPr="00CC22A8" w:rsidRDefault="004928CC">
      <w:pPr>
        <w:rPr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x=</m:t>
          </m:r>
          <m:d>
            <m:dPr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,⋯</m:t>
              </m:r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b>
              </m:sSub>
            </m:e>
          </m:d>
        </m:oMath>
      </m:oMathPara>
    </w:p>
    <w:p w14:paraId="1159046F" w14:textId="77777777" w:rsidR="004928CC" w:rsidRPr="00CC22A8" w:rsidRDefault="004928CC">
      <w:pPr>
        <w:rPr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R=</m:t>
          </m:r>
          <m:d>
            <m:dPr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b>
              </m:sSub>
            </m:e>
          </m:d>
        </m:oMath>
      </m:oMathPara>
    </w:p>
    <w:bookmarkStart w:id="0" w:name="_GoBack"/>
    <w:p w14:paraId="1B53BD1C" w14:textId="3ED5CE2B" w:rsidR="004928CC" w:rsidRPr="00CC22A8" w:rsidRDefault="000467C6">
      <w:pPr>
        <w:rPr>
          <w:color w:val="000000" w:themeColor="text1"/>
        </w:rPr>
      </w:pPr>
      <m:oMathPara>
        <m:oMath>
          <m:func>
            <m:funcPr>
              <m:ctrlPr>
                <w:rPr>
                  <w:rFonts w:ascii="Cambria Math" w:hAnsi="Cambria Math"/>
                  <w:color w:val="000000" w:themeColor="text1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min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color w:val="000000" w:themeColor="text1"/>
                    </w:rPr>
                    <m:t>l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e>
          </m:func>
        </m:oMath>
      </m:oMathPara>
    </w:p>
    <w:p w14:paraId="6CE67078" w14:textId="77777777" w:rsidR="004928CC" w:rsidRPr="00CC22A8" w:rsidRDefault="004928CC">
      <w:pPr>
        <w:rPr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Ax </m:t>
          </m:r>
          <m:r>
            <m:rPr>
              <m:sty m:val="p"/>
            </m:rPr>
            <w:rPr>
              <w:rFonts w:ascii="Cambria Math" w:hAnsi="Cambria Math" w:hint="eastAsia"/>
              <w:color w:val="000000" w:themeColor="text1"/>
            </w:rPr>
            <m:t>≥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a</m:t>
          </m:r>
        </m:oMath>
      </m:oMathPara>
    </w:p>
    <w:p w14:paraId="5F75B024" w14:textId="77777777" w:rsidR="004928CC" w:rsidRPr="00CC22A8" w:rsidRDefault="004928CC">
      <w:pPr>
        <w:rPr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Bx=b</m:t>
          </m:r>
        </m:oMath>
      </m:oMathPara>
    </w:p>
    <w:p w14:paraId="40F33B5B" w14:textId="77777777" w:rsidR="004928CC" w:rsidRPr="00CC22A8" w:rsidRDefault="000467C6">
      <w:pPr>
        <w:rPr>
          <w:color w:val="000000" w:themeColor="text1"/>
        </w:rPr>
      </w:pPr>
      <m:oMathPara>
        <m:oMath>
          <m:sSup>
            <m:sSupPr>
              <m:ctrlPr>
                <w:rPr>
                  <w:rFonts w:ascii="Cambria Math" w:hAnsi="Cambria Math"/>
                  <w:color w:val="000000" w:themeColor="text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μ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x</m:t>
          </m:r>
          <m:r>
            <m:rPr>
              <m:sty m:val="p"/>
            </m:rPr>
            <w:rPr>
              <w:rFonts w:ascii="Cambria Math" w:hAnsi="Cambria Math" w:hint="eastAsia"/>
              <w:color w:val="000000" w:themeColor="text1"/>
            </w:rPr>
            <m:t>≥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r</m:t>
          </m:r>
        </m:oMath>
      </m:oMathPara>
    </w:p>
    <w:p w14:paraId="16021AC7" w14:textId="77777777" w:rsidR="004928CC" w:rsidRPr="00CC22A8" w:rsidRDefault="000467C6">
      <w:pPr>
        <w:rPr>
          <w:color w:val="000000" w:themeColor="text1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color w:val="000000" w:themeColor="text1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=1</m:t>
          </m:r>
        </m:oMath>
      </m:oMathPara>
    </w:p>
    <w:bookmarkEnd w:id="0"/>
    <w:p w14:paraId="69B0A201" w14:textId="77777777" w:rsidR="004928CC" w:rsidRPr="00CC22A8" w:rsidRDefault="004928CC">
      <w:pPr>
        <w:rPr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Q=Cov</m:t>
          </m:r>
          <m:d>
            <m:dPr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j</m:t>
                  </m:r>
                </m:sub>
              </m:sSub>
            </m:e>
          </m:d>
        </m:oMath>
      </m:oMathPara>
    </w:p>
    <w:p w14:paraId="7E194E47" w14:textId="77777777" w:rsidR="004928CC" w:rsidRPr="00CC22A8" w:rsidRDefault="000467C6">
      <w:pPr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max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hint="eastAsia"/>
                  <w:color w:val="000000" w:themeColor="text1"/>
                </w:rPr>
                <m:t>∈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R</m:t>
              </m:r>
            </m:sub>
          </m:sSub>
          <m:sSup>
            <m:sSupPr>
              <m:ctrlPr>
                <w:rPr>
                  <w:rFonts w:ascii="Cambria Math" w:hAnsi="Cambria Math"/>
                  <w:color w:val="000000" w:themeColor="text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μ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x</m:t>
          </m:r>
        </m:oMath>
      </m:oMathPara>
    </w:p>
    <w:p w14:paraId="427FDCB3" w14:textId="77777777" w:rsidR="004928CC" w:rsidRPr="00CC22A8" w:rsidRDefault="000467C6">
      <w:pPr>
        <w:rPr>
          <w:color w:val="000000" w:themeColor="text1"/>
        </w:rPr>
      </w:pPr>
      <m:oMathPara>
        <m:oMath>
          <m:sSup>
            <m:sSupPr>
              <m:ctrlPr>
                <w:rPr>
                  <w:rFonts w:ascii="Cambria Math" w:hAnsi="Cambria Math"/>
                  <w:color w:val="000000" w:themeColor="text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μ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x</m:t>
          </m:r>
          <m:r>
            <m:rPr>
              <m:sty m:val="p"/>
            </m:rPr>
            <w:rPr>
              <w:rFonts w:ascii="Cambria Math" w:hAnsi="Cambria Math" w:hint="eastAsia"/>
              <w:color w:val="000000" w:themeColor="text1"/>
            </w:rPr>
            <m:t>≥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r</m:t>
          </m:r>
        </m:oMath>
      </m:oMathPara>
    </w:p>
    <w:p w14:paraId="41FBD872" w14:textId="77777777" w:rsidR="004928CC" w:rsidRPr="00CC22A8" w:rsidRDefault="000467C6">
      <w:pPr>
        <w:rPr>
          <w:color w:val="000000" w:themeColor="text1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color w:val="000000" w:themeColor="text1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=1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color w:val="000000" w:themeColor="text1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max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color w:val="000000" w:themeColor="text1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sup>
                  </m:sSup>
                </m:sub>
              </m:sSub>
            </m:fName>
            <m:e>
              <m:sSup>
                <m:sSup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μ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T</m:t>
                  </m:r>
                </m:sup>
              </m:sSup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e>
          </m:func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x</m:t>
          </m:r>
        </m:oMath>
      </m:oMathPara>
    </w:p>
    <w:p w14:paraId="49AB0CB9" w14:textId="77777777" w:rsidR="004928CC" w:rsidRPr="00CC22A8" w:rsidRDefault="000467C6">
      <w:pPr>
        <w:rPr>
          <w:color w:val="000000" w:themeColor="text1"/>
        </w:rPr>
      </w:pPr>
      <m:oMathPara>
        <m:oMath>
          <m:sSup>
            <m:sSupPr>
              <m:ctrlPr>
                <w:rPr>
                  <w:rFonts w:ascii="Cambria Math" w:hAnsi="Cambria Math"/>
                  <w:color w:val="000000" w:themeColor="text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Qx</m:t>
          </m:r>
          <m:r>
            <m:rPr>
              <m:sty m:val="p"/>
            </m:rPr>
            <w:rPr>
              <w:rFonts w:ascii="Cambria Math" w:hAnsi="Cambria Math" w:hint="eastAsia"/>
              <w:color w:val="000000" w:themeColor="text1"/>
            </w:rPr>
            <m:t>≤</m:t>
          </m:r>
          <m:sSup>
            <m:sSupPr>
              <m:ctrlPr>
                <w:rPr>
                  <w:rFonts w:ascii="Cambria Math" w:hAnsi="Cambria Math"/>
                  <w:color w:val="000000" w:themeColor="text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2</m:t>
              </m:r>
            </m:sup>
          </m:sSup>
        </m:oMath>
      </m:oMathPara>
    </w:p>
    <w:p w14:paraId="794C1F69" w14:textId="77777777" w:rsidR="004928CC" w:rsidRPr="00CC22A8" w:rsidRDefault="000467C6">
      <w:pPr>
        <w:rPr>
          <w:color w:val="000000" w:themeColor="text1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color w:val="000000" w:themeColor="text1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=1</m:t>
          </m:r>
        </m:oMath>
      </m:oMathPara>
    </w:p>
    <w:p w14:paraId="295791BC" w14:textId="77777777" w:rsidR="004928CC" w:rsidRPr="00CC22A8" w:rsidRDefault="000467C6">
      <w:pPr>
        <w:rPr>
          <w:color w:val="000000" w:themeColor="text1"/>
        </w:rPr>
      </w:pPr>
      <m:oMathPara>
        <m:oMath>
          <m:func>
            <m:funcPr>
              <m:ctrlPr>
                <w:rPr>
                  <w:rFonts w:ascii="Cambria Math" w:hAnsi="Cambria Math"/>
                  <w:color w:val="000000" w:themeColor="text1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color w:val="000000" w:themeColor="text1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sup>
                  </m:sSup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μ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T</m:t>
                  </m:r>
                </m:sup>
              </m:sSup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e>
          </m:func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x-λ</m:t>
          </m:r>
          <m:sSup>
            <m:sSupPr>
              <m:ctrlPr>
                <w:rPr>
                  <w:rFonts w:ascii="Cambria Math" w:hAnsi="Cambria Math"/>
                  <w:color w:val="000000" w:themeColor="text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Qx</m:t>
          </m:r>
        </m:oMath>
      </m:oMathPara>
    </w:p>
    <w:p w14:paraId="28868A5B" w14:textId="77777777" w:rsidR="004928CC" w:rsidRPr="00CC22A8" w:rsidRDefault="000467C6">
      <w:pPr>
        <w:rPr>
          <w:color w:val="000000" w:themeColor="text1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color w:val="000000" w:themeColor="text1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=1</m:t>
          </m:r>
        </m:oMath>
      </m:oMathPara>
    </w:p>
    <w:p w14:paraId="147C3210" w14:textId="77777777" w:rsidR="004928CC" w:rsidRPr="00CC22A8" w:rsidRDefault="000467C6">
      <w:pPr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  <w:color w:val="000000" w:themeColor="text1"/>
                </w:rPr>
                <m:t>l</m:t>
              </m:r>
              <m:ctrlPr>
                <w:rPr>
                  <w:rFonts w:ascii="Cambria Math" w:hAnsi="Cambria Math" w:hint="eastAsia"/>
                  <w:color w:val="000000" w:themeColor="text1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color w:val="000000" w:themeColor="text1"/>
            </w:rPr>
            <m:t>≤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color w:val="000000" w:themeColor="text1"/>
            </w:rPr>
            <m:t>≤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i</m:t>
              </m:r>
            </m:sub>
          </m:sSub>
        </m:oMath>
      </m:oMathPara>
    </w:p>
    <w:p w14:paraId="27AA3027" w14:textId="77777777" w:rsidR="004928CC" w:rsidRPr="00CC22A8" w:rsidRDefault="000467C6">
      <w:pPr>
        <w:rPr>
          <w:color w:val="000000" w:themeColor="text1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color w:val="000000" w:themeColor="text1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i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i=1,⋯,n</m:t>
              </m:r>
            </m:e>
          </m:d>
        </m:oMath>
      </m:oMathPara>
    </w:p>
    <w:p w14:paraId="1AAFC839" w14:textId="77777777" w:rsidR="004928CC" w:rsidRPr="00CC22A8" w:rsidRDefault="000467C6">
      <w:pPr>
        <w:rPr>
          <w:color w:val="000000" w:themeColor="text1"/>
        </w:rPr>
      </w:pPr>
      <m:oMathPara>
        <m:oMath>
          <m:d>
            <m:dPr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μ,Q</m:t>
              </m:r>
            </m:e>
          </m:d>
        </m:oMath>
      </m:oMathPara>
    </w:p>
    <w:p w14:paraId="038DFB76" w14:textId="77777777" w:rsidR="004928CC" w:rsidRPr="00CC22A8" w:rsidRDefault="004928CC">
      <w:pPr>
        <w:rPr>
          <w:color w:val="000000" w:themeColor="text1"/>
        </w:rPr>
      </w:pPr>
    </w:p>
    <w:p w14:paraId="78F49E74" w14:textId="77777777" w:rsidR="004928CC" w:rsidRPr="00CC22A8" w:rsidRDefault="000467C6">
      <w:pPr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i=1,⋯,n</m:t>
              </m:r>
            </m:e>
          </m:d>
        </m:oMath>
      </m:oMathPara>
    </w:p>
    <w:p w14:paraId="2FF693D2" w14:textId="77777777" w:rsidR="004928CC" w:rsidRPr="00CC22A8" w:rsidRDefault="000467C6">
      <w:pPr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-</m:t>
          </m:r>
          <m:acc>
            <m:accPr>
              <m:chr m:val="̃"/>
              <m:ctrlPr>
                <w:rPr>
                  <w:rFonts w:ascii="Cambria Math" w:hAnsi="Cambria Math"/>
                  <w:color w:val="000000" w:themeColor="text1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i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 w:hint="eastAsia"/>
              <w:color w:val="000000" w:themeColor="text1"/>
            </w:rPr>
            <m:t>≤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 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color w:val="000000" w:themeColor="text1"/>
            </w:rPr>
            <m:t>≥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0, </m:t>
          </m:r>
          <m:r>
            <m:rPr>
              <m:sty m:val="p"/>
            </m:rPr>
            <w:rPr>
              <w:rFonts w:ascii="Cambria Math" w:hAnsi="Cambria Math" w:hint="eastAsia"/>
              <w:color w:val="000000" w:themeColor="text1"/>
            </w:rPr>
            <m:t>∀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i</m:t>
          </m:r>
        </m:oMath>
      </m:oMathPara>
    </w:p>
    <w:p w14:paraId="741E16E3" w14:textId="77777777" w:rsidR="004928CC" w:rsidRPr="00CC22A8" w:rsidRDefault="000467C6">
      <w:pPr>
        <w:rPr>
          <w:color w:val="000000" w:themeColor="text1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color w:val="000000" w:themeColor="text1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i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-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color w:val="000000" w:themeColor="text1"/>
            </w:rPr>
            <m:t>≤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 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color w:val="000000" w:themeColor="text1"/>
            </w:rPr>
            <m:t>≥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0, </m:t>
          </m:r>
          <m:r>
            <m:rPr>
              <m:sty m:val="p"/>
            </m:rPr>
            <w:rPr>
              <w:rFonts w:ascii="Cambria Math" w:hAnsi="Cambria Math" w:hint="eastAsia"/>
              <w:color w:val="000000" w:themeColor="text1"/>
            </w:rPr>
            <m:t>∀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i</m:t>
          </m:r>
        </m:oMath>
      </m:oMathPara>
    </w:p>
    <w:p w14:paraId="4C66D0E9" w14:textId="77777777" w:rsidR="004928CC" w:rsidRPr="00CC22A8" w:rsidRDefault="000467C6">
      <w:pPr>
        <w:rPr>
          <w:color w:val="000000" w:themeColor="text1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color w:val="000000" w:themeColor="text1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i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i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rPr>
              <w:rFonts w:ascii="Cambria Math" w:hAnsi="Cambria Math" w:hint="eastAsia"/>
              <w:color w:val="000000" w:themeColor="text1"/>
            </w:rPr>
            <m:t>≤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h</m:t>
          </m:r>
        </m:oMath>
      </m:oMathPara>
    </w:p>
    <w:p w14:paraId="6F367F51" w14:textId="77777777" w:rsidR="004928CC" w:rsidRPr="00CC22A8" w:rsidRDefault="000467C6">
      <w:pPr>
        <w:rPr>
          <w:color w:val="000000" w:themeColor="text1"/>
        </w:rPr>
      </w:pPr>
      <m:oMathPara>
        <m:oMath>
          <m:sSubSup>
            <m:sSubSupPr>
              <m:ctrlPr>
                <w:rPr>
                  <w:rFonts w:ascii="Cambria Math" w:hAnsi="Cambria Math"/>
                  <w:color w:val="000000" w:themeColor="text1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χ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s</m:t>
              </m:r>
            </m:sup>
          </m:sSubSup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</m:t>
          </m:r>
          <m:sSubSup>
            <m:sSubSupPr>
              <m:ctrlPr>
                <w:rPr>
                  <w:rFonts w:ascii="Cambria Math" w:hAnsi="Cambria Math"/>
                  <w:color w:val="000000" w:themeColor="text1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s</m:t>
              </m:r>
            </m:sup>
          </m:sSubSup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V</m:t>
          </m:r>
        </m:oMath>
      </m:oMathPara>
    </w:p>
    <w:p w14:paraId="509BC048" w14:textId="77777777" w:rsidR="004928CC" w:rsidRPr="00CC22A8" w:rsidRDefault="000467C6">
      <w:pPr>
        <w:rPr>
          <w:color w:val="000000" w:themeColor="text1"/>
        </w:rPr>
      </w:pPr>
      <m:oMathPara>
        <m:oMath>
          <m:sSubSup>
            <m:sSubSupPr>
              <m:ctrlPr>
                <w:rPr>
                  <w:rFonts w:ascii="Cambria Math" w:hAnsi="Cambria Math"/>
                  <w:color w:val="000000" w:themeColor="text1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χ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l</m:t>
              </m:r>
            </m:sup>
          </m:sSubSup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</m:t>
          </m:r>
          <m:sSubSup>
            <m:sSubSupPr>
              <m:ctrlPr>
                <w:rPr>
                  <w:rFonts w:ascii="Cambria Math" w:hAnsi="Cambria Math"/>
                  <w:color w:val="000000" w:themeColor="text1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l</m:t>
              </m:r>
            </m:sup>
          </m:sSubSup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V</m:t>
          </m:r>
        </m:oMath>
      </m:oMathPara>
    </w:p>
    <w:p w14:paraId="3336275D" w14:textId="77777777" w:rsidR="004928CC" w:rsidRPr="00CC22A8" w:rsidRDefault="000467C6">
      <w:pPr>
        <w:rPr>
          <w:color w:val="000000" w:themeColor="text1"/>
        </w:rPr>
      </w:pPr>
      <m:oMathPara>
        <m:oMath>
          <m:func>
            <m:funcPr>
              <m:ctrlPr>
                <w:rPr>
                  <w:rFonts w:ascii="Cambria Math" w:hAnsi="Cambria Math"/>
                  <w:color w:val="000000" w:themeColor="text1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min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x,y,z</m:t>
                  </m:r>
                </m:sub>
              </m:sSub>
            </m:fName>
            <m:e>
              <m:sSup>
                <m:sSup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T</m:t>
                  </m:r>
                </m:sup>
              </m:sSup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e>
          </m:func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Qx</m:t>
          </m:r>
        </m:oMath>
      </m:oMathPara>
    </w:p>
    <w:p w14:paraId="58D62390" w14:textId="77777777" w:rsidR="004928CC" w:rsidRPr="00CC22A8" w:rsidRDefault="000467C6">
      <w:pPr>
        <w:rPr>
          <w:color w:val="000000" w:themeColor="text1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color w:val="000000" w:themeColor="text1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i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μ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χ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i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l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χ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i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s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eastAsia"/>
                      <w:color w:val="000000" w:themeColor="text1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r</m:t>
                  </m:r>
                </m:e>
              </m:d>
            </m:e>
          </m:nary>
        </m:oMath>
      </m:oMathPara>
    </w:p>
    <w:p w14:paraId="27A17694" w14:textId="77777777" w:rsidR="004928CC" w:rsidRPr="00CC22A8" w:rsidRDefault="000467C6">
      <w:pPr>
        <w:rPr>
          <w:color w:val="000000" w:themeColor="text1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color w:val="000000" w:themeColor="text1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=1</m:t>
          </m:r>
        </m:oMath>
      </m:oMathPara>
    </w:p>
    <w:p w14:paraId="11A823BA" w14:textId="77777777" w:rsidR="004928CC" w:rsidRPr="00CC22A8" w:rsidRDefault="000467C6">
      <w:pPr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-</m:t>
          </m:r>
          <m:acc>
            <m:accPr>
              <m:chr m:val="̃"/>
              <m:ctrlPr>
                <w:rPr>
                  <w:rFonts w:ascii="Cambria Math" w:hAnsi="Cambria Math"/>
                  <w:color w:val="000000" w:themeColor="text1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i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 w:hint="eastAsia"/>
              <w:color w:val="000000" w:themeColor="text1"/>
            </w:rPr>
            <m:t>≤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 </m:t>
          </m:r>
          <m:d>
            <m:dPr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i=0,⋯,n</m:t>
              </m:r>
            </m:e>
          </m:d>
        </m:oMath>
      </m:oMathPara>
    </w:p>
    <w:p w14:paraId="31EFCFA4" w14:textId="77777777" w:rsidR="004928CC" w:rsidRPr="00CC22A8" w:rsidRDefault="000467C6">
      <w:pPr>
        <w:rPr>
          <w:color w:val="000000" w:themeColor="text1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color w:val="000000" w:themeColor="text1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i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-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color w:val="000000" w:themeColor="text1"/>
            </w:rPr>
            <m:t>≤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 </m:t>
          </m:r>
          <m:d>
            <m:dPr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i=0,⋯,n</m:t>
              </m:r>
            </m:e>
          </m:d>
        </m:oMath>
      </m:oMathPara>
    </w:p>
    <w:p w14:paraId="2383B559" w14:textId="77777777" w:rsidR="004928CC" w:rsidRPr="00CC22A8" w:rsidRDefault="000467C6">
      <w:pPr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color w:val="000000" w:themeColor="text1"/>
            </w:rPr>
            <m:t>≤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0</m:t>
          </m:r>
        </m:oMath>
      </m:oMathPara>
    </w:p>
    <w:p w14:paraId="28426D44" w14:textId="77777777" w:rsidR="004928CC" w:rsidRPr="00CC22A8" w:rsidRDefault="000467C6">
      <w:pPr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color w:val="000000" w:themeColor="text1"/>
            </w:rPr>
            <m:t>≤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0</m:t>
          </m:r>
        </m:oMath>
      </m:oMathPara>
    </w:p>
    <w:p w14:paraId="4C49A287" w14:textId="77777777" w:rsidR="004928CC" w:rsidRPr="00CC22A8" w:rsidRDefault="000467C6">
      <w:pPr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m:rPr>
                  <m:scr m:val="script"/>
                  <m:sty m:val="p"/>
                </m:rPr>
                <w:rPr>
                  <w:rFonts w:ascii="Cambria Math" w:hAnsi="Cambria Math"/>
                  <w:color w:val="000000" w:themeColor="text1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color w:val="000000" w:themeColor="text1"/>
            </w:rPr>
            <m:t>∪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⋯</m:t>
          </m:r>
          <m:r>
            <m:rPr>
              <m:sty m:val="p"/>
            </m:rPr>
            <w:rPr>
              <w:rFonts w:ascii="Cambria Math" w:hAnsi="Cambria Math" w:hint="eastAsia"/>
              <w:color w:val="000000" w:themeColor="text1"/>
            </w:rPr>
            <m:t>∪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m:rPr>
                  <m:scr m:val="script"/>
                  <m:sty m:val="p"/>
                </m:rPr>
                <w:rPr>
                  <w:rFonts w:ascii="Cambria Math" w:hAnsi="Cambria Math"/>
                  <w:color w:val="000000" w:themeColor="text1"/>
                </w:rPr>
                <m:t>I</m:t>
              </m:r>
            </m:e>
            <m:sub>
              <m:r>
                <m:rPr>
                  <m:scr m:val="script"/>
                  <m:sty m:val="p"/>
                </m:rPr>
                <w:rPr>
                  <w:rFonts w:ascii="Cambria Math" w:hAnsi="Cambria Math"/>
                  <w:color w:val="000000" w:themeColor="text1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1,⋯ n</m:t>
              </m:r>
            </m:e>
          </m:d>
        </m:oMath>
      </m:oMathPara>
    </w:p>
    <w:p w14:paraId="5E412E52" w14:textId="77777777" w:rsidR="004928CC" w:rsidRPr="00CC22A8" w:rsidRDefault="000467C6">
      <w:pPr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  <w:color w:val="000000" w:themeColor="text1"/>
                </w:rPr>
                <m:t>l</m:t>
              </m:r>
              <m:ctrlPr>
                <w:rPr>
                  <w:rFonts w:ascii="Cambria Math" w:hAnsi="Cambria Math" w:hint="eastAsia"/>
                  <w:color w:val="000000" w:themeColor="text1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color w:val="000000" w:themeColor="text1"/>
            </w:rPr>
            <m:t>≤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color w:val="000000" w:themeColor="text1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hint="eastAsia"/>
                  <w:color w:val="000000" w:themeColor="text1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I</m:t>
                  </m:r>
                </m:e>
                <m:sub>
                  <m:r>
                    <m:rPr>
                      <m:scr m:val="script"/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j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 w:hint="eastAsia"/>
              <w:color w:val="000000" w:themeColor="text1"/>
            </w:rPr>
            <m:t>≤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j</m:t>
              </m:r>
            </m:sub>
          </m:sSub>
        </m:oMath>
      </m:oMathPara>
    </w:p>
    <w:p w14:paraId="158A457D" w14:textId="77777777" w:rsidR="008E50CB" w:rsidRPr="00CC22A8" w:rsidRDefault="008E50CB">
      <w:pPr>
        <w:rPr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0</m:t>
          </m:r>
          <m:r>
            <m:rPr>
              <m:sty m:val="p"/>
            </m:rPr>
            <w:rPr>
              <w:rFonts w:ascii="Cambria Math" w:hAnsi="Cambria Math" w:hint="eastAsia"/>
              <w:color w:val="000000" w:themeColor="text1"/>
            </w:rPr>
            <m:t>≤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color w:val="000000" w:themeColor="text1"/>
            </w:rPr>
            <m:t>≤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color w:val="000000" w:themeColor="text1"/>
            </w:rPr>
            <m:t>≤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1</m:t>
          </m:r>
        </m:oMath>
      </m:oMathPara>
    </w:p>
    <w:p w14:paraId="39E76AAB" w14:textId="77777777" w:rsidR="008E50CB" w:rsidRPr="00CC22A8" w:rsidRDefault="008E50CB">
      <w:pPr>
        <w:rPr>
          <w:color w:val="000000" w:themeColor="text1"/>
        </w:rPr>
      </w:pPr>
      <m:oMathPara>
        <m:oMath>
          <m:r>
            <m:rPr>
              <m:scr m:val="script"/>
              <m:sty m:val="p"/>
            </m:rPr>
            <w:rPr>
              <w:rFonts w:ascii="Cambria Math" w:hAnsi="Cambria Math"/>
              <w:color w:val="000000" w:themeColor="text1"/>
            </w:rPr>
            <m:t>I</m:t>
          </m:r>
          <m:r>
            <m:rPr>
              <m:sty m:val="p"/>
            </m:rPr>
            <w:rPr>
              <w:rFonts w:ascii="Cambria Math" w:hAnsi="Cambria Math" w:hint="eastAsia"/>
              <w:color w:val="000000" w:themeColor="text1"/>
            </w:rPr>
            <m:t>⊆</m:t>
          </m:r>
          <m:d>
            <m:dPr>
              <m:begChr m:val="{"/>
              <m:endChr m:val="}"/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1,2⋯,n</m:t>
              </m:r>
            </m:e>
          </m:d>
        </m:oMath>
      </m:oMathPara>
    </w:p>
    <w:p w14:paraId="34E4D883" w14:textId="77777777" w:rsidR="008E50CB" w:rsidRPr="00CC22A8" w:rsidRDefault="000467C6">
      <w:pPr>
        <w:rPr>
          <w:color w:val="000000" w:themeColor="text1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color w:val="000000" w:themeColor="text1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hint="eastAsia"/>
                  <w:color w:val="000000" w:themeColor="text1"/>
                </w:rPr>
                <m:t>∈</m:t>
              </m:r>
              <m:r>
                <m:rPr>
                  <m:scr m:val="script"/>
                  <m:sty m:val="p"/>
                </m:rPr>
                <w:rPr>
                  <w:rFonts w:ascii="Cambria Math" w:hAnsi="Cambria Math"/>
                  <w:color w:val="000000" w:themeColor="text1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 w:hint="eastAsia"/>
              <w:color w:val="000000" w:themeColor="text1"/>
            </w:rPr>
            <m:t>≤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0.25</m:t>
          </m:r>
        </m:oMath>
      </m:oMathPara>
    </w:p>
    <w:p w14:paraId="5B7715E1" w14:textId="77777777" w:rsidR="008E50CB" w:rsidRPr="00CC22A8" w:rsidRDefault="000467C6">
      <w:pPr>
        <w:rPr>
          <w:color w:val="000000" w:themeColor="text1"/>
        </w:rPr>
      </w:pPr>
      <m:oMathPara>
        <m:oMath>
          <m:func>
            <m:funcPr>
              <m:ctrlPr>
                <w:rPr>
                  <w:rFonts w:ascii="Cambria Math" w:hAnsi="Cambria Math"/>
                  <w:color w:val="000000" w:themeColor="text1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min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T</m:t>
                  </m:r>
                </m:sup>
              </m:sSup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e>
          </m:func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Qx</m:t>
          </m:r>
        </m:oMath>
      </m:oMathPara>
    </w:p>
    <w:p w14:paraId="240FBA74" w14:textId="77777777" w:rsidR="008E50CB" w:rsidRPr="00CC22A8" w:rsidRDefault="000467C6">
      <w:pPr>
        <w:rPr>
          <w:color w:val="000000" w:themeColor="text1"/>
        </w:rPr>
      </w:pPr>
      <m:oMathPara>
        <m:oMath>
          <m:sSup>
            <m:sSupPr>
              <m:ctrlPr>
                <w:rPr>
                  <w:rFonts w:ascii="Cambria Math" w:hAnsi="Cambria Math"/>
                  <w:color w:val="000000" w:themeColor="text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μ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x</m:t>
          </m:r>
          <m:r>
            <m:rPr>
              <m:sty m:val="p"/>
            </m:rPr>
            <w:rPr>
              <w:rFonts w:ascii="Cambria Math" w:hAnsi="Cambria Math" w:hint="eastAsia"/>
              <w:color w:val="000000" w:themeColor="text1"/>
            </w:rPr>
            <m:t>≥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r</m:t>
          </m:r>
        </m:oMath>
      </m:oMathPara>
    </w:p>
    <w:p w14:paraId="537AEAC7" w14:textId="77777777" w:rsidR="008E50CB" w:rsidRPr="00CC22A8" w:rsidRDefault="008E50CB">
      <w:pPr>
        <w:rPr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Ax</m:t>
          </m:r>
          <m:r>
            <m:rPr>
              <m:sty m:val="p"/>
            </m:rPr>
            <w:rPr>
              <w:rFonts w:ascii="Cambria Math" w:hAnsi="Cambria Math" w:hint="eastAsia"/>
              <w:color w:val="000000" w:themeColor="text1"/>
            </w:rPr>
            <m:t>≥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a</m:t>
          </m:r>
        </m:oMath>
      </m:oMathPara>
    </w:p>
    <w:p w14:paraId="2D8DC3B6" w14:textId="77777777" w:rsidR="008E50CB" w:rsidRPr="00CC22A8" w:rsidRDefault="008E50CB">
      <w:pPr>
        <w:rPr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Bx=b</m:t>
          </m:r>
        </m:oMath>
      </m:oMathPara>
    </w:p>
    <w:p w14:paraId="3299FAC7" w14:textId="77777777" w:rsidR="008E50CB" w:rsidRPr="008E50CB" w:rsidRDefault="008E50CB">
      <w:pPr>
        <w:rPr>
          <w:color w:val="008000"/>
        </w:rPr>
      </w:pPr>
    </w:p>
    <w:p w14:paraId="58368014" w14:textId="77777777" w:rsidR="008E50CB" w:rsidRPr="008E50CB" w:rsidRDefault="008E50CB">
      <w:pPr>
        <w:rPr>
          <w:color w:val="008000"/>
        </w:rPr>
      </w:pPr>
    </w:p>
    <w:p w14:paraId="3DDC6CA9" w14:textId="77777777" w:rsidR="008E50CB" w:rsidRPr="008E50CB" w:rsidRDefault="008E50CB">
      <w:pPr>
        <w:rPr>
          <w:color w:val="008000"/>
        </w:rPr>
      </w:pPr>
    </w:p>
    <w:p w14:paraId="4C4170BA" w14:textId="77777777" w:rsidR="008E50CB" w:rsidRPr="008E50CB" w:rsidRDefault="008E50CB">
      <w:pPr>
        <w:rPr>
          <w:color w:val="008000"/>
        </w:rPr>
      </w:pPr>
    </w:p>
    <w:p w14:paraId="058E678A" w14:textId="77777777" w:rsidR="008E50CB" w:rsidRPr="004928CC" w:rsidRDefault="008E50CB">
      <w:pPr>
        <w:rPr>
          <w:color w:val="008000"/>
        </w:rPr>
      </w:pPr>
    </w:p>
    <w:p w14:paraId="4326D60D" w14:textId="77777777" w:rsidR="004928CC" w:rsidRPr="004928CC" w:rsidRDefault="004928CC"/>
    <w:sectPr w:rsidR="004928CC" w:rsidRPr="004928CC" w:rsidSect="00E95D01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315"/>
    <w:rsid w:val="000467C6"/>
    <w:rsid w:val="004928CC"/>
    <w:rsid w:val="008E50CB"/>
    <w:rsid w:val="00BC3038"/>
    <w:rsid w:val="00C70315"/>
    <w:rsid w:val="00CC22A8"/>
    <w:rsid w:val="00E95D01"/>
    <w:rsid w:val="00ED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535C4"/>
  <w15:chartTrackingRefBased/>
  <w15:docId w15:val="{81B1FB46-D482-F94B-A8E2-68C625ED8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03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07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(학생) 김가헌 (자연과학부)</dc:creator>
  <cp:keywords/>
  <dc:description/>
  <cp:lastModifiedBy>Kim Daham</cp:lastModifiedBy>
  <cp:revision>4</cp:revision>
  <dcterms:created xsi:type="dcterms:W3CDTF">2019-12-01T13:05:00Z</dcterms:created>
  <dcterms:modified xsi:type="dcterms:W3CDTF">2019-12-02T08:27:00Z</dcterms:modified>
</cp:coreProperties>
</file>