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i w:val="0"/>
          <w:color w:val="193D62"/>
          <w:sz w:val="34"/>
        </w:rPr>
        <w:t>[YOUR NAME]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505050"/>
          <w:sz w:val="17"/>
        </w:rPr>
        <w:t>Oxford, UK  |  [phone]  |  [email]  |  [LinkedIn]  |  [GitHub]</w:t>
      </w:r>
    </w:p>
    <w:p>
      <w:pPr>
        <w:keepNext/>
        <w:spacing w:before="100" w:after="20"/>
        <w:pBdr>
          <w:bottom w:val="single" w:sz="6" w:space="2" w:color="193D62"/>
        </w:pBdr>
      </w:pPr>
      <w:r>
        <w:rPr>
          <w:rFonts w:ascii="Aptos" w:hAnsi="Aptos"/>
          <w:b/>
          <w:i w:val="0"/>
          <w:color w:val="193D62"/>
          <w:sz w:val="20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376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University of Oxford — MEng Engineering Science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Expected 2030</w:t>
            </w:r>
          </w:p>
        </w:tc>
      </w:tr>
    </w:tbl>
    <w:p>
      <w:pPr>
        <w:spacing w:after="20"/>
      </w:pPr>
      <w:r>
        <w:rPr>
          <w:rFonts w:ascii="Aptos" w:hAnsi="Aptos"/>
          <w:b w:val="0"/>
          <w:i w:val="0"/>
          <w:sz w:val="17"/>
        </w:rPr>
        <w:t xml:space="preserve">Incoming first-year student. Relevant areas: probability, computing, electronics and applied mathematics. </w:t>
      </w:r>
      <w:r>
        <w:rPr>
          <w:rFonts w:ascii="Aptos" w:hAnsi="Aptos"/>
          <w:b w:val="0"/>
          <w:i/>
          <w:color w:val="505050"/>
          <w:sz w:val="17"/>
        </w:rPr>
        <w:t>Replace this line with verified grades, awards or modules only.</w:t>
      </w:r>
    </w:p>
    <w:p>
      <w:pPr>
        <w:keepNext/>
        <w:spacing w:before="100" w:after="20"/>
        <w:pBdr>
          <w:bottom w:val="single" w:sz="6" w:space="2" w:color="193D62"/>
        </w:pBdr>
      </w:pPr>
      <w:r>
        <w:rPr>
          <w:rFonts w:ascii="Aptos" w:hAnsi="Aptos"/>
          <w:b/>
          <w:i w:val="0"/>
          <w:color w:val="193D62"/>
          <w:sz w:val="20"/>
        </w:rPr>
        <w:t>SELECTED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376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ETF Momentum Research | Python, pandas, NumPy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2011–2026</w:t>
            </w:r>
          </w:p>
        </w:tc>
      </w:tr>
    </w:tbl>
    <w:p>
      <w:pPr>
        <w:pStyle w:val="ListBullet"/>
        <w:spacing w:after="10" w:line="240" w:lineRule="auto"/>
        <w:ind w:left="245" w:hanging="144"/>
      </w:pPr>
      <w:r>
        <w:rPr>
          <w:rFonts w:ascii="Aptos" w:hAnsi="Aptos"/>
          <w:b w:val="0"/>
          <w:i w:val="0"/>
          <w:sz w:val="17"/>
        </w:rPr>
        <w:t>Built a reproducible 24-ETF, monthly 12–1 momentum backtest with a one-trading-day signal lag, explicit 10 bps one-way trading costs, research/out-of-sample separation and cached raw data.</w:t>
      </w:r>
    </w:p>
    <w:p>
      <w:pPr>
        <w:pStyle w:val="ListBullet"/>
        <w:spacing w:after="10" w:line="240" w:lineRule="auto"/>
        <w:ind w:left="245" w:hanging="144"/>
      </w:pPr>
      <w:r>
        <w:rPr>
          <w:rFonts w:ascii="Aptos" w:hAnsi="Aptos"/>
          <w:b w:val="0"/>
          <w:i w:val="0"/>
          <w:sz w:val="17"/>
        </w:rPr>
        <w:t>Benchmarked equal-weight, momentum, inverse-volatility and 200-day SPY regime-filter variants; reported CAGR, volatility, Sharpe, drawdown and turnover, while documenting selection, execution and capacity limitations.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376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Option Pricing &amp; Hedging Lab | Python, Monte Carlo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2026</w:t>
            </w:r>
          </w:p>
        </w:tc>
      </w:tr>
    </w:tbl>
    <w:p>
      <w:pPr>
        <w:pStyle w:val="ListBullet"/>
        <w:spacing w:after="10" w:line="240" w:lineRule="auto"/>
        <w:ind w:left="245" w:hanging="144"/>
      </w:pPr>
      <w:r>
        <w:rPr>
          <w:rFonts w:ascii="Aptos" w:hAnsi="Aptos"/>
          <w:b w:val="0"/>
          <w:i w:val="0"/>
          <w:sz w:val="17"/>
        </w:rPr>
        <w:t>Implemented Black–Scholes prices and Greeks, Monte Carlo valuation and finite-difference checks; unit-tested put–call parity, convergence and numerical Greek error bounds.</w:t>
      </w:r>
    </w:p>
    <w:p>
      <w:pPr>
        <w:pStyle w:val="ListBullet"/>
        <w:spacing w:after="10" w:line="240" w:lineRule="auto"/>
        <w:ind w:left="245" w:hanging="144"/>
      </w:pPr>
      <w:r>
        <w:rPr>
          <w:rFonts w:ascii="Aptos" w:hAnsi="Aptos"/>
          <w:b w:val="0"/>
          <w:i w:val="0"/>
          <w:sz w:val="17"/>
        </w:rPr>
        <w:t>Simulated daily and weekly discrete delta hedging under volatility misspecification and jump risk, focusing on P&amp;L distribution and model-risk interpretation rather than a trading claim.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376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Applied Materials Equity Research | Fundamental analysis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2026</w:t>
            </w:r>
          </w:p>
        </w:tc>
      </w:tr>
    </w:tbl>
    <w:p>
      <w:pPr>
        <w:pStyle w:val="ListBullet"/>
        <w:spacing w:after="10" w:line="240" w:lineRule="auto"/>
        <w:ind w:left="245" w:hanging="144"/>
      </w:pPr>
      <w:r>
        <w:rPr>
          <w:rFonts w:ascii="Aptos" w:hAnsi="Aptos"/>
          <w:b w:val="0"/>
          <w:i w:val="0"/>
          <w:sz w:val="17"/>
        </w:rPr>
        <w:t>Prepared a watchlist stock-pitch memo using FY2025 10-K and Q3 FY2026 disclosures; linked semiconductor-equipment process complexity, advanced packaging and service revenue to catalysts and disconfirming risks.</w:t>
      </w:r>
    </w:p>
    <w:p>
      <w:pPr>
        <w:keepNext/>
        <w:spacing w:before="100" w:after="20"/>
        <w:pBdr>
          <w:bottom w:val="single" w:sz="6" w:space="2" w:color="193D62"/>
        </w:pBdr>
      </w:pPr>
      <w:r>
        <w:rPr>
          <w:rFonts w:ascii="Aptos" w:hAnsi="Aptos"/>
          <w:b/>
          <w:i w:val="0"/>
          <w:color w:val="193D62"/>
          <w:sz w:val="20"/>
        </w:rPr>
        <w:t>EXPERIENCE &amp; LEADERSHIP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376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[Organisation / team] — [Role]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[Dates]</w:t>
            </w:r>
          </w:p>
        </w:tc>
      </w:tr>
    </w:tbl>
    <w:p>
      <w:pPr>
        <w:pStyle w:val="ListBullet"/>
        <w:spacing w:after="10" w:line="240" w:lineRule="auto"/>
        <w:ind w:left="245" w:hanging="144"/>
      </w:pPr>
      <w:r>
        <w:rPr>
          <w:rFonts w:ascii="Aptos" w:hAnsi="Aptos"/>
          <w:b w:val="0"/>
          <w:i w:val="0"/>
          <w:sz w:val="17"/>
        </w:rPr>
        <w:t>[Use one evidence-based bullet: the task, your personal contribution, the method used and a verified outcome.]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376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[Organisation / team] — [Role]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[Dates]</w:t>
            </w:r>
          </w:p>
        </w:tc>
      </w:tr>
    </w:tbl>
    <w:p>
      <w:pPr>
        <w:pStyle w:val="ListBullet"/>
        <w:spacing w:after="10" w:line="240" w:lineRule="auto"/>
        <w:ind w:left="245" w:hanging="144"/>
      </w:pPr>
      <w:r>
        <w:rPr>
          <w:rFonts w:ascii="Aptos" w:hAnsi="Aptos"/>
          <w:b w:val="0"/>
          <w:i w:val="0"/>
          <w:sz w:val="17"/>
        </w:rPr>
        <w:t>[Add a second genuine experience, engineering build, competition or leadership example. Do not invent metrics.]</w:t>
      </w:r>
    </w:p>
    <w:p>
      <w:pPr>
        <w:keepNext/>
        <w:spacing w:before="100" w:after="20"/>
        <w:pBdr>
          <w:bottom w:val="single" w:sz="6" w:space="2" w:color="193D62"/>
        </w:pBdr>
      </w:pPr>
      <w:r>
        <w:rPr>
          <w:rFonts w:ascii="Aptos" w:hAnsi="Aptos"/>
          <w:b/>
          <w:i w:val="0"/>
          <w:color w:val="193D62"/>
          <w:sz w:val="20"/>
        </w:rPr>
        <w:t>SKILLS &amp; INTERESTS</w:t>
      </w:r>
    </w:p>
    <w:p>
      <w:pPr>
        <w:spacing w:after="0"/>
      </w:pPr>
      <w:r>
        <w:rPr>
          <w:rFonts w:ascii="Aptos" w:hAnsi="Aptos"/>
          <w:b/>
          <w:i w:val="0"/>
          <w:sz w:val="17"/>
        </w:rPr>
        <w:t xml:space="preserve">Technical: </w:t>
      </w:r>
      <w:r>
        <w:rPr>
          <w:rFonts w:ascii="Aptos" w:hAnsi="Aptos"/>
          <w:b w:val="0"/>
          <w:i w:val="0"/>
          <w:sz w:val="17"/>
        </w:rPr>
        <w:t xml:space="preserve">Python, NumPy, pandas, Git; [add SQL only if you can use it live].  </w:t>
      </w:r>
      <w:r>
        <w:rPr>
          <w:rFonts w:ascii="Aptos" w:hAnsi="Aptos"/>
          <w:b/>
          <w:i w:val="0"/>
          <w:sz w:val="17"/>
        </w:rPr>
        <w:t xml:space="preserve">Finance: </w:t>
      </w:r>
      <w:r>
        <w:rPr>
          <w:rFonts w:ascii="Aptos" w:hAnsi="Aptos"/>
          <w:b w:val="0"/>
          <w:i w:val="0"/>
          <w:sz w:val="17"/>
        </w:rPr>
        <w:t xml:space="preserve">quantitative research, derivatives simulation, company research.  </w:t>
      </w:r>
      <w:r>
        <w:rPr>
          <w:rFonts w:ascii="Aptos" w:hAnsi="Aptos"/>
          <w:b/>
          <w:i w:val="0"/>
          <w:sz w:val="17"/>
        </w:rPr>
        <w:t xml:space="preserve">Interests: </w:t>
      </w:r>
      <w:r>
        <w:rPr>
          <w:rFonts w:ascii="Aptos" w:hAnsi="Aptos"/>
          <w:b w:val="0"/>
          <w:i w:val="0"/>
          <w:sz w:val="17"/>
        </w:rPr>
        <w:t>[one genuine interest that can start a conversation].</w:t>
      </w:r>
    </w:p>
    <w:p>
      <w:pPr>
        <w:spacing w:before="60"/>
        <w:jc w:val="center"/>
      </w:pPr>
      <w:r>
        <w:rPr>
          <w:rFonts w:ascii="Aptos" w:hAnsi="Aptos"/>
          <w:b w:val="0"/>
          <w:i/>
          <w:color w:val="505050"/>
          <w:sz w:val="15"/>
        </w:rPr>
        <w:t>Template note: personalise every bracketed field and be ready to explain every completed bullet for two minutes.</w:t>
      </w:r>
    </w:p>
    <w:sectPr w:rsidR="00FC693F" w:rsidRPr="0006063C" w:rsidSect="00034616">
      <w:pgSz w:w="12240" w:h="15840"/>
      <w:pgMar w:top="547" w:right="835" w:bottom="51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