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2025년 RISE사업 지식재산권 지원 프로그램</w:t>
        <w:br/>
        <w:t>지식재산권(특허) 신청서</w:t>
      </w:r>
    </w:p>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Pr>
          <w:p>
            <w:pPr>
              <w:spacing w:after="0"/>
            </w:pPr>
            <w:r>
              <w:rPr>
                <w:rFonts w:ascii="Malgun Gothic" w:hAnsi="Malgun Gothic"/>
                <w:sz w:val="20"/>
              </w:rPr>
              <w:t>책임교수</w:t>
            </w:r>
          </w:p>
        </w:tc>
        <w:tc>
          <w:tcPr>
            <w:tcW w:type="dxa" w:w="2493"/>
            <w:vAlign w:val="center"/>
          </w:tcPr>
          <w:p>
            <w:pPr>
              <w:spacing w:after="0"/>
            </w:pPr>
            <w:r>
              <w:rPr>
                <w:rFonts w:ascii="Malgun Gothic" w:hAnsi="Malgun Gothic"/>
                <w:sz w:val="20"/>
              </w:rPr>
              <w:t>[확인 필요]</w:t>
            </w:r>
          </w:p>
        </w:tc>
        <w:tc>
          <w:tcPr>
            <w:tcW w:type="dxa" w:w="2493"/>
            <w:vAlign w:val="center"/>
          </w:tcPr>
          <w:p>
            <w:pPr>
              <w:spacing w:after="0"/>
            </w:pPr>
            <w:r>
              <w:rPr>
                <w:rFonts w:ascii="Malgun Gothic" w:hAnsi="Malgun Gothic"/>
                <w:sz w:val="20"/>
              </w:rPr>
              <w:t>학과/지위</w:t>
            </w:r>
          </w:p>
        </w:tc>
        <w:tc>
          <w:tcPr>
            <w:tcW w:type="dxa" w:w="2493"/>
            <w:vAlign w:val="center"/>
          </w:tcPr>
          <w:p>
            <w:pPr>
              <w:spacing w:after="0"/>
            </w:pPr>
            <w:r>
              <w:rPr>
                <w:rFonts w:ascii="Malgun Gothic" w:hAnsi="Malgun Gothic"/>
                <w:sz w:val="20"/>
              </w:rPr>
              <w:t>[확인 필요]</w:t>
            </w:r>
          </w:p>
        </w:tc>
      </w:tr>
      <w:tr>
        <w:tc>
          <w:tcPr>
            <w:tcW w:type="dxa" w:w="2493"/>
            <w:vAlign w:val="center"/>
          </w:tcPr>
          <w:p>
            <w:pPr>
              <w:spacing w:after="0"/>
            </w:pPr>
            <w:r>
              <w:rPr>
                <w:rFonts w:ascii="Malgun Gothic" w:hAnsi="Malgun Gothic"/>
                <w:sz w:val="20"/>
              </w:rPr>
              <w:t>참여학생</w:t>
            </w:r>
          </w:p>
        </w:tc>
        <w:tc>
          <w:tcPr>
            <w:tcW w:type="dxa" w:w="2493"/>
            <w:vAlign w:val="center"/>
          </w:tcPr>
          <w:p>
            <w:pPr>
              <w:spacing w:after="0"/>
            </w:pPr>
            <w:r>
              <w:rPr>
                <w:rFonts w:ascii="Malgun Gothic" w:hAnsi="Malgun Gothic"/>
                <w:sz w:val="20"/>
              </w:rPr>
              <w:t>김준성</w:t>
            </w:r>
          </w:p>
        </w:tc>
        <w:tc>
          <w:tcPr>
            <w:tcW w:type="dxa" w:w="2493"/>
            <w:vAlign w:val="center"/>
          </w:tcPr>
          <w:p>
            <w:pPr>
              <w:spacing w:after="0"/>
            </w:pPr>
            <w:r>
              <w:rPr>
                <w:rFonts w:ascii="Malgun Gothic" w:hAnsi="Malgun Gothic"/>
                <w:sz w:val="20"/>
              </w:rPr>
              <w:t>학과/학년</w:t>
            </w:r>
          </w:p>
        </w:tc>
        <w:tc>
          <w:tcPr>
            <w:tcW w:type="dxa" w:w="2493"/>
            <w:vAlign w:val="center"/>
          </w:tcPr>
          <w:p>
            <w:pPr>
              <w:spacing w:after="0"/>
            </w:pPr>
            <w:r>
              <w:rPr>
                <w:rFonts w:ascii="Malgun Gothic" w:hAnsi="Malgun Gothic"/>
                <w:sz w:val="20"/>
              </w:rPr>
              <w:t>컴퓨터소프트웨어공학과 / 3학년</w:t>
            </w:r>
          </w:p>
        </w:tc>
      </w:tr>
      <w:tr>
        <w:tc>
          <w:tcPr>
            <w:tcW w:type="dxa" w:w="2493"/>
            <w:vAlign w:val="center"/>
          </w:tcPr>
          <w:p>
            <w:pPr>
              <w:spacing w:after="0"/>
            </w:pPr>
            <w:r>
              <w:rPr>
                <w:rFonts w:ascii="Malgun Gothic" w:hAnsi="Malgun Gothic"/>
                <w:sz w:val="20"/>
              </w:rPr>
              <w:t>참여학생</w:t>
            </w:r>
          </w:p>
        </w:tc>
        <w:tc>
          <w:tcPr>
            <w:tcW w:type="dxa" w:w="2493"/>
            <w:vAlign w:val="center"/>
          </w:tcPr>
          <w:p>
            <w:pPr>
              <w:spacing w:after="0"/>
            </w:pPr>
            <w:r>
              <w:rPr>
                <w:rFonts w:ascii="Malgun Gothic" w:hAnsi="Malgun Gothic"/>
                <w:sz w:val="20"/>
              </w:rPr>
            </w:r>
          </w:p>
        </w:tc>
        <w:tc>
          <w:tcPr>
            <w:tcW w:type="dxa" w:w="2493"/>
            <w:vAlign w:val="center"/>
          </w:tcPr>
          <w:p>
            <w:pPr>
              <w:spacing w:after="0"/>
            </w:pPr>
            <w:r>
              <w:rPr>
                <w:rFonts w:ascii="Malgun Gothic" w:hAnsi="Malgun Gothic"/>
                <w:sz w:val="20"/>
              </w:rPr>
              <w:t>학과/학년</w:t>
            </w:r>
          </w:p>
        </w:tc>
        <w:tc>
          <w:tcPr>
            <w:tcW w:type="dxa" w:w="2493"/>
            <w:vAlign w:val="center"/>
          </w:tcPr>
          <w:p>
            <w:pPr>
              <w:spacing w:after="0"/>
            </w:pPr>
            <w:r>
              <w:rPr>
                <w:rFonts w:ascii="Malgun Gothic" w:hAnsi="Malgun Gothic"/>
                <w:sz w:val="20"/>
              </w:rPr>
            </w:r>
          </w:p>
        </w:tc>
      </w:tr>
      <w:tr>
        <w:tc>
          <w:tcPr>
            <w:tcW w:type="dxa" w:w="2493"/>
            <w:vAlign w:val="center"/>
          </w:tcPr>
          <w:p>
            <w:pPr>
              <w:spacing w:after="0"/>
            </w:pPr>
            <w:r>
              <w:rPr>
                <w:rFonts w:ascii="Malgun Gothic" w:hAnsi="Malgun Gothic"/>
                <w:sz w:val="20"/>
              </w:rPr>
              <w:t>참여구분</w:t>
            </w:r>
          </w:p>
        </w:tc>
        <w:tc>
          <w:tcPr>
            <w:tcW w:type="dxa" w:w="2493"/>
            <w:vAlign w:val="center"/>
          </w:tcPr>
          <w:p>
            <w:pPr>
              <w:spacing w:after="0"/>
            </w:pPr>
            <w:r>
              <w:rPr>
                <w:rFonts w:ascii="Malgun Gothic" w:hAnsi="Malgun Gothic"/>
                <w:sz w:val="20"/>
              </w:rPr>
              <w:t>□ 기업 기술지원 프로그램</w:t>
              <w:br/>
              <w:t>□ 고숙련 전문기술 인력양성 참여학과</w:t>
            </w:r>
          </w:p>
        </w:tc>
        <w:tc>
          <w:tcPr>
            <w:tcW w:type="dxa" w:w="2493"/>
            <w:vAlign w:val="center"/>
          </w:tcPr>
          <w:p>
            <w:pPr>
              <w:spacing w:after="0"/>
            </w:pPr>
            <w:r>
              <w:rPr>
                <w:rFonts w:ascii="Malgun Gothic" w:hAnsi="Malgun Gothic"/>
                <w:sz w:val="20"/>
              </w:rPr>
            </w:r>
          </w:p>
        </w:tc>
        <w:tc>
          <w:tcPr>
            <w:tcW w:type="dxa" w:w="2493"/>
            <w:vAlign w:val="center"/>
          </w:tcPr>
          <w:p>
            <w:pPr>
              <w:spacing w:after="0"/>
            </w:pPr>
            <w:r>
              <w:rPr>
                <w:rFonts w:ascii="Malgun Gothic" w:hAnsi="Malgun Gothic"/>
                <w:sz w:val="20"/>
              </w:rPr>
            </w:r>
          </w:p>
        </w:tc>
      </w:tr>
    </w:tbl>
    <w:p/>
    <w:p>
      <w:r>
        <w:rPr>
          <w:b/>
          <w:sz w:val="26"/>
        </w:rPr>
        <w:t>발명기술 상세 설명</w:t>
      </w:r>
    </w:p>
    <w:p>
      <w:pPr>
        <w:spacing w:before="120" w:after="40"/>
      </w:pPr>
      <w:r>
        <w:rPr>
          <w:b/>
          <w:sz w:val="22"/>
        </w:rPr>
        <w:t>1. 기술의 명칭 및 목적</w:t>
      </w:r>
    </w:p>
    <w:p>
      <w:pPr>
        <w:spacing w:after="80" w:line="276" w:lineRule="auto"/>
      </w:pPr>
      <w:r>
        <w:t>본 발명은 복수의 구조 블록과 블록 사이의 접합부로 구성되는 가상 건축 구조물에 외력(진동, 지진 또는 충격·폭발 등)을 인가하고, 블록의 변위 및 접합부의 변형·파괴 상태를 분석하여 구조물의 위험 영역을 자동으로 식별한 후, 위험 영역의 공간적 분포를 이용하여 보강 구조를 자동 생성하고, 보강 후 동일 또는 대응하는 조건에서 구조 안전성을 재검증하는 블록 기반 구조 안전성 분석 및 자동 보강 기술에 관한 것이다.</w:t>
      </w:r>
    </w:p>
    <w:p>
      <w:pPr>
        <w:spacing w:before="120" w:after="40"/>
      </w:pPr>
      <w:r>
        <w:rPr>
          <w:b/>
          <w:sz w:val="22"/>
        </w:rPr>
        <w:t>2. 구성</w:t>
      </w:r>
    </w:p>
    <w:p>
      <w:pPr>
        <w:spacing w:after="80" w:line="276" w:lineRule="auto"/>
      </w:pPr>
      <w:r>
        <w:t>본 시스템은 (1) 구조 블록 생성 및 배치부, (2) 재료별 물성 데이터 관리부, (3) 블록 간 접합부 생성 및 관리부, (4) 외력 시험 및 물리 시뮬레이션부, (5) 블록별 응력·변위 및 접합부 변형량 측정부, (6) 위험도 판정부, (7) 위험 블록의 공간 분포 분석부, (8) 자동 보강 계획 생성부, (9) 보강 결과 저장 및 재시뮬레이션 검증부를 포함한다.</w:t>
      </w:r>
    </w:p>
    <w:p>
      <w:pPr>
        <w:spacing w:before="120" w:after="40"/>
      </w:pPr>
      <w:r>
        <w:rPr>
          <w:b/>
          <w:sz w:val="22"/>
        </w:rPr>
        <w:t>3. 구조 블록 및 접합부의 상태 분석</w:t>
      </w:r>
    </w:p>
    <w:p>
      <w:pPr>
        <w:spacing w:after="80" w:line="276" w:lineRule="auto"/>
      </w:pPr>
      <w:r>
        <w:t>각 구조 블록에는 위치, 재료 및 재료별 인장·압축 등 강도 특성이 연결되며, 인접한 블록 사이에는 물리 접합부가 형성된다. 외력이 인가되는 동안 각 블록의 위치 변화와 접합부 양단의 상대적인 이격 또는 변형량을 측정한다. 접합부의 변형량을 기초로 산출된 인장 응력과 연결된 재료의 인장 저항값을 비교하여 접합부의 파괴 여부를 판정할 수 있다.</w:t>
      </w:r>
    </w:p>
    <w:p>
      <w:pPr>
        <w:spacing w:before="120" w:after="40"/>
      </w:pPr>
      <w:r>
        <w:rPr>
          <w:b/>
          <w:sz w:val="22"/>
        </w:rPr>
        <w:t>4. 위험 영역의 자동 식별</w:t>
      </w:r>
    </w:p>
    <w:p>
      <w:pPr>
        <w:spacing w:after="80" w:line="276" w:lineRule="auto"/>
      </w:pPr>
      <w:r>
        <w:t>시뮬레이션 종료 후 블록별 결과를 위험 상태로 분류한다. 위험 상태에는 일반적인 응력 위험뿐 아니라 진동·지진 또는 충격 시험에서 발생한 위험 및 파괴 상태가 포함될 수 있다. 위험 블록의 3차원 위치를 수집하고, 동일 또는 인접한 공간 격자에 존재하는 위험 블록을 평면상 위험 셀로 변환한다. 이후 인접하지 않은 셀을 구분하고 위험 셀의 외곽 인접 위치를 산출함으로써 단일 블록이 아닌 위험 영역의 공간적 형상을 생성한다.</w:t>
      </w:r>
    </w:p>
    <w:p>
      <w:pPr>
        <w:spacing w:before="120" w:after="40"/>
      </w:pPr>
      <w:r>
        <w:rPr>
          <w:b/>
          <w:sz w:val="22"/>
        </w:rPr>
        <w:t>5. 위험 영역을 이용한 자동 보강 계획 생성</w:t>
      </w:r>
    </w:p>
    <w:p>
      <w:pPr>
        <w:spacing w:after="80" w:line="276" w:lineRule="auto"/>
      </w:pPr>
      <w:r>
        <w:t>생성된 위험 영역의 외곽 위치를 따라 보강 위치 후보를 산출하고, 기존 구조 블록과 중복되는 위치를 제외한다. 위험 영역의 위치와 높이 정보를 이용하여 보강 블록의 위치 및 층별 배치 위치를 결정하며, 보강에 사용할 재료를 선택하여 보강 블록의 계획을 생성한다. 또한 위험 영역의 외곽 형상에서 방향이 변하는 지점을 검출하여 모서리 영역을 고려한 보강 배치를 수행할 수 있다.</w:t>
      </w:r>
    </w:p>
    <w:p>
      <w:pPr>
        <w:spacing w:before="120" w:after="40"/>
      </w:pPr>
      <w:r>
        <w:rPr>
          <w:b/>
          <w:sz w:val="22"/>
        </w:rPr>
        <w:t>6. 보강 결과의 재검증</w:t>
      </w:r>
    </w:p>
    <w:p>
      <w:pPr>
        <w:spacing w:after="80" w:line="276" w:lineRule="auto"/>
      </w:pPr>
      <w:r>
        <w:t>자동 생성된 보강 계획은 구조물의 기존 블록 배치와 분리된 계획 데이터로 저장될 수 있으며, 보강 구조를 실제 구조물에 적용한 후 동일한 시험을 다시 수행할 수 있다. 재시험 결과를 기존 시험 결과와 비교하여 위험 블록의 감소, 최대 변위 변화 또는 접합부 파괴 여부 등의 구조적 변화를 확인한다. 이에 따라 '외력 인가 → 위험 영역 검출 → 보강 위치 생성 → 보강 → 재시뮬레이션'의 폐루프 구조를 구성할 수 있다.</w:t>
      </w:r>
    </w:p>
    <w:p>
      <w:pPr>
        <w:spacing w:before="120" w:after="40"/>
      </w:pPr>
      <w:r>
        <w:rPr>
          <w:b/>
          <w:sz w:val="22"/>
        </w:rPr>
        <w:t>7. 기술적 특징 및 기대 효과</w:t>
      </w:r>
    </w:p>
    <w:p>
      <w:pPr>
        <w:spacing w:after="80" w:line="276" w:lineRule="auto"/>
      </w:pPr>
      <w:r>
        <w:t>본 기술은 연속적인 구조해석 모델에만 의존하지 않고 구조물을 개별 블록과 블록 간 접합부의 집합으로 표현하여, 실제 물리 시뮬레이션에서 발생하는 블록 이동 및 접합부 파괴 결과를 보강 계획에 직접 반영할 수 있다. 특히 위험도가 높은 블록 하나만을 단순 보강하는 것이 아니라 위험 블록의 공간적 분포를 영역으로 변환하고 그 외곽 및 형상에 따라 보강 구조를 생성한다는 점에 기술적 특징이 있다. 또한 보강 후 재시뮬레이션을 통해 보강 전후의 구조 상태를 비교할 수 있어 구조 설계 및 보강안 검증을 반복적으로 수행할 수 있다.</w:t>
      </w:r>
    </w:p>
    <w:p>
      <w:pPr>
        <w:spacing w:before="120" w:after="40"/>
      </w:pPr>
      <w:r>
        <w:rPr>
          <w:b/>
          <w:sz w:val="22"/>
        </w:rPr>
        <w:t>8. 현재 구현 확인 사항</w:t>
      </w:r>
    </w:p>
    <w:p>
      <w:pPr>
        <w:spacing w:after="80" w:line="276" w:lineRule="auto"/>
      </w:pPr>
      <w:r>
        <w:t>제출 프로젝트에는 ReinforcementManager를 통한 보강 계획 생성, CurrentStress.csv 기반 위험 결과 분석, Reinforcement_Plan.csv 및 after_reinforce.csv를 통한 보강 결과 관리, VibrationTestSystem 및 ShockwaveTestSystem을 통한 진동·충격 시험, 블록 간 접합부의 변형량 측정 및 접합부 파괴 판정, 보강 후 접합부 재구성 등의 기능이 구현되어 있다.</w:t>
      </w:r>
    </w:p>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rFonts w:ascii="Malgun Gothic" w:hAnsi="Malgun Gothic"/>
                <w:sz w:val="20"/>
              </w:rPr>
              <w:t>담당교수</w:t>
            </w:r>
          </w:p>
        </w:tc>
        <w:tc>
          <w:tcPr>
            <w:tcW w:type="dxa" w:w="4986"/>
            <w:vAlign w:val="center"/>
          </w:tcPr>
          <w:p>
            <w:r>
              <w:rPr>
                <w:rFonts w:ascii="Malgun Gothic" w:hAnsi="Malgun Gothic"/>
                <w:sz w:val="20"/>
              </w:rPr>
              <w:t>[확인 필요 — 양식 예시에는 김동양으로 기재되어 있으나 실제 담당교수 확인 필요]</w:t>
            </w:r>
          </w:p>
        </w:tc>
      </w:tr>
      <w:tr>
        <w:tc>
          <w:tcPr>
            <w:tcW w:type="dxa" w:w="4986"/>
            <w:vAlign w:val="center"/>
          </w:tcPr>
          <w:p>
            <w:r>
              <w:rPr>
                <w:rFonts w:ascii="Malgun Gothic" w:hAnsi="Malgun Gothic"/>
                <w:sz w:val="20"/>
              </w:rPr>
              <w:t>발명자</w:t>
            </w:r>
          </w:p>
        </w:tc>
        <w:tc>
          <w:tcPr>
            <w:tcW w:type="dxa" w:w="4986"/>
            <w:vAlign w:val="center"/>
          </w:tcPr>
          <w:p>
            <w:r>
              <w:rPr>
                <w:rFonts w:ascii="Malgun Gothic" w:hAnsi="Malgun Gothic"/>
                <w:sz w:val="20"/>
              </w:rPr>
              <w:t>김준성 [담당교수 공동 발명자 여부 확인 필요]</w:t>
            </w:r>
          </w:p>
        </w:tc>
      </w:tr>
      <w:tr>
        <w:tc>
          <w:tcPr>
            <w:tcW w:type="dxa" w:w="4986"/>
            <w:vAlign w:val="center"/>
          </w:tcPr>
          <w:p>
            <w:r>
              <w:rPr>
                <w:rFonts w:ascii="Malgun Gothic" w:hAnsi="Malgun Gothic"/>
                <w:sz w:val="20"/>
              </w:rPr>
              <w:t>발명의 명칭</w:t>
            </w:r>
          </w:p>
        </w:tc>
        <w:tc>
          <w:tcPr>
            <w:tcW w:type="dxa" w:w="4986"/>
            <w:vAlign w:val="center"/>
          </w:tcPr>
          <w:p>
            <w:r>
              <w:rPr>
                <w:rFonts w:ascii="Malgun Gothic" w:hAnsi="Malgun Gothic"/>
                <w:sz w:val="20"/>
              </w:rPr>
              <w:t>블록 기반 구조물의 위험영역 분석 및 자동 보강 설계 방법 및 시스템</w:t>
            </w:r>
          </w:p>
        </w:tc>
      </w:tr>
      <w:tr>
        <w:tc>
          <w:tcPr>
            <w:tcW w:type="dxa" w:w="4986"/>
            <w:vAlign w:val="center"/>
          </w:tcPr>
          <w:p>
            <w:r>
              <w:rPr>
                <w:rFonts w:ascii="Malgun Gothic" w:hAnsi="Malgun Gothic"/>
                <w:sz w:val="20"/>
              </w:rPr>
              <w:t>첨부문서</w:t>
            </w:r>
          </w:p>
        </w:tc>
        <w:tc>
          <w:tcPr>
            <w:tcW w:type="dxa" w:w="4986"/>
            <w:vAlign w:val="center"/>
          </w:tcPr>
          <w:p>
            <w:r>
              <w:rPr>
                <w:rFonts w:ascii="Malgun Gothic" w:hAnsi="Malgun Gothic"/>
                <w:sz w:val="20"/>
              </w:rPr>
              <w:t>1. 구조 안전성 분석 및 자동 보강 기술 상세 설명</w:t>
              <w:br/>
              <w:t>2. 프로젝트 구현 결과 및 보강 계획 데이터</w:t>
              <w:br/>
              <w:t>3. 필요 시 시뮬레이션 결과 이미지 및 구조도</w:t>
            </w:r>
          </w:p>
        </w:tc>
      </w:tr>
    </w:tbl>
    <w:p/>
    <w:p>
      <w:pPr>
        <w:jc w:val="center"/>
      </w:pPr>
      <w:r>
        <w:rPr>
          <w:b/>
        </w:rPr>
        <w:t>상기와 같이 지식재산권 지원 신청합니다.</w:t>
      </w:r>
    </w:p>
    <w:p/>
    <w:p>
      <w:pPr>
        <w:jc w:val="center"/>
      </w:pPr>
      <w:r>
        <w:t>2025년    월    일</w:t>
      </w:r>
    </w:p>
    <w:p>
      <w:pPr>
        <w:jc w:val="center"/>
      </w:pPr>
      <w:r>
        <w:t>신청자 : 김준성                         (인)</w:t>
      </w:r>
    </w:p>
    <w:p>
      <w:pPr>
        <w:jc w:val="center"/>
      </w:pPr>
      <w:r>
        <w:t>동양미래대학교 RISE사업단장 귀하</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