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5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6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7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8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9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ФЕДЕРАЛЬНОЕ ГОСУДАРСТВЕННОЕ БЮДЖЕТНОЕ УЧРЕЖДЕНИЕ ВЫСШЕГО ОБРАЗОВАНИЯ </w:t>
      </w: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«СЕВЕРО-ОСЕТИНСКИЙ ГОСУДАРСТВЕННЫЙ УНИВЕРСИТЕТ ИМЕНИ </w:t>
      </w:r>
      <w:r>
        <w:rPr>
          <w:rFonts w:ascii="Times New Roman" w:hAnsi="Times New Roman" w:cs="Times New Roman"/>
          <w:sz w:val="20"/>
          <w:szCs w:val="20"/>
        </w:rPr>
        <w:br/>
        <w:t>КОСТА ЛЕВАНОВИЧА ХЕТАГУРОВА»</w:t>
      </w: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E401473" wp14:editId="6B5D53EB">
            <wp:extent cx="1400175" cy="981075"/>
            <wp:effectExtent l="0" t="0" r="0" b="0"/>
            <wp:docPr id="1" name="Рисунок 1" descr="СОГ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СОГУ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АНАЛИТИЧЕСКИЙ ОТЧЕТ</w:t>
      </w: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2C6214" w:rsidRDefault="002C6214" w:rsidP="00E717EE">
      <w:pPr>
        <w:spacing w:after="0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о результатах комплексного мониторингового исследования </w:t>
      </w:r>
    </w:p>
    <w:p w:rsidR="00C54838" w:rsidRDefault="002C6214" w:rsidP="00C54838">
      <w:pPr>
        <w:spacing w:after="0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«Оценка качества образования в Северо-Осетинском государственном университете имени Коста Левановича Хетагурова»</w:t>
      </w:r>
      <w:r w:rsidR="00E717E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54838">
        <w:rPr>
          <w:rFonts w:ascii="Times New Roman" w:hAnsi="Times New Roman" w:cs="Times New Roman"/>
          <w:bCs/>
          <w:sz w:val="24"/>
          <w:szCs w:val="24"/>
        </w:rPr>
        <w:t xml:space="preserve">образовательной программы </w:t>
      </w:r>
    </w:p>
    <w:p w:rsidR="008A20FE" w:rsidRDefault="008A20FE" w:rsidP="00C54838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01.03.02 Прикладная математика и информатика. </w:t>
      </w:r>
    </w:p>
    <w:p w:rsidR="00E717EE" w:rsidRDefault="008A20FE" w:rsidP="00C54838">
      <w:pPr>
        <w:spacing w:after="0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Программирование, анализ данных и математическое моделирование</w:t>
      </w:r>
    </w:p>
    <w:p w:rsidR="00E717EE" w:rsidRPr="00504560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2C6214" w:rsidRDefault="002C6214" w:rsidP="00E717EE">
      <w:pPr>
        <w:spacing w:after="0"/>
        <w:ind w:firstLine="708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Default="00E717EE" w:rsidP="00E717EE">
      <w:pPr>
        <w:spacing w:after="0"/>
        <w:ind w:firstLine="708"/>
        <w:contextualSpacing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8A20FE" w:rsidRDefault="008A20FE" w:rsidP="00E717EE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Default="00E717EE" w:rsidP="00E717EE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E717EE" w:rsidRDefault="00E717EE" w:rsidP="00E717EE">
      <w:pPr>
        <w:spacing w:after="0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    </w:t>
      </w: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2C6214" w:rsidRDefault="002C6214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E717EE" w:rsidRDefault="00E717EE" w:rsidP="00E717EE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ВЛАДИКАВКАЗ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 w:rsidR="00F37EAF">
        <w:rPr>
          <w:rFonts w:ascii="Times New Roman" w:hAnsi="Times New Roman"/>
          <w:sz w:val="24"/>
          <w:szCs w:val="24"/>
        </w:rPr>
        <w:t>202</w:t>
      </w:r>
      <w:r w:rsidR="00542E49">
        <w:rPr>
          <w:rFonts w:ascii="Times New Roman" w:hAnsi="Times New Roman"/>
          <w:sz w:val="24"/>
          <w:szCs w:val="24"/>
        </w:rPr>
        <w:t>5</w:t>
      </w:r>
    </w:p>
    <w:p w:rsidR="000E7D9D" w:rsidRDefault="000E7D9D" w:rsidP="000E7D9D">
      <w:pPr>
        <w:jc w:val="center"/>
        <w:rPr>
          <w:rFonts w:ascii="Times New Roman" w:hAnsi="Times New Roman" w:cs="Times New Roman"/>
          <w:sz w:val="24"/>
          <w:szCs w:val="24"/>
        </w:rPr>
      </w:pPr>
      <w:r w:rsidRPr="00A50F91">
        <w:rPr>
          <w:rFonts w:ascii="Times New Roman" w:hAnsi="Times New Roman" w:cs="Times New Roman"/>
          <w:sz w:val="24"/>
          <w:szCs w:val="24"/>
        </w:rPr>
        <w:lastRenderedPageBreak/>
        <w:t>ОСНОВНЫЕ ВЫВОДЫ ПО РЕЗУЛЬТАТАМ ИССЛЕДОВАНИЯ</w:t>
      </w:r>
    </w:p>
    <w:p w:rsidR="007128A7" w:rsidRDefault="007128A7" w:rsidP="007128A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Практически половина студентов данной образовательной программы считает, что качество обучения в СОГУ в 2024 учебном году улучшилось по сравнению с предыдущим годом, это отметили 48,8% опрошенных, в то время как 4,3% - считают, что качество обучения ухудшилось, 28,5% - качество обучения осталось на прежнем уровне (рис. 1).  </w:t>
      </w:r>
    </w:p>
    <w:p w:rsidR="007128A7" w:rsidRDefault="007128A7" w:rsidP="007128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noProof/>
          <w:lang w:eastAsia="ru-RU"/>
        </w:rPr>
        <w:drawing>
          <wp:inline distT="0" distB="0" distL="0" distR="0" wp14:anchorId="48ECCCC9" wp14:editId="3F791D53">
            <wp:extent cx="5799455" cy="2366683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7128A7" w:rsidRDefault="007128A7" w:rsidP="007128A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целом студенты данной образовательной программы удовлетворены качеством образования в СОГУ (77,8%), доля студентов, неудовлетворительно оценивающих предоставляемые услуги составила всего 4,6%, отчасти удовлетворены, отчасти нет – 14,6% (рис. 2).  </w:t>
      </w:r>
    </w:p>
    <w:p w:rsidR="007128A7" w:rsidRDefault="007128A7" w:rsidP="007128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466DEFB" wp14:editId="19851741">
            <wp:extent cx="5880735" cy="1963271"/>
            <wp:effectExtent l="0" t="0" r="0" b="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7128A7" w:rsidRDefault="007128A7" w:rsidP="007128A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Индекс удовлетворенности студентов, обучающихся по данной образовательной программе, различными аспектами, поддерживающими процесс обучения в СОГУ составил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314F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0,77 баллов (рис. 3). В меньшей степени студенты удовлетворены «удобством использования «Личного кабинета студента»»</w:t>
      </w:r>
      <w:r w:rsidRPr="000660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314F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0,64),  «доступностью специализированных компьютерных программ» (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314F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0,66), «качеством питания в столовых и буфетах» (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314F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0,65), а в большей степени «готовностью сотрудников деканата оказать помощь» (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314F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0,9) и «доступностью библиотечных ресурсов»</w:t>
      </w:r>
      <w:r w:rsidRPr="00431F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314F0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0,87)</w:t>
      </w:r>
      <w:r w:rsidRPr="00494BC7">
        <w:rPr>
          <w:rStyle w:val="a5"/>
          <w:rFonts w:ascii="Times New Roman" w:hAnsi="Times New Roman" w:cs="Times New Roman"/>
          <w:sz w:val="24"/>
          <w:szCs w:val="24"/>
        </w:rPr>
        <w:footnoteReference w:customMarkFollows="1" w:id="1"/>
        <w:sym w:font="Symbol" w:char="F02A"/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128A7" w:rsidRDefault="007128A7" w:rsidP="007128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1D9EAD0" wp14:editId="4011EB01">
            <wp:extent cx="5886450" cy="8677836"/>
            <wp:effectExtent l="0" t="0" r="0" b="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7128A7" w:rsidRDefault="007128A7" w:rsidP="007128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Некоторые мониторинговые исследования отмечают о</w:t>
      </w:r>
      <w:r w:rsidRPr="003D7275">
        <w:rPr>
          <w:rFonts w:ascii="Times New Roman" w:hAnsi="Times New Roman" w:cs="Times New Roman"/>
          <w:sz w:val="24"/>
          <w:szCs w:val="24"/>
        </w:rPr>
        <w:t>дним из лучших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7275">
        <w:rPr>
          <w:rFonts w:ascii="Times New Roman" w:hAnsi="Times New Roman" w:cs="Times New Roman"/>
          <w:sz w:val="24"/>
          <w:szCs w:val="24"/>
        </w:rPr>
        <w:t xml:space="preserve">инструментов для определения успешности вуза </w:t>
      </w:r>
      <w:r>
        <w:rPr>
          <w:rFonts w:ascii="Times New Roman" w:hAnsi="Times New Roman" w:cs="Times New Roman"/>
          <w:sz w:val="24"/>
          <w:szCs w:val="24"/>
        </w:rPr>
        <w:t xml:space="preserve">оценку уровня лояльности </w:t>
      </w:r>
      <w:r w:rsidRPr="003D7275">
        <w:rPr>
          <w:rFonts w:ascii="Times New Roman" w:hAnsi="Times New Roman" w:cs="Times New Roman"/>
          <w:sz w:val="24"/>
          <w:szCs w:val="24"/>
        </w:rPr>
        <w:t xml:space="preserve">ее студентов, </w:t>
      </w:r>
      <w:r w:rsidRPr="003D7275">
        <w:rPr>
          <w:rFonts w:ascii="Times New Roman" w:hAnsi="Times New Roman" w:cs="Times New Roman"/>
          <w:sz w:val="24"/>
          <w:szCs w:val="24"/>
        </w:rPr>
        <w:lastRenderedPageBreak/>
        <w:t xml:space="preserve">которая выражается через готовность к рекомендациям и </w:t>
      </w:r>
      <w:r>
        <w:rPr>
          <w:rFonts w:ascii="Times New Roman" w:hAnsi="Times New Roman" w:cs="Times New Roman"/>
          <w:sz w:val="24"/>
          <w:szCs w:val="24"/>
        </w:rPr>
        <w:t xml:space="preserve">возвращению за образовательными </w:t>
      </w:r>
      <w:r w:rsidRPr="003D7275">
        <w:rPr>
          <w:rFonts w:ascii="Times New Roman" w:hAnsi="Times New Roman" w:cs="Times New Roman"/>
          <w:sz w:val="24"/>
          <w:szCs w:val="24"/>
        </w:rPr>
        <w:t>услугами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128A7" w:rsidRDefault="007128A7" w:rsidP="007128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случае необходимости получения образовательных услуг, порекомендуют обратиться в СОГУ 83,1% опрошенных студентов данной образовательной программы и лишь 7,2% - не порекомендуют (рис. 4).   </w:t>
      </w:r>
    </w:p>
    <w:p w:rsidR="007128A7" w:rsidRDefault="007128A7" w:rsidP="007128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A715D1C" wp14:editId="3A0DA32F">
            <wp:extent cx="5907741" cy="2636520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7128A7" w:rsidRDefault="007128A7" w:rsidP="007128A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дополнительным образованием или повышением квалификации в СОГУ снова готовы обратиться 75,0% опрошенных, 13,0% - предпочтут другое образовательное учреждение (рис. 5). </w:t>
      </w:r>
    </w:p>
    <w:p w:rsidR="007128A7" w:rsidRDefault="007128A7" w:rsidP="007128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83A1BC4" wp14:editId="2847F1F1">
            <wp:extent cx="5934075" cy="3182471"/>
            <wp:effectExtent l="0" t="0" r="0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7128A7" w:rsidRDefault="007128A7" w:rsidP="007128A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Большинство студентов данной образовательной программы положительно оценивают свои шансы на трудоустройство – 37,0% опрошенных считают, что у них не будет никаких сложностей с этим, у 17,5% - возможны незначительные сложности, которые все же позволят найти работу по специальности (рис. 6). Лишь 2,2% студентов отмечают, что скорее всего не смогут найти работу.  </w:t>
      </w:r>
    </w:p>
    <w:p w:rsidR="007128A7" w:rsidRDefault="007128A7" w:rsidP="007128A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Следует отметить, что не планируют трудоустраиваться по специальности всего 4,7% опрошенных студентов.</w:t>
      </w:r>
    </w:p>
    <w:p w:rsidR="007128A7" w:rsidRDefault="007128A7" w:rsidP="007128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B1965D1" wp14:editId="4863F6C4">
            <wp:extent cx="5979160" cy="33528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7128A7" w:rsidRDefault="007128A7" w:rsidP="007128A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Ответы, представленные на рисунке 7, говорят о твердости намерения студентов следовать выбранной специальности, так как в случае НЕ успешности в вопросе трудоустройства по специальности 26,7% - попробуют трудоустроиться в смежных сферах, а 25,1% - продолжат обучение по своей специальности.  </w:t>
      </w:r>
    </w:p>
    <w:p w:rsidR="007128A7" w:rsidRDefault="007128A7" w:rsidP="007128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DFE9026" wp14:editId="69ECDE90">
            <wp:extent cx="5907405" cy="4168588"/>
            <wp:effectExtent l="0" t="0" r="0" b="0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7128A7" w:rsidRDefault="007128A7" w:rsidP="007128A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 минимальную заработную плату в размере 11-20 тыс. рублей готовы выйти – 1,3%, а на 21-30 тыс. рублей  - 4,2% (рис. 8).  </w:t>
      </w:r>
    </w:p>
    <w:p w:rsidR="007128A7" w:rsidRDefault="007128A7" w:rsidP="007128A7">
      <w:pPr>
        <w:rPr>
          <w:rFonts w:ascii="Times New Roman" w:hAnsi="Times New Roman" w:cs="Times New Roman"/>
          <w:sz w:val="24"/>
          <w:szCs w:val="24"/>
        </w:rPr>
      </w:pPr>
    </w:p>
    <w:p w:rsidR="007128A7" w:rsidRDefault="007128A7" w:rsidP="007128A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F233592" wp14:editId="44CAF429">
            <wp:extent cx="5979459" cy="262890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7128A7" w:rsidRDefault="007128A7" w:rsidP="007128A7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Большинство студентов данной образовательной программы предпочитают работать на себя (26,2%) или в частной коммерческой компании (33,8%). В государственном бюджетном учреждении свое трудоустройство видят 18,1% опрошенных (рис. 9).</w:t>
      </w:r>
    </w:p>
    <w:p w:rsidR="007128A7" w:rsidRPr="00446D4D" w:rsidRDefault="007128A7" w:rsidP="007128A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905A5BB" wp14:editId="28B3D2CC">
            <wp:extent cx="5772785" cy="4105462"/>
            <wp:effectExtent l="0" t="0" r="0" b="0"/>
            <wp:docPr id="12" name="Диаграмма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446D4D" w:rsidRPr="008126CB" w:rsidRDefault="00446D4D" w:rsidP="008126C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46D4D" w:rsidRPr="008126CB" w:rsidSect="002C6214">
      <w:headerReference w:type="default" r:id="rId17"/>
      <w:footerReference w:type="default" r:id="rId18"/>
      <w:pgSz w:w="11906" w:h="16838"/>
      <w:pgMar w:top="1134" w:right="850" w:bottom="1134" w:left="1701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79A" w:rsidRDefault="004D079A" w:rsidP="00406BAA">
      <w:pPr>
        <w:spacing w:after="0" w:line="240" w:lineRule="auto"/>
      </w:pPr>
      <w:r>
        <w:separator/>
      </w:r>
    </w:p>
  </w:endnote>
  <w:endnote w:type="continuationSeparator" w:id="0">
    <w:p w:rsidR="004D079A" w:rsidRDefault="004D079A" w:rsidP="00406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Antiqu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92670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8C77D0" w:rsidRPr="008C77D0" w:rsidRDefault="008C77D0">
        <w:pPr>
          <w:pStyle w:val="a8"/>
          <w:jc w:val="right"/>
          <w:rPr>
            <w:rFonts w:ascii="Times New Roman" w:hAnsi="Times New Roman" w:cs="Times New Roman"/>
            <w:sz w:val="20"/>
            <w:szCs w:val="20"/>
          </w:rPr>
        </w:pPr>
        <w:r w:rsidRPr="008C77D0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8C77D0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8C77D0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7128A7">
          <w:rPr>
            <w:rFonts w:ascii="Times New Roman" w:hAnsi="Times New Roman" w:cs="Times New Roman"/>
            <w:noProof/>
            <w:sz w:val="20"/>
            <w:szCs w:val="20"/>
          </w:rPr>
          <w:t>6</w:t>
        </w:r>
        <w:r w:rsidRPr="008C77D0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8C77D0" w:rsidRDefault="008C77D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79A" w:rsidRDefault="004D079A" w:rsidP="00406BAA">
      <w:pPr>
        <w:spacing w:after="0" w:line="240" w:lineRule="auto"/>
      </w:pPr>
      <w:r>
        <w:separator/>
      </w:r>
    </w:p>
  </w:footnote>
  <w:footnote w:type="continuationSeparator" w:id="0">
    <w:p w:rsidR="004D079A" w:rsidRDefault="004D079A" w:rsidP="00406BAA">
      <w:pPr>
        <w:spacing w:after="0" w:line="240" w:lineRule="auto"/>
      </w:pPr>
      <w:r>
        <w:continuationSeparator/>
      </w:r>
    </w:p>
  </w:footnote>
  <w:footnote w:id="1">
    <w:p w:rsidR="007128A7" w:rsidRDefault="007128A7" w:rsidP="007128A7">
      <w:pPr>
        <w:pStyle w:val="a3"/>
        <w:jc w:val="both"/>
      </w:pPr>
      <w:r w:rsidRPr="00494BC7">
        <w:rPr>
          <w:rStyle w:val="a5"/>
        </w:rPr>
        <w:sym w:font="Symbol" w:char="F02A"/>
      </w:r>
      <w:r w:rsidRPr="00C345DA">
        <w:t xml:space="preserve"> </w:t>
      </w:r>
      <w:r w:rsidRPr="00C345DA">
        <w:rPr>
          <w:rFonts w:ascii="BookAntiqua" w:hAnsi="BookAntiqua"/>
          <w:color w:val="000000"/>
        </w:rPr>
        <w:t xml:space="preserve">Полученные результаты представлены в форме простых нормированных индексов, рассчитываемых по формуле: i = a*1 + b*0,75 + c*0,5 + d*0,25 + </w:t>
      </w:r>
      <w:r w:rsidRPr="00C345DA">
        <w:rPr>
          <w:rFonts w:ascii="BookAntiqua" w:hAnsi="BookAntiqua"/>
          <w:color w:val="000000"/>
          <w:lang w:val="en-US"/>
        </w:rPr>
        <w:t>e</w:t>
      </w:r>
      <w:r w:rsidRPr="00C345DA">
        <w:rPr>
          <w:rFonts w:ascii="BookAntiqua" w:hAnsi="BookAntiqua"/>
          <w:color w:val="000000"/>
        </w:rPr>
        <w:t xml:space="preserve">*0, где a – 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Отлично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, b – 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Хорошо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, c –доля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Удовлетворительно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, d – 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Неудовлетворительно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, </w:t>
      </w:r>
      <w:r w:rsidRPr="00C345DA">
        <w:rPr>
          <w:rFonts w:ascii="BookAntiqua" w:hAnsi="BookAntiqua"/>
          <w:color w:val="000000"/>
          <w:lang w:val="en-US"/>
        </w:rPr>
        <w:t>e</w:t>
      </w:r>
      <w:r w:rsidRPr="00C345DA">
        <w:rPr>
          <w:rFonts w:ascii="BookAntiqua" w:hAnsi="BookAntiqua"/>
          <w:color w:val="000000"/>
        </w:rPr>
        <w:t xml:space="preserve"> – 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Плохо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. Полученное значение индекса варьируется от 0 до 1, при этом 0 означает низкую степень выраженности </w:t>
      </w:r>
      <w:r>
        <w:rPr>
          <w:rFonts w:ascii="BookAntiqua" w:hAnsi="BookAntiqua"/>
          <w:color w:val="000000"/>
        </w:rPr>
        <w:t xml:space="preserve">замеряемой </w:t>
      </w:r>
      <w:r w:rsidRPr="00C345DA">
        <w:rPr>
          <w:rFonts w:ascii="BookAntiqua" w:hAnsi="BookAntiqua"/>
          <w:color w:val="000000"/>
        </w:rPr>
        <w:t>характеристики качества (в данном случае удовлетворённость), 0,5 – промежуточную, а 1 – наивысшую.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214" w:rsidRPr="00E21FBB" w:rsidRDefault="002C6214" w:rsidP="002C6214">
    <w:pPr>
      <w:pStyle w:val="a6"/>
      <w:rPr>
        <w:rFonts w:ascii="Times New Roman" w:hAnsi="Times New Roman" w:cs="Times New Roman"/>
        <w:b/>
        <w:color w:val="2E74B5" w:themeColor="accent1" w:themeShade="BF"/>
        <w:sz w:val="18"/>
        <w:szCs w:val="18"/>
      </w:rPr>
    </w:pPr>
    <w:r w:rsidRPr="00E21FBB">
      <w:rPr>
        <w:rFonts w:ascii="Times New Roman" w:hAnsi="Times New Roman" w:cs="Times New Roman"/>
        <w:b/>
        <w:color w:val="2E74B5" w:themeColor="accent1" w:themeShade="BF"/>
        <w:sz w:val="18"/>
        <w:szCs w:val="18"/>
      </w:rPr>
      <w:tab/>
    </w:r>
    <w:r w:rsidRPr="00E21FBB">
      <w:rPr>
        <w:rFonts w:ascii="Times New Roman" w:hAnsi="Times New Roman" w:cs="Times New Roman"/>
        <w:b/>
        <w:color w:val="2E74B5" w:themeColor="accent1" w:themeShade="BF"/>
        <w:sz w:val="18"/>
        <w:szCs w:val="18"/>
      </w:rPr>
      <w:tab/>
      <w:t xml:space="preserve"> </w:t>
    </w:r>
  </w:p>
  <w:p w:rsidR="00CA7EC7" w:rsidRPr="00E21FBB" w:rsidRDefault="002C6214" w:rsidP="002C6214">
    <w:pPr>
      <w:pStyle w:val="a6"/>
      <w:rPr>
        <w:rFonts w:ascii="Times New Roman" w:hAnsi="Times New Roman" w:cs="Times New Roman"/>
        <w:b/>
        <w:color w:val="2E74B5" w:themeColor="accent1" w:themeShade="BF"/>
        <w:sz w:val="18"/>
        <w:szCs w:val="18"/>
      </w:rPr>
    </w:pPr>
    <w:r w:rsidRPr="00E21FBB">
      <w:rPr>
        <w:rFonts w:ascii="Times New Roman" w:hAnsi="Times New Roman" w:cs="Times New Roman"/>
        <w:b/>
        <w:color w:val="2E74B5" w:themeColor="accent1" w:themeShade="BF"/>
        <w:sz w:val="18"/>
        <w:szCs w:val="18"/>
      </w:rPr>
      <w:t>«УДОВЛЕТВОРЕННОСТЬ КАЧЕСТВОМ ОБРАЗОВАНИЯ В СОГУ»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11F"/>
    <w:rsid w:val="0002593B"/>
    <w:rsid w:val="00054159"/>
    <w:rsid w:val="000566C8"/>
    <w:rsid w:val="000660F3"/>
    <w:rsid w:val="0007788F"/>
    <w:rsid w:val="00094F72"/>
    <w:rsid w:val="0009535F"/>
    <w:rsid w:val="000D1D00"/>
    <w:rsid w:val="000D3C4E"/>
    <w:rsid w:val="000D64EA"/>
    <w:rsid w:val="000E09BB"/>
    <w:rsid w:val="000E7D9D"/>
    <w:rsid w:val="00120F50"/>
    <w:rsid w:val="00147C18"/>
    <w:rsid w:val="00172C3C"/>
    <w:rsid w:val="00181F59"/>
    <w:rsid w:val="001C6D78"/>
    <w:rsid w:val="001D6E09"/>
    <w:rsid w:val="001E2578"/>
    <w:rsid w:val="001E4279"/>
    <w:rsid w:val="00211A70"/>
    <w:rsid w:val="0023462C"/>
    <w:rsid w:val="00265218"/>
    <w:rsid w:val="00292DBF"/>
    <w:rsid w:val="00297C0F"/>
    <w:rsid w:val="002B5E77"/>
    <w:rsid w:val="002C6214"/>
    <w:rsid w:val="002D7B46"/>
    <w:rsid w:val="003024C2"/>
    <w:rsid w:val="003105D7"/>
    <w:rsid w:val="0031296E"/>
    <w:rsid w:val="00313C9F"/>
    <w:rsid w:val="00327181"/>
    <w:rsid w:val="003314F0"/>
    <w:rsid w:val="00351633"/>
    <w:rsid w:val="00363BB5"/>
    <w:rsid w:val="003D7275"/>
    <w:rsid w:val="003E50D5"/>
    <w:rsid w:val="003F3A0C"/>
    <w:rsid w:val="003F7840"/>
    <w:rsid w:val="00401515"/>
    <w:rsid w:val="00406BAA"/>
    <w:rsid w:val="00422135"/>
    <w:rsid w:val="00431FE6"/>
    <w:rsid w:val="00446D4D"/>
    <w:rsid w:val="0045543A"/>
    <w:rsid w:val="0046647A"/>
    <w:rsid w:val="00472FA6"/>
    <w:rsid w:val="00481DE8"/>
    <w:rsid w:val="00494BC7"/>
    <w:rsid w:val="004D079A"/>
    <w:rsid w:val="00521F29"/>
    <w:rsid w:val="00522156"/>
    <w:rsid w:val="00540AD5"/>
    <w:rsid w:val="00542E49"/>
    <w:rsid w:val="00575D4F"/>
    <w:rsid w:val="00590F3D"/>
    <w:rsid w:val="00595BC1"/>
    <w:rsid w:val="00597C06"/>
    <w:rsid w:val="005A5216"/>
    <w:rsid w:val="005F237C"/>
    <w:rsid w:val="0060474B"/>
    <w:rsid w:val="00622AEB"/>
    <w:rsid w:val="00656222"/>
    <w:rsid w:val="0065752C"/>
    <w:rsid w:val="006C5F91"/>
    <w:rsid w:val="006E5635"/>
    <w:rsid w:val="006F11C4"/>
    <w:rsid w:val="006F18DD"/>
    <w:rsid w:val="00704352"/>
    <w:rsid w:val="007107BE"/>
    <w:rsid w:val="007128A7"/>
    <w:rsid w:val="00734973"/>
    <w:rsid w:val="007357E9"/>
    <w:rsid w:val="00745AD2"/>
    <w:rsid w:val="00764EE5"/>
    <w:rsid w:val="00790668"/>
    <w:rsid w:val="007C12CD"/>
    <w:rsid w:val="007F532D"/>
    <w:rsid w:val="008126CB"/>
    <w:rsid w:val="008215C8"/>
    <w:rsid w:val="00826CD9"/>
    <w:rsid w:val="008340D4"/>
    <w:rsid w:val="00857AD6"/>
    <w:rsid w:val="00865068"/>
    <w:rsid w:val="00886D65"/>
    <w:rsid w:val="00894765"/>
    <w:rsid w:val="008A1329"/>
    <w:rsid w:val="008A20FE"/>
    <w:rsid w:val="008B180D"/>
    <w:rsid w:val="008B7577"/>
    <w:rsid w:val="008C4C12"/>
    <w:rsid w:val="008C77D0"/>
    <w:rsid w:val="0092211B"/>
    <w:rsid w:val="00924F3A"/>
    <w:rsid w:val="0094709E"/>
    <w:rsid w:val="00963CD1"/>
    <w:rsid w:val="00971373"/>
    <w:rsid w:val="00974A0F"/>
    <w:rsid w:val="00975994"/>
    <w:rsid w:val="009A2DAC"/>
    <w:rsid w:val="009A72B2"/>
    <w:rsid w:val="00A15901"/>
    <w:rsid w:val="00A2611F"/>
    <w:rsid w:val="00A44E14"/>
    <w:rsid w:val="00A5745D"/>
    <w:rsid w:val="00A8221C"/>
    <w:rsid w:val="00AA613D"/>
    <w:rsid w:val="00AD3F73"/>
    <w:rsid w:val="00AE282F"/>
    <w:rsid w:val="00AF2546"/>
    <w:rsid w:val="00B02C9C"/>
    <w:rsid w:val="00B32E13"/>
    <w:rsid w:val="00B76438"/>
    <w:rsid w:val="00B81172"/>
    <w:rsid w:val="00B96A5E"/>
    <w:rsid w:val="00BB4583"/>
    <w:rsid w:val="00BC0FD3"/>
    <w:rsid w:val="00BE7C96"/>
    <w:rsid w:val="00C15F64"/>
    <w:rsid w:val="00C171B1"/>
    <w:rsid w:val="00C54838"/>
    <w:rsid w:val="00C70441"/>
    <w:rsid w:val="00C90C76"/>
    <w:rsid w:val="00C96B59"/>
    <w:rsid w:val="00CA7EC7"/>
    <w:rsid w:val="00CB4874"/>
    <w:rsid w:val="00CE49BE"/>
    <w:rsid w:val="00CF0C59"/>
    <w:rsid w:val="00D1523C"/>
    <w:rsid w:val="00D155E3"/>
    <w:rsid w:val="00D5236E"/>
    <w:rsid w:val="00D574B8"/>
    <w:rsid w:val="00D9225B"/>
    <w:rsid w:val="00DA556A"/>
    <w:rsid w:val="00DB4E9D"/>
    <w:rsid w:val="00E04D94"/>
    <w:rsid w:val="00E05AFE"/>
    <w:rsid w:val="00E05E8C"/>
    <w:rsid w:val="00E1744E"/>
    <w:rsid w:val="00E21FBB"/>
    <w:rsid w:val="00E40D8F"/>
    <w:rsid w:val="00E569D8"/>
    <w:rsid w:val="00E717EE"/>
    <w:rsid w:val="00EA01CD"/>
    <w:rsid w:val="00ED38DF"/>
    <w:rsid w:val="00F258CA"/>
    <w:rsid w:val="00F344D9"/>
    <w:rsid w:val="00F37EAF"/>
    <w:rsid w:val="00F564A8"/>
    <w:rsid w:val="00F6282C"/>
    <w:rsid w:val="00F72EEA"/>
    <w:rsid w:val="00F8334F"/>
    <w:rsid w:val="00F847D3"/>
    <w:rsid w:val="00FC6ED8"/>
    <w:rsid w:val="00FD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57E2011-5E0E-48D0-8F9F-07EDDE276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17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06BAA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406BAA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406BAA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974A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74A0F"/>
  </w:style>
  <w:style w:type="paragraph" w:styleId="a8">
    <w:name w:val="footer"/>
    <w:basedOn w:val="a"/>
    <w:link w:val="a9"/>
    <w:uiPriority w:val="99"/>
    <w:unhideWhenUsed/>
    <w:rsid w:val="00974A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74A0F"/>
  </w:style>
  <w:style w:type="table" w:styleId="aa">
    <w:name w:val="Table Grid"/>
    <w:basedOn w:val="a1"/>
    <w:uiPriority w:val="39"/>
    <w:rsid w:val="000D1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hart" Target="charts/chart5.xm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chart" Target="charts/chart9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5" Type="http://schemas.openxmlformats.org/officeDocument/2006/relationships/chart" Target="charts/chart8.xml"/><Relationship Id="rId10" Type="http://schemas.openxmlformats.org/officeDocument/2006/relationships/chart" Target="charts/chart3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2.xlsx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 i="0" baseline="0">
                <a:effectLst/>
              </a:rPr>
              <a:t>Рисунок 1. </a:t>
            </a:r>
            <a:r>
              <a:rPr lang="ru-RU" sz="1200" b="0" i="0" baseline="0">
                <a:effectLst/>
              </a:rPr>
              <a:t>Как Вы считаете, изменилось ли качество обучения в СОГУ в 2024 году по сравнению с 2023 годом? (%)</a:t>
            </a:r>
            <a:endParaRPr lang="ru-RU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Лист3!$A$1:$A$6</c:f>
              <c:strCache>
                <c:ptCount val="6"/>
                <c:pt idx="0">
                  <c:v>Безусловно улучшилось</c:v>
                </c:pt>
                <c:pt idx="1">
                  <c:v>Скорее, улучшилось</c:v>
                </c:pt>
                <c:pt idx="2">
                  <c:v>Осталось неизменным</c:v>
                </c:pt>
                <c:pt idx="3">
                  <c:v>Скорее, ухудшилось</c:v>
                </c:pt>
                <c:pt idx="4">
                  <c:v>Безусловно ухудшилось</c:v>
                </c:pt>
                <c:pt idx="5">
                  <c:v>Затрудняюсь ответить</c:v>
                </c:pt>
              </c:strCache>
            </c:strRef>
          </c:cat>
          <c:val>
            <c:numRef>
              <c:f>Лист3!$B$1:$B$6</c:f>
              <c:numCache>
                <c:formatCode>General</c:formatCode>
                <c:ptCount val="6"/>
                <c:pt idx="0">
                  <c:v>26.1</c:v>
                </c:pt>
                <c:pt idx="1">
                  <c:v>22.7</c:v>
                </c:pt>
                <c:pt idx="2">
                  <c:v>28.5</c:v>
                </c:pt>
                <c:pt idx="3">
                  <c:v>3.5</c:v>
                </c:pt>
                <c:pt idx="4">
                  <c:v>0.8</c:v>
                </c:pt>
                <c:pt idx="5">
                  <c:v>18.3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2CC-4712-9B05-5DBD6DDC76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266440736"/>
        <c:axId val="266438240"/>
        <c:axId val="0"/>
      </c:bar3DChart>
      <c:catAx>
        <c:axId val="266440736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266438240"/>
        <c:crosses val="autoZero"/>
        <c:auto val="1"/>
        <c:lblAlgn val="ctr"/>
        <c:lblOffset val="100"/>
        <c:noMultiLvlLbl val="0"/>
      </c:catAx>
      <c:valAx>
        <c:axId val="266438240"/>
        <c:scaling>
          <c:orientation val="minMax"/>
        </c:scaling>
        <c:delete val="1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2664407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 i="0" baseline="0">
                <a:effectLst/>
              </a:rPr>
              <a:t>Рисунок 2. </a:t>
            </a:r>
            <a:r>
              <a:rPr lang="ru-RU" sz="1200" b="0" i="0" baseline="0">
                <a:effectLst/>
              </a:rPr>
              <a:t>Если рассматривать в целом Вы удовлетворены или нет качеством образования в СОГУ? (%)</a:t>
            </a:r>
            <a:endParaRPr lang="ru-RU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Лист2!$A$1:$A$6</c:f>
              <c:strCache>
                <c:ptCount val="6"/>
                <c:pt idx="0">
                  <c:v>Полностью удовлетворен</c:v>
                </c:pt>
                <c:pt idx="1">
                  <c:v>Скорее, удовлетворен</c:v>
                </c:pt>
                <c:pt idx="2">
                  <c:v>Отчасти удовлетворен, отчасти нет</c:v>
                </c:pt>
                <c:pt idx="3">
                  <c:v>Скорее, не удовлетворен</c:v>
                </c:pt>
                <c:pt idx="4">
                  <c:v>Полностью не удовлетворен</c:v>
                </c:pt>
                <c:pt idx="5">
                  <c:v>Затрудняюсь ответить</c:v>
                </c:pt>
              </c:strCache>
            </c:strRef>
          </c:cat>
          <c:val>
            <c:numRef>
              <c:f>Лист2!$B$1:$B$6</c:f>
              <c:numCache>
                <c:formatCode>General</c:formatCode>
                <c:ptCount val="6"/>
                <c:pt idx="0">
                  <c:v>47.9</c:v>
                </c:pt>
                <c:pt idx="1">
                  <c:v>29.9</c:v>
                </c:pt>
                <c:pt idx="2">
                  <c:v>14.6</c:v>
                </c:pt>
                <c:pt idx="3">
                  <c:v>3.4</c:v>
                </c:pt>
                <c:pt idx="4">
                  <c:v>1.2</c:v>
                </c:pt>
                <c:pt idx="5">
                  <c:v>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776-419A-938A-E0CCEA90332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255917392"/>
        <c:axId val="260295504"/>
        <c:axId val="0"/>
      </c:bar3DChart>
      <c:catAx>
        <c:axId val="255917392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260295504"/>
        <c:crosses val="autoZero"/>
        <c:auto val="1"/>
        <c:lblAlgn val="ctr"/>
        <c:lblOffset val="100"/>
        <c:noMultiLvlLbl val="0"/>
      </c:catAx>
      <c:valAx>
        <c:axId val="260295504"/>
        <c:scaling>
          <c:orientation val="minMax"/>
        </c:scaling>
        <c:delete val="1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25591739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/>
              <a:t>Рисунок 3. </a:t>
            </a:r>
            <a:r>
              <a:rPr lang="ru-RU" sz="1200"/>
              <a:t>Индекс удовлетворённости различными аспектами, поддерживающими процесс обучения в СОГУ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ист!$A$1:$A$16</c:f>
              <c:strCache>
                <c:ptCount val="16"/>
                <c:pt idx="0">
                  <c:v>Доступность библиотечных ресурсов</c:v>
                </c:pt>
                <c:pt idx="1">
                  <c:v>Качество реализации санитарных мер (чистота коридоров, кабинетов, уборных и т.д.)</c:v>
                </c:pt>
                <c:pt idx="2">
                  <c:v>Оснащенность спортивно-оздоровительных комплексов</c:v>
                </c:pt>
                <c:pt idx="3">
                  <c:v>Удобство использования "Личного кабинета студента" на портале https://portal.nosu.ru/</c:v>
                </c:pt>
                <c:pt idx="4">
                  <c:v>Доступность специализированных компьютерных программ</c:v>
                </c:pt>
                <c:pt idx="5">
                  <c:v>Качество питания в столовых и буфетах</c:v>
                </c:pt>
                <c:pt idx="6">
                  <c:v>Организация ДИСТАНЦИОННЫХ научных мероприятий (конференции, круглые столы, конкурсы и т.д.) </c:v>
                </c:pt>
                <c:pt idx="7">
                  <c:v>Организация ОЧНЫХ научных мероприятий (конференции, круглые столы, конкурсы и т.д.) </c:v>
                </c:pt>
                <c:pt idx="8">
                  <c:v>Участие научного руководителя при выполнении студенческих научно-исследовательских проектов, курсовых и дипломных работ </c:v>
                </c:pt>
                <c:pt idx="9">
                  <c:v>Возможность бесплатно опубликовать научные статьи </c:v>
                </c:pt>
                <c:pt idx="10">
                  <c:v>Готовность сотрудников деканата оказать помощь </c:v>
                </c:pt>
                <c:pt idx="11">
                  <c:v>Деятельность студенческой профсоюзной организации</c:v>
                </c:pt>
                <c:pt idx="12">
                  <c:v>Деятельность студенческого совета</c:v>
                </c:pt>
                <c:pt idx="13">
                  <c:v>Своевременность информирования студентов со стороны деканата </c:v>
                </c:pt>
                <c:pt idx="14">
                  <c:v>Материальное стимулирование научной деятельности студентов (ПГАС, именные стипендии и т.д.) </c:v>
                </c:pt>
                <c:pt idx="15">
                  <c:v>Удобство расписания учебных занятий</c:v>
                </c:pt>
              </c:strCache>
            </c:strRef>
          </c:cat>
          <c:val>
            <c:numRef>
              <c:f>ист!$B$1:$B$16</c:f>
            </c:numRef>
          </c:val>
          <c:extLst>
            <c:ext xmlns:c16="http://schemas.microsoft.com/office/drawing/2014/chart" uri="{C3380CC4-5D6E-409C-BE32-E72D297353CC}">
              <c16:uniqueId val="{00000000-AC71-4296-8F27-4027EED30BA3}"/>
            </c:ext>
          </c:extLst>
        </c:ser>
        <c:ser>
          <c:idx val="1"/>
          <c:order val="1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ист!$A$1:$A$16</c:f>
              <c:strCache>
                <c:ptCount val="16"/>
                <c:pt idx="0">
                  <c:v>Доступность библиотечных ресурсов</c:v>
                </c:pt>
                <c:pt idx="1">
                  <c:v>Качество реализации санитарных мер (чистота коридоров, кабинетов, уборных и т.д.)</c:v>
                </c:pt>
                <c:pt idx="2">
                  <c:v>Оснащенность спортивно-оздоровительных комплексов</c:v>
                </c:pt>
                <c:pt idx="3">
                  <c:v>Удобство использования "Личного кабинета студента" на портале https://portal.nosu.ru/</c:v>
                </c:pt>
                <c:pt idx="4">
                  <c:v>Доступность специализированных компьютерных программ</c:v>
                </c:pt>
                <c:pt idx="5">
                  <c:v>Качество питания в столовых и буфетах</c:v>
                </c:pt>
                <c:pt idx="6">
                  <c:v>Организация ДИСТАНЦИОННЫХ научных мероприятий (конференции, круглые столы, конкурсы и т.д.) </c:v>
                </c:pt>
                <c:pt idx="7">
                  <c:v>Организация ОЧНЫХ научных мероприятий (конференции, круглые столы, конкурсы и т.д.) </c:v>
                </c:pt>
                <c:pt idx="8">
                  <c:v>Участие научного руководителя при выполнении студенческих научно-исследовательских проектов, курсовых и дипломных работ </c:v>
                </c:pt>
                <c:pt idx="9">
                  <c:v>Возможность бесплатно опубликовать научные статьи </c:v>
                </c:pt>
                <c:pt idx="10">
                  <c:v>Готовность сотрудников деканата оказать помощь </c:v>
                </c:pt>
                <c:pt idx="11">
                  <c:v>Деятельность студенческой профсоюзной организации</c:v>
                </c:pt>
                <c:pt idx="12">
                  <c:v>Деятельность студенческого совета</c:v>
                </c:pt>
                <c:pt idx="13">
                  <c:v>Своевременность информирования студентов со стороны деканата </c:v>
                </c:pt>
                <c:pt idx="14">
                  <c:v>Материальное стимулирование научной деятельности студентов (ПГАС, именные стипендии и т.д.) </c:v>
                </c:pt>
                <c:pt idx="15">
                  <c:v>Удобство расписания учебных занятий</c:v>
                </c:pt>
              </c:strCache>
            </c:strRef>
          </c:cat>
          <c:val>
            <c:numRef>
              <c:f>ист!$C$1:$C$16</c:f>
            </c:numRef>
          </c:val>
          <c:extLst>
            <c:ext xmlns:c16="http://schemas.microsoft.com/office/drawing/2014/chart" uri="{C3380CC4-5D6E-409C-BE32-E72D297353CC}">
              <c16:uniqueId val="{00000001-AC71-4296-8F27-4027EED30BA3}"/>
            </c:ext>
          </c:extLst>
        </c:ser>
        <c:ser>
          <c:idx val="2"/>
          <c:order val="2"/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ист!$A$1:$A$16</c:f>
              <c:strCache>
                <c:ptCount val="16"/>
                <c:pt idx="0">
                  <c:v>Доступность библиотечных ресурсов</c:v>
                </c:pt>
                <c:pt idx="1">
                  <c:v>Качество реализации санитарных мер (чистота коридоров, кабинетов, уборных и т.д.)</c:v>
                </c:pt>
                <c:pt idx="2">
                  <c:v>Оснащенность спортивно-оздоровительных комплексов</c:v>
                </c:pt>
                <c:pt idx="3">
                  <c:v>Удобство использования "Личного кабинета студента" на портале https://portal.nosu.ru/</c:v>
                </c:pt>
                <c:pt idx="4">
                  <c:v>Доступность специализированных компьютерных программ</c:v>
                </c:pt>
                <c:pt idx="5">
                  <c:v>Качество питания в столовых и буфетах</c:v>
                </c:pt>
                <c:pt idx="6">
                  <c:v>Организация ДИСТАНЦИОННЫХ научных мероприятий (конференции, круглые столы, конкурсы и т.д.) </c:v>
                </c:pt>
                <c:pt idx="7">
                  <c:v>Организация ОЧНЫХ научных мероприятий (конференции, круглые столы, конкурсы и т.д.) </c:v>
                </c:pt>
                <c:pt idx="8">
                  <c:v>Участие научного руководителя при выполнении студенческих научно-исследовательских проектов, курсовых и дипломных работ </c:v>
                </c:pt>
                <c:pt idx="9">
                  <c:v>Возможность бесплатно опубликовать научные статьи </c:v>
                </c:pt>
                <c:pt idx="10">
                  <c:v>Готовность сотрудников деканата оказать помощь </c:v>
                </c:pt>
                <c:pt idx="11">
                  <c:v>Деятельность студенческой профсоюзной организации</c:v>
                </c:pt>
                <c:pt idx="12">
                  <c:v>Деятельность студенческого совета</c:v>
                </c:pt>
                <c:pt idx="13">
                  <c:v>Своевременность информирования студентов со стороны деканата </c:v>
                </c:pt>
                <c:pt idx="14">
                  <c:v>Материальное стимулирование научной деятельности студентов (ПГАС, именные стипендии и т.д.) </c:v>
                </c:pt>
                <c:pt idx="15">
                  <c:v>Удобство расписания учебных занятий</c:v>
                </c:pt>
              </c:strCache>
            </c:strRef>
          </c:cat>
          <c:val>
            <c:numRef>
              <c:f>ист!$D$1:$D$16</c:f>
            </c:numRef>
          </c:val>
          <c:extLst>
            <c:ext xmlns:c16="http://schemas.microsoft.com/office/drawing/2014/chart" uri="{C3380CC4-5D6E-409C-BE32-E72D297353CC}">
              <c16:uniqueId val="{00000002-AC71-4296-8F27-4027EED30BA3}"/>
            </c:ext>
          </c:extLst>
        </c:ser>
        <c:ser>
          <c:idx val="3"/>
          <c:order val="3"/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ист!$A$1:$A$16</c:f>
              <c:strCache>
                <c:ptCount val="16"/>
                <c:pt idx="0">
                  <c:v>Доступность библиотечных ресурсов</c:v>
                </c:pt>
                <c:pt idx="1">
                  <c:v>Качество реализации санитарных мер (чистота коридоров, кабинетов, уборных и т.д.)</c:v>
                </c:pt>
                <c:pt idx="2">
                  <c:v>Оснащенность спортивно-оздоровительных комплексов</c:v>
                </c:pt>
                <c:pt idx="3">
                  <c:v>Удобство использования "Личного кабинета студента" на портале https://portal.nosu.ru/</c:v>
                </c:pt>
                <c:pt idx="4">
                  <c:v>Доступность специализированных компьютерных программ</c:v>
                </c:pt>
                <c:pt idx="5">
                  <c:v>Качество питания в столовых и буфетах</c:v>
                </c:pt>
                <c:pt idx="6">
                  <c:v>Организация ДИСТАНЦИОННЫХ научных мероприятий (конференции, круглые столы, конкурсы и т.д.) </c:v>
                </c:pt>
                <c:pt idx="7">
                  <c:v>Организация ОЧНЫХ научных мероприятий (конференции, круглые столы, конкурсы и т.д.) </c:v>
                </c:pt>
                <c:pt idx="8">
                  <c:v>Участие научного руководителя при выполнении студенческих научно-исследовательских проектов, курсовых и дипломных работ </c:v>
                </c:pt>
                <c:pt idx="9">
                  <c:v>Возможность бесплатно опубликовать научные статьи </c:v>
                </c:pt>
                <c:pt idx="10">
                  <c:v>Готовность сотрудников деканата оказать помощь </c:v>
                </c:pt>
                <c:pt idx="11">
                  <c:v>Деятельность студенческой профсоюзной организации</c:v>
                </c:pt>
                <c:pt idx="12">
                  <c:v>Деятельность студенческого совета</c:v>
                </c:pt>
                <c:pt idx="13">
                  <c:v>Своевременность информирования студентов со стороны деканата </c:v>
                </c:pt>
                <c:pt idx="14">
                  <c:v>Материальное стимулирование научной деятельности студентов (ПГАС, именные стипендии и т.д.) </c:v>
                </c:pt>
                <c:pt idx="15">
                  <c:v>Удобство расписания учебных занятий</c:v>
                </c:pt>
              </c:strCache>
            </c:strRef>
          </c:cat>
          <c:val>
            <c:numRef>
              <c:f>ист!$E$1:$E$16</c:f>
            </c:numRef>
          </c:val>
          <c:extLst>
            <c:ext xmlns:c16="http://schemas.microsoft.com/office/drawing/2014/chart" uri="{C3380CC4-5D6E-409C-BE32-E72D297353CC}">
              <c16:uniqueId val="{00000003-AC71-4296-8F27-4027EED30BA3}"/>
            </c:ext>
          </c:extLst>
        </c:ser>
        <c:ser>
          <c:idx val="4"/>
          <c:order val="4"/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ист!$A$1:$A$16</c:f>
              <c:strCache>
                <c:ptCount val="16"/>
                <c:pt idx="0">
                  <c:v>Доступность библиотечных ресурсов</c:v>
                </c:pt>
                <c:pt idx="1">
                  <c:v>Качество реализации санитарных мер (чистота коридоров, кабинетов, уборных и т.д.)</c:v>
                </c:pt>
                <c:pt idx="2">
                  <c:v>Оснащенность спортивно-оздоровительных комплексов</c:v>
                </c:pt>
                <c:pt idx="3">
                  <c:v>Удобство использования "Личного кабинета студента" на портале https://portal.nosu.ru/</c:v>
                </c:pt>
                <c:pt idx="4">
                  <c:v>Доступность специализированных компьютерных программ</c:v>
                </c:pt>
                <c:pt idx="5">
                  <c:v>Качество питания в столовых и буфетах</c:v>
                </c:pt>
                <c:pt idx="6">
                  <c:v>Организация ДИСТАНЦИОННЫХ научных мероприятий (конференции, круглые столы, конкурсы и т.д.) </c:v>
                </c:pt>
                <c:pt idx="7">
                  <c:v>Организация ОЧНЫХ научных мероприятий (конференции, круглые столы, конкурсы и т.д.) </c:v>
                </c:pt>
                <c:pt idx="8">
                  <c:v>Участие научного руководителя при выполнении студенческих научно-исследовательских проектов, курсовых и дипломных работ </c:v>
                </c:pt>
                <c:pt idx="9">
                  <c:v>Возможность бесплатно опубликовать научные статьи </c:v>
                </c:pt>
                <c:pt idx="10">
                  <c:v>Готовность сотрудников деканата оказать помощь </c:v>
                </c:pt>
                <c:pt idx="11">
                  <c:v>Деятельность студенческой профсоюзной организации</c:v>
                </c:pt>
                <c:pt idx="12">
                  <c:v>Деятельность студенческого совета</c:v>
                </c:pt>
                <c:pt idx="13">
                  <c:v>Своевременность информирования студентов со стороны деканата </c:v>
                </c:pt>
                <c:pt idx="14">
                  <c:v>Материальное стимулирование научной деятельности студентов (ПГАС, именные стипендии и т.д.) </c:v>
                </c:pt>
                <c:pt idx="15">
                  <c:v>Удобство расписания учебных занятий</c:v>
                </c:pt>
              </c:strCache>
            </c:strRef>
          </c:cat>
          <c:val>
            <c:numRef>
              <c:f>ист!$F$1:$F$16</c:f>
            </c:numRef>
          </c:val>
          <c:extLst>
            <c:ext xmlns:c16="http://schemas.microsoft.com/office/drawing/2014/chart" uri="{C3380CC4-5D6E-409C-BE32-E72D297353CC}">
              <c16:uniqueId val="{00000004-AC71-4296-8F27-4027EED30BA3}"/>
            </c:ext>
          </c:extLst>
        </c:ser>
        <c:ser>
          <c:idx val="5"/>
          <c:order val="5"/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ист!$A$1:$A$16</c:f>
              <c:strCache>
                <c:ptCount val="16"/>
                <c:pt idx="0">
                  <c:v>Доступность библиотечных ресурсов</c:v>
                </c:pt>
                <c:pt idx="1">
                  <c:v>Качество реализации санитарных мер (чистота коридоров, кабинетов, уборных и т.д.)</c:v>
                </c:pt>
                <c:pt idx="2">
                  <c:v>Оснащенность спортивно-оздоровительных комплексов</c:v>
                </c:pt>
                <c:pt idx="3">
                  <c:v>Удобство использования "Личного кабинета студента" на портале https://portal.nosu.ru/</c:v>
                </c:pt>
                <c:pt idx="4">
                  <c:v>Доступность специализированных компьютерных программ</c:v>
                </c:pt>
                <c:pt idx="5">
                  <c:v>Качество питания в столовых и буфетах</c:v>
                </c:pt>
                <c:pt idx="6">
                  <c:v>Организация ДИСТАНЦИОННЫХ научных мероприятий (конференции, круглые столы, конкурсы и т.д.) </c:v>
                </c:pt>
                <c:pt idx="7">
                  <c:v>Организация ОЧНЫХ научных мероприятий (конференции, круглые столы, конкурсы и т.д.) </c:v>
                </c:pt>
                <c:pt idx="8">
                  <c:v>Участие научного руководителя при выполнении студенческих научно-исследовательских проектов, курсовых и дипломных работ </c:v>
                </c:pt>
                <c:pt idx="9">
                  <c:v>Возможность бесплатно опубликовать научные статьи </c:v>
                </c:pt>
                <c:pt idx="10">
                  <c:v>Готовность сотрудников деканата оказать помощь </c:v>
                </c:pt>
                <c:pt idx="11">
                  <c:v>Деятельность студенческой профсоюзной организации</c:v>
                </c:pt>
                <c:pt idx="12">
                  <c:v>Деятельность студенческого совета</c:v>
                </c:pt>
                <c:pt idx="13">
                  <c:v>Своевременность информирования студентов со стороны деканата </c:v>
                </c:pt>
                <c:pt idx="14">
                  <c:v>Материальное стимулирование научной деятельности студентов (ПГАС, именные стипендии и т.д.) </c:v>
                </c:pt>
                <c:pt idx="15">
                  <c:v>Удобство расписания учебных занятий</c:v>
                </c:pt>
              </c:strCache>
            </c:strRef>
          </c:cat>
          <c:val>
            <c:numRef>
              <c:f>ист!$G$1:$G$16</c:f>
            </c:numRef>
          </c:val>
          <c:extLst>
            <c:ext xmlns:c16="http://schemas.microsoft.com/office/drawing/2014/chart" uri="{C3380CC4-5D6E-409C-BE32-E72D297353CC}">
              <c16:uniqueId val="{00000005-AC71-4296-8F27-4027EED30BA3}"/>
            </c:ext>
          </c:extLst>
        </c:ser>
        <c:ser>
          <c:idx val="6"/>
          <c:order val="6"/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ист!$A$1:$A$16</c:f>
              <c:strCache>
                <c:ptCount val="16"/>
                <c:pt idx="0">
                  <c:v>Доступность библиотечных ресурсов</c:v>
                </c:pt>
                <c:pt idx="1">
                  <c:v>Качество реализации санитарных мер (чистота коридоров, кабинетов, уборных и т.д.)</c:v>
                </c:pt>
                <c:pt idx="2">
                  <c:v>Оснащенность спортивно-оздоровительных комплексов</c:v>
                </c:pt>
                <c:pt idx="3">
                  <c:v>Удобство использования "Личного кабинета студента" на портале https://portal.nosu.ru/</c:v>
                </c:pt>
                <c:pt idx="4">
                  <c:v>Доступность специализированных компьютерных программ</c:v>
                </c:pt>
                <c:pt idx="5">
                  <c:v>Качество питания в столовых и буфетах</c:v>
                </c:pt>
                <c:pt idx="6">
                  <c:v>Организация ДИСТАНЦИОННЫХ научных мероприятий (конференции, круглые столы, конкурсы и т.д.) </c:v>
                </c:pt>
                <c:pt idx="7">
                  <c:v>Организация ОЧНЫХ научных мероприятий (конференции, круглые столы, конкурсы и т.д.) </c:v>
                </c:pt>
                <c:pt idx="8">
                  <c:v>Участие научного руководителя при выполнении студенческих научно-исследовательских проектов, курсовых и дипломных работ </c:v>
                </c:pt>
                <c:pt idx="9">
                  <c:v>Возможность бесплатно опубликовать научные статьи </c:v>
                </c:pt>
                <c:pt idx="10">
                  <c:v>Готовность сотрудников деканата оказать помощь </c:v>
                </c:pt>
                <c:pt idx="11">
                  <c:v>Деятельность студенческой профсоюзной организации</c:v>
                </c:pt>
                <c:pt idx="12">
                  <c:v>Деятельность студенческого совета</c:v>
                </c:pt>
                <c:pt idx="13">
                  <c:v>Своевременность информирования студентов со стороны деканата </c:v>
                </c:pt>
                <c:pt idx="14">
                  <c:v>Материальное стимулирование научной деятельности студентов (ПГАС, именные стипендии и т.д.) </c:v>
                </c:pt>
                <c:pt idx="15">
                  <c:v>Удобство расписания учебных занятий</c:v>
                </c:pt>
              </c:strCache>
            </c:strRef>
          </c:cat>
          <c:val>
            <c:numRef>
              <c:f>ист!$H$1:$H$16</c:f>
            </c:numRef>
          </c:val>
          <c:extLst>
            <c:ext xmlns:c16="http://schemas.microsoft.com/office/drawing/2014/chart" uri="{C3380CC4-5D6E-409C-BE32-E72D297353CC}">
              <c16:uniqueId val="{00000006-AC71-4296-8F27-4027EED30BA3}"/>
            </c:ext>
          </c:extLst>
        </c:ser>
        <c:ser>
          <c:idx val="7"/>
          <c:order val="7"/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ист!$A$1:$A$16</c:f>
              <c:strCache>
                <c:ptCount val="16"/>
                <c:pt idx="0">
                  <c:v>Доступность библиотечных ресурсов</c:v>
                </c:pt>
                <c:pt idx="1">
                  <c:v>Качество реализации санитарных мер (чистота коридоров, кабинетов, уборных и т.д.)</c:v>
                </c:pt>
                <c:pt idx="2">
                  <c:v>Оснащенность спортивно-оздоровительных комплексов</c:v>
                </c:pt>
                <c:pt idx="3">
                  <c:v>Удобство использования "Личного кабинета студента" на портале https://portal.nosu.ru/</c:v>
                </c:pt>
                <c:pt idx="4">
                  <c:v>Доступность специализированных компьютерных программ</c:v>
                </c:pt>
                <c:pt idx="5">
                  <c:v>Качество питания в столовых и буфетах</c:v>
                </c:pt>
                <c:pt idx="6">
                  <c:v>Организация ДИСТАНЦИОННЫХ научных мероприятий (конференции, круглые столы, конкурсы и т.д.) </c:v>
                </c:pt>
                <c:pt idx="7">
                  <c:v>Организация ОЧНЫХ научных мероприятий (конференции, круглые столы, конкурсы и т.д.) </c:v>
                </c:pt>
                <c:pt idx="8">
                  <c:v>Участие научного руководителя при выполнении студенческих научно-исследовательских проектов, курсовых и дипломных работ </c:v>
                </c:pt>
                <c:pt idx="9">
                  <c:v>Возможность бесплатно опубликовать научные статьи </c:v>
                </c:pt>
                <c:pt idx="10">
                  <c:v>Готовность сотрудников деканата оказать помощь </c:v>
                </c:pt>
                <c:pt idx="11">
                  <c:v>Деятельность студенческой профсоюзной организации</c:v>
                </c:pt>
                <c:pt idx="12">
                  <c:v>Деятельность студенческого совета</c:v>
                </c:pt>
                <c:pt idx="13">
                  <c:v>Своевременность информирования студентов со стороны деканата </c:v>
                </c:pt>
                <c:pt idx="14">
                  <c:v>Материальное стимулирование научной деятельности студентов (ПГАС, именные стипендии и т.д.) </c:v>
                </c:pt>
                <c:pt idx="15">
                  <c:v>Удобство расписания учебных занятий</c:v>
                </c:pt>
              </c:strCache>
            </c:strRef>
          </c:cat>
          <c:val>
            <c:numRef>
              <c:f>ист!$I$1:$I$16</c:f>
              <c:numCache>
                <c:formatCode>General</c:formatCode>
                <c:ptCount val="16"/>
                <c:pt idx="0">
                  <c:v>0.87000000000000022</c:v>
                </c:pt>
                <c:pt idx="1">
                  <c:v>0.7200000000000002</c:v>
                </c:pt>
                <c:pt idx="2">
                  <c:v>0.83000000000000018</c:v>
                </c:pt>
                <c:pt idx="3">
                  <c:v>0.64000000000000024</c:v>
                </c:pt>
                <c:pt idx="4">
                  <c:v>0.66000000000000025</c:v>
                </c:pt>
                <c:pt idx="5">
                  <c:v>0.65000000000000024</c:v>
                </c:pt>
                <c:pt idx="6">
                  <c:v>0.75000000000000022</c:v>
                </c:pt>
                <c:pt idx="7">
                  <c:v>0.8500000000000002</c:v>
                </c:pt>
                <c:pt idx="8">
                  <c:v>0.84000000000000019</c:v>
                </c:pt>
                <c:pt idx="9">
                  <c:v>0.8</c:v>
                </c:pt>
                <c:pt idx="10">
                  <c:v>0.9</c:v>
                </c:pt>
                <c:pt idx="11">
                  <c:v>0.68</c:v>
                </c:pt>
                <c:pt idx="12">
                  <c:v>0.78</c:v>
                </c:pt>
                <c:pt idx="13">
                  <c:v>0.86000000000000021</c:v>
                </c:pt>
                <c:pt idx="14">
                  <c:v>0.77000000000000024</c:v>
                </c:pt>
                <c:pt idx="15">
                  <c:v>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AC71-4296-8F27-4027EED30B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27974400"/>
        <c:axId val="127980288"/>
      </c:barChart>
      <c:catAx>
        <c:axId val="127974400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27980288"/>
        <c:crosses val="autoZero"/>
        <c:auto val="1"/>
        <c:lblAlgn val="ctr"/>
        <c:lblOffset val="100"/>
        <c:noMultiLvlLbl val="0"/>
      </c:catAx>
      <c:valAx>
        <c:axId val="127980288"/>
        <c:scaling>
          <c:orientation val="minMax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279744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 i="0" baseline="0">
                <a:effectLst/>
              </a:rPr>
              <a:t>Рисунок 4. </a:t>
            </a:r>
            <a:r>
              <a:rPr lang="ru-RU" sz="1200" b="0" i="0" baseline="0">
                <a:effectLst/>
              </a:rPr>
              <a:t>В случае необходимости получения образовательных услуг Вашими родными, близкими Вы порекомендуете обратиться (поступить) в СОГУ? </a:t>
            </a:r>
            <a:r>
              <a:rPr lang="ru-RU" sz="1200" b="0" i="1" baseline="0">
                <a:effectLst/>
              </a:rPr>
              <a:t>(%)</a:t>
            </a:r>
            <a:endParaRPr lang="ru-RU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rgbClr val="00B05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09C0-4AF7-A23C-40F8EA41BD9F}"/>
              </c:ext>
            </c:extLst>
          </c:dPt>
          <c:dPt>
            <c:idx val="1"/>
            <c:bubble3D val="0"/>
            <c:spPr>
              <a:solidFill>
                <a:srgbClr val="92D05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09C0-4AF7-A23C-40F8EA41BD9F}"/>
              </c:ext>
            </c:extLst>
          </c:dPt>
          <c:dPt>
            <c:idx val="2"/>
            <c:bubble3D val="0"/>
            <c:spPr>
              <a:solidFill>
                <a:srgbClr val="C000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09C0-4AF7-A23C-40F8EA41BD9F}"/>
              </c:ext>
            </c:extLst>
          </c:dPt>
          <c:dPt>
            <c:idx val="3"/>
            <c:bubble3D val="0"/>
            <c:spPr>
              <a:solidFill>
                <a:srgbClr val="FF00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09C0-4AF7-A23C-40F8EA41BD9F}"/>
              </c:ext>
            </c:extLst>
          </c:dPt>
          <c:dPt>
            <c:idx val="4"/>
            <c:bubble3D val="0"/>
            <c:spPr>
              <a:solidFill>
                <a:schemeClr val="bg1">
                  <a:lumMod val="65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09C0-4AF7-A23C-40F8EA41BD9F}"/>
              </c:ext>
            </c:extLst>
          </c:dPt>
          <c:dLbls>
            <c:dLbl>
              <c:idx val="0"/>
              <c:dLblPos val="out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9C0-4AF7-A23C-40F8EA41BD9F}"/>
                </c:ext>
              </c:extLst>
            </c:dLbl>
            <c:dLbl>
              <c:idx val="1"/>
              <c:dLblPos val="out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9C0-4AF7-A23C-40F8EA41BD9F}"/>
                </c:ext>
              </c:extLst>
            </c:dLbl>
            <c:dLbl>
              <c:idx val="2"/>
              <c:layout>
                <c:manualLayout>
                  <c:x val="-6.6645168225303683E-2"/>
                  <c:y val="0.17341040462427745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9C0-4AF7-A23C-40F8EA41BD9F}"/>
                </c:ext>
              </c:extLst>
            </c:dLbl>
            <c:dLbl>
              <c:idx val="3"/>
              <c:layout>
                <c:manualLayout>
                  <c:x val="-0.13759002472320755"/>
                  <c:y val="3.8535645472061654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09C0-4AF7-A23C-40F8EA41BD9F}"/>
                </c:ext>
              </c:extLst>
            </c:dLbl>
            <c:dLbl>
              <c:idx val="4"/>
              <c:layout>
                <c:manualLayout>
                  <c:x val="0.29882833494571637"/>
                  <c:y val="5.7803468208092443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09C0-4AF7-A23C-40F8EA41BD9F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Лист6!$A$1:$A$5</c:f>
              <c:strCache>
                <c:ptCount val="5"/>
                <c:pt idx="0">
                  <c:v>Безусловно порекомендую</c:v>
                </c:pt>
                <c:pt idx="1">
                  <c:v>Скорее, порекомендую</c:v>
                </c:pt>
                <c:pt idx="2">
                  <c:v>Скорее, не порекомендую</c:v>
                </c:pt>
                <c:pt idx="3">
                  <c:v>Безусловно не порекомендую</c:v>
                </c:pt>
                <c:pt idx="4">
                  <c:v>Затрудняюсь ответить</c:v>
                </c:pt>
              </c:strCache>
            </c:strRef>
          </c:cat>
          <c:val>
            <c:numRef>
              <c:f>Лист6!$B$1:$B$5</c:f>
              <c:numCache>
                <c:formatCode>General</c:formatCode>
                <c:ptCount val="5"/>
                <c:pt idx="0">
                  <c:v>49.1</c:v>
                </c:pt>
                <c:pt idx="1">
                  <c:v>34</c:v>
                </c:pt>
                <c:pt idx="2">
                  <c:v>5.0999999999999996</c:v>
                </c:pt>
                <c:pt idx="3">
                  <c:v>2.1</c:v>
                </c:pt>
                <c:pt idx="4">
                  <c:v>9.6999999999999993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9C0-4AF7-A23C-40F8EA41BD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 i="0" baseline="0">
                <a:effectLst/>
              </a:rPr>
              <a:t>Рисунок 5. </a:t>
            </a:r>
            <a:r>
              <a:rPr lang="ru-RU" sz="1200" b="0" i="0" baseline="0">
                <a:effectLst/>
              </a:rPr>
              <a:t>В случае необходимости получения дополнительного образования или повышения квалификации Вы лично обратитесь снова за образовательными услугами в СОГУ? </a:t>
            </a:r>
            <a:r>
              <a:rPr lang="ru-RU" sz="1200" b="0" i="1" baseline="0">
                <a:effectLst/>
              </a:rPr>
              <a:t>(%)</a:t>
            </a:r>
            <a:endParaRPr lang="ru-RU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6">
                  <a:lumMod val="75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11F0-4023-9F25-248D1D72065E}"/>
              </c:ext>
            </c:extLst>
          </c:dPt>
          <c:dPt>
            <c:idx val="1"/>
            <c:bubble3D val="0"/>
            <c:spPr>
              <a:solidFill>
                <a:schemeClr val="accent6">
                  <a:lumMod val="60000"/>
                  <a:lumOff val="4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11F0-4023-9F25-248D1D72065E}"/>
              </c:ext>
            </c:extLst>
          </c:dPt>
          <c:dPt>
            <c:idx val="2"/>
            <c:bubble3D val="0"/>
            <c:spPr>
              <a:solidFill>
                <a:srgbClr val="FF00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11F0-4023-9F25-248D1D72065E}"/>
              </c:ext>
            </c:extLst>
          </c:dPt>
          <c:dPt>
            <c:idx val="3"/>
            <c:bubble3D val="0"/>
            <c:spPr>
              <a:solidFill>
                <a:srgbClr val="C000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11F0-4023-9F25-248D1D72065E}"/>
              </c:ext>
            </c:extLst>
          </c:dPt>
          <c:dPt>
            <c:idx val="4"/>
            <c:bubble3D val="0"/>
            <c:spPr>
              <a:solidFill>
                <a:schemeClr val="bg1">
                  <a:lumMod val="65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11F0-4023-9F25-248D1D72065E}"/>
              </c:ext>
            </c:extLst>
          </c:dPt>
          <c:dLbls>
            <c:dLbl>
              <c:idx val="0"/>
              <c:layout>
                <c:manualLayout>
                  <c:x val="1.4981273408239543E-2"/>
                  <c:y val="0.25048169556840066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11F0-4023-9F25-248D1D72065E}"/>
                </c:ext>
              </c:extLst>
            </c:dLbl>
            <c:dLbl>
              <c:idx val="2"/>
              <c:layout>
                <c:manualLayout>
                  <c:x val="-0.10700909577314072"/>
                  <c:y val="0.23121387283236985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11F0-4023-9F25-248D1D72065E}"/>
                </c:ext>
              </c:extLst>
            </c:dLbl>
            <c:dLbl>
              <c:idx val="3"/>
              <c:layout>
                <c:manualLayout>
                  <c:x val="-0.11128945960406635"/>
                  <c:y val="2.8901734104046287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11F0-4023-9F25-248D1D72065E}"/>
                </c:ext>
              </c:extLst>
            </c:dLbl>
            <c:dLbl>
              <c:idx val="4"/>
              <c:layout>
                <c:manualLayout>
                  <c:x val="0.29962546816479402"/>
                  <c:y val="6.7437379576107903E-2"/>
                </c:manualLayout>
              </c:layout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11F0-4023-9F25-248D1D72065E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Лист7!$A$1:$A$5</c:f>
              <c:strCache>
                <c:ptCount val="5"/>
                <c:pt idx="0">
                  <c:v>Безусловно да</c:v>
                </c:pt>
                <c:pt idx="1">
                  <c:v>Скорее, да</c:v>
                </c:pt>
                <c:pt idx="2">
                  <c:v>Скорее, нет</c:v>
                </c:pt>
                <c:pt idx="3">
                  <c:v>Безусловно нет</c:v>
                </c:pt>
                <c:pt idx="4">
                  <c:v>Затрудняюсь ответить</c:v>
                </c:pt>
              </c:strCache>
            </c:strRef>
          </c:cat>
          <c:val>
            <c:numRef>
              <c:f>Лист7!$B$1:$B$5</c:f>
              <c:numCache>
                <c:formatCode>General</c:formatCode>
                <c:ptCount val="5"/>
                <c:pt idx="0">
                  <c:v>41.1</c:v>
                </c:pt>
                <c:pt idx="1">
                  <c:v>33.6</c:v>
                </c:pt>
                <c:pt idx="2">
                  <c:v>9.5</c:v>
                </c:pt>
                <c:pt idx="3">
                  <c:v>2.4</c:v>
                </c:pt>
                <c:pt idx="4">
                  <c:v>13.4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11F0-4023-9F25-248D1D7206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 i="0" baseline="0">
                <a:effectLst/>
              </a:rPr>
              <a:t>Рисунок 6.</a:t>
            </a:r>
            <a:r>
              <a:rPr lang="ru-RU" sz="1200" b="0" i="0" baseline="0">
                <a:effectLst/>
              </a:rPr>
              <a:t> Как бы вы оценили перспективы собственного трудоустройства по осваиваемой специальности в первый год после окончания СОГУ? </a:t>
            </a:r>
            <a:r>
              <a:rPr lang="ru-RU" sz="1200" b="0" i="1" baseline="0">
                <a:effectLst/>
              </a:rPr>
              <a:t>(%)</a:t>
            </a:r>
            <a:endParaRPr lang="ru-RU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Лист8!$A$1:$A$7</c:f>
              <c:strCache>
                <c:ptCount val="7"/>
                <c:pt idx="0">
                  <c:v>Я уже работаю по специальности</c:v>
                </c:pt>
                <c:pt idx="1">
                  <c:v>У меня не будет никаких проблем с трудоустройством</c:v>
                </c:pt>
                <c:pt idx="2">
                  <c:v>Возникнут незначительные сложности, но в конечном итоге я найду работу</c:v>
                </c:pt>
                <c:pt idx="3">
                  <c:v>Я смогу трудоустроиться, но с большим трудом</c:v>
                </c:pt>
                <c:pt idx="4">
                  <c:v>Я не планирую трудоустраиваться по осваиваемой специальности</c:v>
                </c:pt>
                <c:pt idx="5">
                  <c:v>Скорее всего я не смогу найти работу</c:v>
                </c:pt>
                <c:pt idx="6">
                  <c:v>Затрудняюсь ответить</c:v>
                </c:pt>
              </c:strCache>
            </c:strRef>
          </c:cat>
          <c:val>
            <c:numRef>
              <c:f>Лист8!$B$1:$B$7</c:f>
              <c:numCache>
                <c:formatCode>General</c:formatCode>
                <c:ptCount val="7"/>
                <c:pt idx="0">
                  <c:v>13.8</c:v>
                </c:pt>
                <c:pt idx="1">
                  <c:v>37</c:v>
                </c:pt>
                <c:pt idx="2">
                  <c:v>17.5</c:v>
                </c:pt>
                <c:pt idx="3">
                  <c:v>5.7</c:v>
                </c:pt>
                <c:pt idx="4">
                  <c:v>4.7</c:v>
                </c:pt>
                <c:pt idx="5">
                  <c:v>2.2000000000000002</c:v>
                </c:pt>
                <c:pt idx="6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E1-4A4D-A7C9-3B50E926728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435764256"/>
        <c:axId val="435768000"/>
        <c:axId val="0"/>
      </c:bar3DChart>
      <c:catAx>
        <c:axId val="435764256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35768000"/>
        <c:crosses val="autoZero"/>
        <c:auto val="1"/>
        <c:lblAlgn val="ctr"/>
        <c:lblOffset val="100"/>
        <c:noMultiLvlLbl val="0"/>
      </c:catAx>
      <c:valAx>
        <c:axId val="435768000"/>
        <c:scaling>
          <c:orientation val="minMax"/>
        </c:scaling>
        <c:delete val="1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4357642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 i="0" baseline="0">
                <a:effectLst/>
              </a:rPr>
              <a:t>Рисунок 7.</a:t>
            </a:r>
            <a:r>
              <a:rPr lang="ru-RU" sz="1200" b="0" i="0" baseline="0">
                <a:effectLst/>
              </a:rPr>
              <a:t> Если Вам НЕ удастся трудоустроиться по специальности (профессии), то какие действия Вы предпримете? </a:t>
            </a:r>
            <a:r>
              <a:rPr lang="ru-RU" sz="1200" b="0" i="1" baseline="0">
                <a:effectLst/>
              </a:rPr>
              <a:t>(%)</a:t>
            </a:r>
            <a:endParaRPr lang="ru-RU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Лист9!$A$1:$A$8</c:f>
              <c:strCache>
                <c:ptCount val="8"/>
                <c:pt idx="0">
                  <c:v>Попробую трудоустроиться в смежных сферах</c:v>
                </c:pt>
                <c:pt idx="1">
                  <c:v>Продолжу обучение/ повышение квалификации по своей специальности</c:v>
                </c:pt>
                <c:pt idx="2">
                  <c:v>Постараюсь освоить другую профессию, более востребованную на рынке труда</c:v>
                </c:pt>
                <c:pt idx="3">
                  <c:v>Постараюсь найти работу по специальности или в смежной сфере в другом регионе, за границей</c:v>
                </c:pt>
                <c:pt idx="4">
                  <c:v>Буду работать там, где предложат, вне зависимости от специальности</c:v>
                </c:pt>
                <c:pt idx="5">
                  <c:v>Затрудняюсь ответить, так как трудоустроен в настоящее время</c:v>
                </c:pt>
                <c:pt idx="6">
                  <c:v>Попробую найти работу в вузе</c:v>
                </c:pt>
                <c:pt idx="7">
                  <c:v>Ничего не буду делать</c:v>
                </c:pt>
              </c:strCache>
            </c:strRef>
          </c:cat>
          <c:val>
            <c:numRef>
              <c:f>Лист9!$B$1:$B$8</c:f>
              <c:numCache>
                <c:formatCode>General</c:formatCode>
                <c:ptCount val="8"/>
                <c:pt idx="0">
                  <c:v>26.7</c:v>
                </c:pt>
                <c:pt idx="1">
                  <c:v>25.1</c:v>
                </c:pt>
                <c:pt idx="2">
                  <c:v>9.3000000000000007</c:v>
                </c:pt>
                <c:pt idx="3">
                  <c:v>9.9</c:v>
                </c:pt>
                <c:pt idx="4">
                  <c:v>3.4</c:v>
                </c:pt>
                <c:pt idx="5">
                  <c:v>4.5999999999999996</c:v>
                </c:pt>
                <c:pt idx="6">
                  <c:v>2.2999999999999998</c:v>
                </c:pt>
                <c:pt idx="7">
                  <c:v>1.3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C04-4833-BD36-8F2989270C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90198128"/>
        <c:axId val="190204368"/>
        <c:axId val="0"/>
      </c:bar3DChart>
      <c:catAx>
        <c:axId val="19019812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204368"/>
        <c:crosses val="autoZero"/>
        <c:auto val="1"/>
        <c:lblAlgn val="ctr"/>
        <c:lblOffset val="100"/>
        <c:noMultiLvlLbl val="0"/>
      </c:catAx>
      <c:valAx>
        <c:axId val="190204368"/>
        <c:scaling>
          <c:orientation val="minMax"/>
        </c:scaling>
        <c:delete val="1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901981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 i="0" baseline="0">
                <a:effectLst/>
              </a:rPr>
              <a:t>Рисунок 8</a:t>
            </a:r>
            <a:r>
              <a:rPr lang="ru-RU" sz="1200" b="0" i="0" baseline="0">
                <a:effectLst/>
              </a:rPr>
              <a:t>. При каком минимальном размере заработной платы Вы согласитесь выйти на работу (на полный рабочий день) по специальности после окончания обучения? </a:t>
            </a:r>
            <a:r>
              <a:rPr lang="ru-RU" sz="1200" b="0" i="1" baseline="0">
                <a:effectLst/>
              </a:rPr>
              <a:t>(%)</a:t>
            </a:r>
            <a:endParaRPr lang="ru-RU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Лист10!$A$1:$A$10</c:f>
              <c:strCache>
                <c:ptCount val="10"/>
                <c:pt idx="0">
                  <c:v>11 - 20 тыс. руб. в месяц</c:v>
                </c:pt>
                <c:pt idx="1">
                  <c:v>21 - 30 тыс. руб. в месяц</c:v>
                </c:pt>
                <c:pt idx="2">
                  <c:v>31 - 40 тыс. руб. в месяц</c:v>
                </c:pt>
                <c:pt idx="3">
                  <c:v>41 - 50 тыс. руб. в месяц</c:v>
                </c:pt>
                <c:pt idx="4">
                  <c:v>51 - 60 тыс. руб. в месяц</c:v>
                </c:pt>
                <c:pt idx="5">
                  <c:v>61 - 70 тыс. руб. в месяц</c:v>
                </c:pt>
                <c:pt idx="6">
                  <c:v>71 – 80 тыс. руб. в месяц</c:v>
                </c:pt>
                <c:pt idx="7">
                  <c:v>81 – 90 тыс. руб. в месяц</c:v>
                </c:pt>
                <c:pt idx="8">
                  <c:v>Более 91 тыс. руб. в месяц</c:v>
                </c:pt>
                <c:pt idx="9">
                  <c:v>Затрудняюсь ответить</c:v>
                </c:pt>
              </c:strCache>
            </c:strRef>
          </c:cat>
          <c:val>
            <c:numRef>
              <c:f>Лист10!$B$1:$B$10</c:f>
              <c:numCache>
                <c:formatCode>General</c:formatCode>
                <c:ptCount val="10"/>
                <c:pt idx="0">
                  <c:v>1.3</c:v>
                </c:pt>
                <c:pt idx="1">
                  <c:v>4.2</c:v>
                </c:pt>
                <c:pt idx="2">
                  <c:v>11.7</c:v>
                </c:pt>
                <c:pt idx="3">
                  <c:v>15.4</c:v>
                </c:pt>
                <c:pt idx="4">
                  <c:v>13.4</c:v>
                </c:pt>
                <c:pt idx="5">
                  <c:v>9.9</c:v>
                </c:pt>
                <c:pt idx="6">
                  <c:v>7.3</c:v>
                </c:pt>
                <c:pt idx="7">
                  <c:v>6.1</c:v>
                </c:pt>
                <c:pt idx="8">
                  <c:v>21.9</c:v>
                </c:pt>
                <c:pt idx="9">
                  <c:v>8.8000000000000007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4C4-4D87-A82F-D1B95178641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256977216"/>
        <c:axId val="334024656"/>
        <c:axId val="0"/>
      </c:bar3DChart>
      <c:catAx>
        <c:axId val="256977216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334024656"/>
        <c:crosses val="autoZero"/>
        <c:auto val="1"/>
        <c:lblAlgn val="ctr"/>
        <c:lblOffset val="100"/>
        <c:noMultiLvlLbl val="0"/>
      </c:catAx>
      <c:valAx>
        <c:axId val="334024656"/>
        <c:scaling>
          <c:orientation val="minMax"/>
        </c:scaling>
        <c:delete val="1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2569772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 i="0" baseline="0">
                <a:effectLst/>
              </a:rPr>
              <a:t>Рисунок 9.</a:t>
            </a:r>
            <a:r>
              <a:rPr lang="ru-RU" sz="1200" b="0" i="0" baseline="0">
                <a:effectLst/>
              </a:rPr>
              <a:t> В какой организации Вы бы предпочли работать? </a:t>
            </a:r>
            <a:r>
              <a:rPr lang="ru-RU" sz="1200" b="0" i="1" baseline="0">
                <a:effectLst/>
              </a:rPr>
              <a:t>(%)</a:t>
            </a:r>
            <a:endParaRPr lang="ru-RU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D0E7-4A27-9DD4-488A4731AF7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D0E7-4A27-9DD4-488A4731AF7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D0E7-4A27-9DD4-488A4731AF7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D0E7-4A27-9DD4-488A4731AF74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D0E7-4A27-9DD4-488A4731AF74}"/>
              </c:ext>
            </c:extLst>
          </c:dPt>
          <c:dLbls>
            <c:dLbl>
              <c:idx val="0"/>
              <c:layout>
                <c:manualLayout>
                  <c:x val="0.13199868001319986"/>
                  <c:y val="-0.10729023383768918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D0E7-4A27-9DD4-488A4731AF74}"/>
                </c:ext>
              </c:extLst>
            </c:dLbl>
            <c:dLbl>
              <c:idx val="1"/>
              <c:layout>
                <c:manualLayout>
                  <c:x val="0.24419755802441975"/>
                  <c:y val="3.0261348005502064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D0E7-4A27-9DD4-488A4731AF74}"/>
                </c:ext>
              </c:extLst>
            </c:dLbl>
            <c:dLbl>
              <c:idx val="2"/>
              <c:layout>
                <c:manualLayout>
                  <c:x val="-0.31019689803101969"/>
                  <c:y val="-1.3755158184319221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D0E7-4A27-9DD4-488A4731AF74}"/>
                </c:ext>
              </c:extLst>
            </c:dLbl>
            <c:dLbl>
              <c:idx val="3"/>
              <c:layout>
                <c:manualLayout>
                  <c:x val="-0.17819821801781985"/>
                  <c:y val="-9.9037138927097659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D0E7-4A27-9DD4-488A4731AF74}"/>
                </c:ext>
              </c:extLst>
            </c:dLbl>
            <c:dLbl>
              <c:idx val="4"/>
              <c:layout>
                <c:manualLayout>
                  <c:x val="-0.16279837201627989"/>
                  <c:y val="-5.2269601100412656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D0E7-4A27-9DD4-488A4731AF74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sz="10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Лист11!$A$1:$A$5</c:f>
              <c:strCache>
                <c:ptCount val="5"/>
                <c:pt idx="0">
                  <c:v>В частной коммерческой компании</c:v>
                </c:pt>
                <c:pt idx="1">
                  <c:v>В государственном бюджетномучреждении (федеральное,республиканское, муниципальное)</c:v>
                </c:pt>
                <c:pt idx="2">
                  <c:v>В некоммерческой организации(благотворительные фонды,религиозные и политическиедвижения и т.п.)</c:v>
                </c:pt>
                <c:pt idx="3">
                  <c:v>Предпочитаю работать на себя</c:v>
                </c:pt>
                <c:pt idx="4">
                  <c:v>Затрудняюсь ответить</c:v>
                </c:pt>
              </c:strCache>
            </c:strRef>
          </c:cat>
          <c:val>
            <c:numRef>
              <c:f>Лист11!$B$1:$B$5</c:f>
              <c:numCache>
                <c:formatCode>General</c:formatCode>
                <c:ptCount val="5"/>
                <c:pt idx="0">
                  <c:v>33.799999999999997</c:v>
                </c:pt>
                <c:pt idx="1">
                  <c:v>18.100000000000001</c:v>
                </c:pt>
                <c:pt idx="2">
                  <c:v>1.8</c:v>
                </c:pt>
                <c:pt idx="3">
                  <c:v>26.2</c:v>
                </c:pt>
                <c:pt idx="4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D0E7-4A27-9DD4-488A4731AF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  <c:holeSize val="75"/>
      </c:doughnut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63676-F62E-484D-9810-3AAB9808C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7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Дзусов Ирбек Игоревич</dc:creator>
  <cp:keywords/>
  <dc:description/>
  <cp:lastModifiedBy>User</cp:lastModifiedBy>
  <cp:revision>15</cp:revision>
  <dcterms:created xsi:type="dcterms:W3CDTF">2023-10-18T09:08:00Z</dcterms:created>
  <dcterms:modified xsi:type="dcterms:W3CDTF">2025-04-22T08:26:00Z</dcterms:modified>
</cp:coreProperties>
</file>