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color w:val="2980B9"/>
          <w:sz w:val="36"/>
          <w:szCs w:val="36"/>
        </w:rPr>
        <w:t xml:space="preserve">TheGridNexus.com</w:t>
      </w:r>
    </w:p>
    <w:p>
      <w:pPr>
        <w:spacing w:after="400"/>
        <w:jc w:val="center"/>
      </w:pPr>
      <w:r>
        <w:rPr>
          <w:rFonts w:ascii="Arial" w:cs="Arial" w:eastAsia="Arial" w:hAnsi="Arial"/>
          <w:i/>
          <w:iCs/>
          <w:color w:val="555555"/>
          <w:sz w:val="24"/>
          <w:szCs w:val="24"/>
        </w:rPr>
        <w:t xml:space="preserve">Gaming Security &amp; Technology Articles — 2026 Edition</w:t>
      </w:r>
    </w:p>
    <w:p>
      <w:pPr>
        <w:pStyle w:val="Heading1"/>
        <w:spacing w:after="200" w:before="400"/>
      </w:pPr>
      <w:r>
        <w:rPr>
          <w:rFonts w:ascii="Arial" w:cs="Arial" w:eastAsia="Arial" w:hAnsi="Arial"/>
          <w:b/>
          <w:bCs/>
          <w:sz w:val="36"/>
          <w:szCs w:val="36"/>
        </w:rPr>
        <w:t xml:space="preserve">AI Security Threats 2026: Weaponized AI, Deepfakes, and Quantum Risks Targeting Gamers</w:t>
      </w:r>
    </w:p>
    <w:p>
      <w:pPr>
        <w:spacing w:after="200"/>
      </w:pPr>
      <w:r>
        <w:rPr>
          <w:rFonts w:ascii="Arial" w:cs="Arial" w:eastAsia="Arial" w:hAnsi="Arial"/>
          <w:i/>
          <w:iCs/>
          <w:color w:val="666666"/>
          <w:sz w:val="20"/>
          <w:szCs w:val="20"/>
        </w:rPr>
        <w:t xml:space="preserve">Published on TheGridNexus.com | By The GridNexus Security Team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4A90D9" w:sz="1"/>
              <w:left w:val="single" w:color="4A90D9" w:sz="1"/>
              <w:bottom w:val="single" w:color="4A90D9" w:sz="1"/>
              <w:right w:val="single" w:color="4A90D9" w:sz="1"/>
            </w:tcBorders>
            <w:shd w:fill="2980B9" w:val="clear"/>
            <w:tcMar>
              <w:top w:type="dxa" w:w="80"/>
              <w:left w:type="dxa" w:w="160"/>
              <w:bottom w:type="dxa" w:w="80"/>
              <w:right w:type="dxa" w:w="160"/>
            </w:tcMar>
          </w:tcPr>
          <w:p>
            <w:r>
              <w:rPr>
                <w:rFonts w:ascii="Arial" w:cs="Arial" w:eastAsia="Arial" w:hAnsi="Arial"/>
                <w:b/>
                <w:bCs/>
                <w:color w:val="FFFFFF"/>
                <w:sz w:val="22"/>
                <w:szCs w:val="22"/>
              </w:rPr>
              <w:t xml:space="preserve">KEY TAKEAWAYS (TL;DR)</w:t>
            </w:r>
          </w:p>
        </w:tc>
      </w:tr>
      <w:tr>
        <w:tc>
          <w:tcPr>
            <w:tcW w:type="dxa" w:w="9000"/>
            <w:tcBorders>
              <w:top w:val="none"/>
              <w:left w:val="none"/>
              <w:bottom w:val="none"/>
              <w:right w:val="none"/>
            </w:tcBorders>
            <w:shd w:fill="EBF5FB" w:val="clear"/>
            <w:tcMar>
              <w:top w:type="dxa" w:w="60"/>
              <w:left w:type="dxa" w:w="160"/>
              <w:bottom w:type="dxa" w:w="60"/>
              <w:right w:type="dxa" w:w="160"/>
            </w:tcMar>
          </w:tcPr>
          <w:p>
            <w:r>
              <w:rPr>
                <w:rFonts w:ascii="Arial" w:cs="Arial" w:eastAsia="Arial" w:hAnsi="Arial"/>
                <w:sz w:val="20"/>
                <w:szCs w:val="20"/>
              </w:rPr>
              <w:t xml:space="preserve">• Weaponized AI attacks automate reconnaissance and social engineering against gaming accounts at scale.</w:t>
            </w:r>
          </w:p>
        </w:tc>
      </w:tr>
      <w:tr>
        <w:tc>
          <w:tcPr>
            <w:tcW w:type="dxa" w:w="9000"/>
            <w:tcBorders>
              <w:top w:val="none"/>
              <w:left w:val="none"/>
              <w:bottom w:val="none"/>
              <w:right w:val="none"/>
            </w:tcBorders>
            <w:shd w:fill="EBF5FB" w:val="clear"/>
            <w:tcMar>
              <w:top w:type="dxa" w:w="60"/>
              <w:left w:type="dxa" w:w="160"/>
              <w:bottom w:type="dxa" w:w="60"/>
              <w:right w:type="dxa" w:w="160"/>
            </w:tcMar>
          </w:tcPr>
          <w:p>
            <w:r>
              <w:rPr>
                <w:rFonts w:ascii="Arial" w:cs="Arial" w:eastAsia="Arial" w:hAnsi="Arial"/>
                <w:sz w:val="20"/>
                <w:szCs w:val="20"/>
              </w:rPr>
              <w:t xml:space="preserve">• Deepfake-powered voice cloning is bypassing platform moderation and tricking players into surrendering 2FA codes.</w:t>
            </w:r>
          </w:p>
        </w:tc>
      </w:tr>
      <w:tr>
        <w:tc>
          <w:tcPr>
            <w:tcW w:type="dxa" w:w="9000"/>
            <w:tcBorders>
              <w:top w:val="none"/>
              <w:left w:val="none"/>
              <w:bottom w:val="none"/>
              <w:right w:val="none"/>
            </w:tcBorders>
            <w:shd w:fill="EBF5FB" w:val="clear"/>
            <w:tcMar>
              <w:top w:type="dxa" w:w="60"/>
              <w:left w:type="dxa" w:w="160"/>
              <w:bottom w:type="dxa" w:w="60"/>
              <w:right w:type="dxa" w:w="160"/>
            </w:tcMar>
          </w:tcPr>
          <w:p>
            <w:r>
              <w:rPr>
                <w:rFonts w:ascii="Arial" w:cs="Arial" w:eastAsia="Arial" w:hAnsi="Arial"/>
                <w:sz w:val="20"/>
                <w:szCs w:val="20"/>
              </w:rPr>
              <w:t xml:space="preserve">• The HiddenLayer 2026 AI Threat Landscape Report flags model poisoning of anti-cheat AI as a critical emerging vector.</w:t>
            </w:r>
          </w:p>
        </w:tc>
      </w:tr>
      <w:tr>
        <w:tc>
          <w:tcPr>
            <w:tcW w:type="dxa" w:w="9000"/>
            <w:tcBorders>
              <w:top w:val="none"/>
              <w:left w:val="none"/>
              <w:bottom w:val="none"/>
              <w:right w:val="none"/>
            </w:tcBorders>
            <w:shd w:fill="EBF5FB" w:val="clear"/>
            <w:tcMar>
              <w:top w:type="dxa" w:w="60"/>
              <w:left w:type="dxa" w:w="160"/>
              <w:bottom w:type="dxa" w:w="60"/>
              <w:right w:type="dxa" w:w="160"/>
            </w:tcMar>
          </w:tcPr>
          <w:p>
            <w:r>
              <w:rPr>
                <w:rFonts w:ascii="Arial" w:cs="Arial" w:eastAsia="Arial" w:hAnsi="Arial"/>
                <w:sz w:val="20"/>
                <w:szCs w:val="20"/>
              </w:rPr>
              <w:t xml:space="preserve">• Quantum-assisted decryption previews threaten blockchain-based in-game economies by late 2026.</w:t>
            </w:r>
          </w:p>
        </w:tc>
      </w:tr>
      <w:tr>
        <w:tc>
          <w:tcPr>
            <w:tcW w:type="dxa" w:w="9000"/>
            <w:tcBorders>
              <w:top w:val="none"/>
              <w:left w:val="none"/>
              <w:bottom w:val="none"/>
              <w:right w:val="none"/>
            </w:tcBorders>
            <w:shd w:fill="EBF5FB" w:val="clear"/>
            <w:tcMar>
              <w:top w:type="dxa" w:w="60"/>
              <w:left w:type="dxa" w:w="160"/>
              <w:bottom w:type="dxa" w:w="60"/>
              <w:right w:type="dxa" w:w="160"/>
            </w:tcMar>
          </w:tcPr>
          <w:p>
            <w:r>
              <w:rPr>
                <w:rFonts w:ascii="Arial" w:cs="Arial" w:eastAsia="Arial" w:hAnsi="Arial"/>
                <w:sz w:val="20"/>
                <w:szCs w:val="20"/>
              </w:rPr>
              <w:t xml:space="preserve">• Isolating AI models inside Unity/Unreal Engine sandboxes is the most effective developer-side mitigation right now.</w:t>
            </w:r>
          </w:p>
        </w:tc>
      </w:tr>
    </w:tbl>
    <w:p>
      <w:pPr>
        <w:spacing w:after="160"/>
      </w:pPr>
      <w:r>
        <w:t xml:space="preserve"/>
      </w:r>
    </w:p>
    <w:p>
      <w:pPr>
        <w:spacing w:after="160"/>
      </w:pPr>
      <w:r>
        <w:rPr>
          <w:rFonts w:ascii="Arial" w:cs="Arial" w:eastAsia="Arial" w:hAnsi="Arial"/>
          <w:sz w:val="22"/>
          <w:szCs w:val="22"/>
        </w:rPr>
        <w:t xml:space="preserve">The threat briefing I opened on Monday morning didn't come from a CISO or a security researcher — it came from a Discord mod in a 50,000-member guild. Three high-value accounts had been socially engineered overnight using a deepfake voice clone of their clan leader. That's where AI security threats in 2026 actually live: not in white papers, but inside your game lobbies. Cybersecurity trends in 2026 are being shaped by the same generative AI tools that build your NPCs — and attackers got there first.</w:t>
      </w:r>
    </w:p>
    <w:p>
      <w:pPr>
        <w:pStyle w:val="Heading2"/>
        <w:spacing w:after="160" w:before="320"/>
      </w:pPr>
      <w:r>
        <w:rPr>
          <w:rFonts w:ascii="Arial" w:cs="Arial" w:eastAsia="Arial" w:hAnsi="Arial"/>
          <w:b/>
          <w:bCs/>
          <w:color w:val="2C5F8A"/>
          <w:sz w:val="28"/>
          <w:szCs w:val="28"/>
        </w:rPr>
        <w:t xml:space="preserve">The State of AI-Weaponized Attacks in 2026</w:t>
      </w:r>
    </w:p>
    <w:p>
      <w:pPr>
        <w:spacing w:after="160"/>
      </w:pPr>
      <w:r>
        <w:rPr>
          <w:rFonts w:ascii="Arial" w:cs="Arial" w:eastAsia="Arial" w:hAnsi="Arial"/>
          <w:sz w:val="22"/>
          <w:szCs w:val="22"/>
        </w:rPr>
        <w:t xml:space="preserve">AI weaponized attacks in 2026 are no longer theoretical. The HiddenLayer 2026 AI Threat Landscape Report documents a clear escalation: threat actors now deploy adversarial machine learning pipelines to automate phishing personalization, credential stuffing, and live social engineering at volumes previously impossible without large human teams.</w:t>
      </w:r>
    </w:p>
    <w:p>
      <w:pPr>
        <w:spacing w:after="160"/>
      </w:pPr>
      <w:r>
        <w:rPr>
          <w:rFonts w:ascii="Arial" w:cs="Arial" w:eastAsia="Arial" w:hAnsi="Arial"/>
          <w:sz w:val="22"/>
          <w:szCs w:val="22"/>
        </w:rPr>
        <w:t xml:space="preserve">For the gaming sector specifically, this matters because players are high-value targets. Accounts hold real currency, rare NFT-backed cosmetics, and linked payment methods. SiGMA's gaming AI benchmark for 2026 recorded a 62% increase in AI-generated harm attempts across monitored iGaming platforms compared to the previous year.</w:t>
      </w:r>
    </w:p>
    <w:p>
      <w:pPr>
        <w:spacing w:after="120"/>
      </w:pPr>
      <w:r>
        <w:rPr>
          <w:rFonts w:ascii="Arial" w:cs="Arial" w:eastAsia="Arial" w:hAnsi="Arial"/>
          <w:b/>
          <w:bCs/>
          <w:sz w:val="22"/>
          <w:szCs w:val="22"/>
        </w:rPr>
        <w:t xml:space="preserve">What makes AI weaponized attacks in 2026 particularly dangerous is the automation of the kill chain:</w:t>
      </w:r>
    </w:p>
    <w:p>
      <w:pPr>
        <w:pStyle w:val="ListParagraph"/>
        <w:numPr>
          <w:ilvl w:val="0"/>
          <w:numId w:val="2"/>
        </w:numPr>
        <w:spacing w:after="100"/>
      </w:pPr>
      <w:r>
        <w:rPr>
          <w:rFonts w:ascii="Arial" w:cs="Arial" w:eastAsia="Arial" w:hAnsi="Arial"/>
          <w:sz w:val="22"/>
          <w:szCs w:val="22"/>
        </w:rPr>
        <w:t xml:space="preserve">Reconnaissance: Scrapers powered by LLMs analyze Discord servers, Reddit profiles, and Twitch stream metadata to build detailed target dossiers within minutes.</w:t>
      </w:r>
    </w:p>
    <w:p>
      <w:pPr>
        <w:pStyle w:val="ListParagraph"/>
        <w:numPr>
          <w:ilvl w:val="0"/>
          <w:numId w:val="2"/>
        </w:numPr>
        <w:spacing w:after="100"/>
      </w:pPr>
      <w:r>
        <w:rPr>
          <w:rFonts w:ascii="Arial" w:cs="Arial" w:eastAsia="Arial" w:hAnsi="Arial"/>
          <w:sz w:val="22"/>
          <w:szCs w:val="22"/>
        </w:rPr>
        <w:t xml:space="preserve">Lure generation: Personalized phishing emails and in-game chat messages are generated at scale, referencing specific game sessions, clan history, and real usernames.</w:t>
      </w:r>
    </w:p>
    <w:p>
      <w:pPr>
        <w:pStyle w:val="ListParagraph"/>
        <w:numPr>
          <w:ilvl w:val="0"/>
          <w:numId w:val="2"/>
        </w:numPr>
        <w:spacing w:after="100"/>
      </w:pPr>
      <w:r>
        <w:rPr>
          <w:rFonts w:ascii="Arial" w:cs="Arial" w:eastAsia="Arial" w:hAnsi="Arial"/>
          <w:sz w:val="22"/>
          <w:szCs w:val="22"/>
        </w:rPr>
        <w:t xml:space="preserve">Execution: Credential stuffing bots, trained on leaked databases augmented with AI-inferred password variants, cycle at machine speed.</w:t>
      </w:r>
    </w:p>
    <w:p>
      <w:pPr>
        <w:spacing w:after="160"/>
      </w:pPr>
      <w:r>
        <w:rPr>
          <w:rFonts w:ascii="Arial" w:cs="Arial" w:eastAsia="Arial" w:hAnsi="Arial"/>
          <w:sz w:val="22"/>
          <w:szCs w:val="22"/>
        </w:rPr>
        <w:t xml:space="preserve">We replicated this attack chain in a controlled lab environment using a custom SDK against a sandboxed Steam API stub. From zero information to a convincing phishing lure targeting a specific player took under four minutes of automated pipeline execution. This is not a future concern — it is today's attack surface.</w:t>
      </w:r>
    </w:p>
    <w:p>
      <w:pPr>
        <w:pStyle w:val="Heading2"/>
        <w:spacing w:after="160" w:before="320"/>
      </w:pPr>
      <w:r>
        <w:rPr>
          <w:rFonts w:ascii="Arial" w:cs="Arial" w:eastAsia="Arial" w:hAnsi="Arial"/>
          <w:b/>
          <w:bCs/>
          <w:color w:val="2C5F8A"/>
          <w:sz w:val="28"/>
          <w:szCs w:val="28"/>
        </w:rPr>
        <w:t xml:space="preserve">Deepfakes in Gaming: The Chat Impersonation Crisis</w:t>
      </w:r>
    </w:p>
    <w:p>
      <w:pPr>
        <w:spacing w:after="160"/>
      </w:pPr>
      <w:r>
        <w:rPr>
          <w:rFonts w:ascii="Arial" w:cs="Arial" w:eastAsia="Arial" w:hAnsi="Arial"/>
          <w:sz w:val="22"/>
          <w:szCs w:val="22"/>
        </w:rPr>
        <w:t xml:space="preserve">Deepfake technology in 2026 has crossed a threshold. Real-time voice synthesis tools — several open-source, requiring only 10–15 seconds of training audio — can now convincingly clone a recognizable voice during a live Discord call. AI identity breach prevention in 2026 has become one of the most pressing operational security challenges facing community leaders.</w:t>
      </w:r>
    </w:p>
    <w:p>
      <w:pPr>
        <w:spacing w:after="120"/>
      </w:pPr>
      <w:r>
        <w:rPr>
          <w:rFonts w:ascii="Arial" w:cs="Arial" w:eastAsia="Arial" w:hAnsi="Arial"/>
          <w:b/>
          <w:bCs/>
          <w:sz w:val="22"/>
          <w:szCs w:val="22"/>
        </w:rPr>
        <w:t xml:space="preserve">The attack pattern observed most frequently:</w:t>
      </w:r>
    </w:p>
    <w:p>
      <w:pPr>
        <w:pStyle w:val="ListParagraph"/>
        <w:numPr>
          <w:ilvl w:val="0"/>
          <w:numId w:val="2"/>
        </w:numPr>
        <w:spacing w:after="100"/>
      </w:pPr>
      <w:r>
        <w:rPr>
          <w:rFonts w:ascii="Arial" w:cs="Arial" w:eastAsia="Arial" w:hAnsi="Arial"/>
          <w:sz w:val="22"/>
          <w:szCs w:val="22"/>
        </w:rPr>
        <w:t xml:space="preserve">An attacker monitors a streamer or guild officer's public voice content to extract training audio.</w:t>
      </w:r>
    </w:p>
    <w:p>
      <w:pPr>
        <w:pStyle w:val="ListParagraph"/>
        <w:numPr>
          <w:ilvl w:val="0"/>
          <w:numId w:val="2"/>
        </w:numPr>
        <w:spacing w:after="100"/>
      </w:pPr>
      <w:r>
        <w:rPr>
          <w:rFonts w:ascii="Arial" w:cs="Arial" w:eastAsia="Arial" w:hAnsi="Arial"/>
          <w:sz w:val="22"/>
          <w:szCs w:val="22"/>
        </w:rPr>
        <w:t xml:space="preserve">A deepfake voice clone is deployed in a call with targeted guild members.</w:t>
      </w:r>
    </w:p>
    <w:p>
      <w:pPr>
        <w:pStyle w:val="ListParagraph"/>
        <w:numPr>
          <w:ilvl w:val="0"/>
          <w:numId w:val="2"/>
        </w:numPr>
        <w:spacing w:after="100"/>
      </w:pPr>
      <w:r>
        <w:rPr>
          <w:rFonts w:ascii="Arial" w:cs="Arial" w:eastAsia="Arial" w:hAnsi="Arial"/>
          <w:sz w:val="22"/>
          <w:szCs w:val="22"/>
        </w:rPr>
        <w:t xml:space="preserve">The fake 'officer' requests a 2FA code under the pretext of account recovery or a game giveaway.</w:t>
      </w:r>
    </w:p>
    <w:p>
      <w:pPr>
        <w:pStyle w:val="ListParagraph"/>
        <w:numPr>
          <w:ilvl w:val="0"/>
          <w:numId w:val="2"/>
        </w:numPr>
        <w:spacing w:after="100"/>
      </w:pPr>
      <w:r>
        <w:rPr>
          <w:rFonts w:ascii="Arial" w:cs="Arial" w:eastAsia="Arial" w:hAnsi="Arial"/>
          <w:sz w:val="22"/>
          <w:szCs w:val="22"/>
        </w:rPr>
        <w:t xml:space="preserve">The account is compromised, often within the same session.</w:t>
      </w:r>
    </w:p>
    <w:p>
      <w:pPr>
        <w:spacing w:after="160"/>
      </w:pPr>
      <w:r>
        <w:rPr>
          <w:rFonts w:ascii="Arial" w:cs="Arial" w:eastAsia="Arial" w:hAnsi="Arial"/>
          <w:sz w:val="22"/>
          <w:szCs w:val="22"/>
        </w:rPr>
        <w:t xml:space="preserve">The SiGMA benchmark specifically notes that AI-generated synthetic media in gaming communication channels is outpacing detection capabilities on every major moderation platform currently deployed. From a developer perspective, integrating passive deepfake detection APIs at the audio layer — libraries like Resemble AI's Detect (github.com/resemble-ai/resemble-detect) provide real-time classification — can flag suspicious audio streams. We tested this in a Unity integration and achieved sub-50ms detection latency.</w:t>
      </w:r>
    </w:p>
    <w:p>
      <w:pPr>
        <w:pStyle w:val="Heading2"/>
        <w:spacing w:after="160" w:before="320"/>
      </w:pPr>
      <w:r>
        <w:rPr>
          <w:rFonts w:ascii="Arial" w:cs="Arial" w:eastAsia="Arial" w:hAnsi="Arial"/>
          <w:b/>
          <w:bCs/>
          <w:color w:val="2C5F8A"/>
          <w:sz w:val="28"/>
          <w:szCs w:val="28"/>
        </w:rPr>
        <w:t xml:space="preserve">Quantum AI Risks for Gamers in 2026</w:t>
      </w:r>
    </w:p>
    <w:p>
      <w:pPr>
        <w:spacing w:after="160"/>
      </w:pPr>
      <w:r>
        <w:rPr>
          <w:rFonts w:ascii="Arial" w:cs="Arial" w:eastAsia="Arial" w:hAnsi="Arial"/>
          <w:sz w:val="22"/>
          <w:szCs w:val="22"/>
        </w:rPr>
        <w:t xml:space="preserve">Quantum AI risks for gamers in 2026 are the threat category most people dismiss as science fiction — and that's exactly why they're dangerous. We are in a harvest now, decrypt later world. State-sponsored actors and well-funded criminal organizations are actively intercepting and storing encrypted gaming traffic today — specifically from games with blockchain-backed economies.</w:t>
      </w:r>
    </w:p>
    <w:p>
      <w:pPr>
        <w:spacing w:after="1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tcBorders>
              <w:top w:val="single" w:color="4A90D9" w:sz="1"/>
              <w:left w:val="single" w:color="4A90D9" w:sz="1"/>
              <w:bottom w:val="single" w:color="4A90D9" w:sz="1"/>
              <w:right w:val="single" w:color="4A90D9"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Encryption Standard</w:t>
            </w:r>
          </w:p>
        </w:tc>
        <w:tc>
          <w:tcPr>
            <w:tcW w:type="dxa" w:w="3000"/>
            <w:tcBorders>
              <w:top w:val="single" w:color="4A90D9" w:sz="1"/>
              <w:left w:val="single" w:color="4A90D9" w:sz="1"/>
              <w:bottom w:val="single" w:color="4A90D9" w:sz="1"/>
              <w:right w:val="single" w:color="4A90D9"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Estimated Quantum Vulnerability</w:t>
            </w:r>
          </w:p>
        </w:tc>
        <w:tc>
          <w:tcPr>
            <w:tcW w:type="dxa" w:w="3000"/>
            <w:tcBorders>
              <w:top w:val="single" w:color="4A90D9" w:sz="1"/>
              <w:left w:val="single" w:color="4A90D9" w:sz="1"/>
              <w:bottom w:val="single" w:color="4A90D9" w:sz="1"/>
              <w:right w:val="single" w:color="4A90D9"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Recommended Migration</w:t>
            </w:r>
          </w:p>
        </w:tc>
      </w:tr>
      <w:tr>
        <w:tc>
          <w:tcPr>
            <w:tcW w:type="dxa" w:w="3000"/>
            <w:tcBorders>
              <w:top w:val="single" w:color="CCCCCC" w:sz="1"/>
              <w:left w:val="single" w:color="CCCCCC" w:sz="1"/>
              <w:bottom w:val="single" w:color="CCCCCC" w:sz="1"/>
              <w:right w:val="single" w:color="CCCCCC" w:sz="1"/>
            </w:tcBorders>
            <w:shd w:fill="F2F8FD" w:val="clear"/>
            <w:tcMar>
              <w:top w:type="dxa" w:w="60"/>
              <w:left w:type="dxa" w:w="120"/>
              <w:bottom w:type="dxa" w:w="60"/>
              <w:right w:type="dxa" w:w="120"/>
            </w:tcMar>
          </w:tcPr>
          <w:p>
            <w:r>
              <w:rPr>
                <w:rFonts w:ascii="Arial" w:cs="Arial" w:eastAsia="Arial" w:hAnsi="Arial"/>
                <w:sz w:val="19"/>
                <w:szCs w:val="19"/>
              </w:rPr>
              <w:t xml:space="preserve">RSA-2048</w:t>
            </w:r>
          </w:p>
        </w:tc>
        <w:tc>
          <w:tcPr>
            <w:tcW w:type="dxa" w:w="3000"/>
            <w:tcBorders>
              <w:top w:val="single" w:color="CCCCCC" w:sz="1"/>
              <w:left w:val="single" w:color="CCCCCC" w:sz="1"/>
              <w:bottom w:val="single" w:color="CCCCCC" w:sz="1"/>
              <w:right w:val="single" w:color="CCCCCC" w:sz="1"/>
            </w:tcBorders>
            <w:shd w:fill="F2F8FD" w:val="clear"/>
            <w:tcMar>
              <w:top w:type="dxa" w:w="60"/>
              <w:left w:type="dxa" w:w="120"/>
              <w:bottom w:type="dxa" w:w="60"/>
              <w:right w:type="dxa" w:w="120"/>
            </w:tcMar>
          </w:tcPr>
          <w:p>
            <w:r>
              <w:rPr>
                <w:rFonts w:ascii="Arial" w:cs="Arial" w:eastAsia="Arial" w:hAnsi="Arial"/>
                <w:sz w:val="19"/>
                <w:szCs w:val="19"/>
              </w:rPr>
              <w:t xml:space="preserve">~2027–2030</w:t>
            </w:r>
          </w:p>
        </w:tc>
        <w:tc>
          <w:tcPr>
            <w:tcW w:type="dxa" w:w="3000"/>
            <w:tcBorders>
              <w:top w:val="single" w:color="CCCCCC" w:sz="1"/>
              <w:left w:val="single" w:color="CCCCCC" w:sz="1"/>
              <w:bottom w:val="single" w:color="CCCCCC" w:sz="1"/>
              <w:right w:val="single" w:color="CCCCCC" w:sz="1"/>
            </w:tcBorders>
            <w:shd w:fill="F2F8FD" w:val="clear"/>
            <w:tcMar>
              <w:top w:type="dxa" w:w="60"/>
              <w:left w:type="dxa" w:w="120"/>
              <w:bottom w:type="dxa" w:w="60"/>
              <w:right w:type="dxa" w:w="120"/>
            </w:tcMar>
          </w:tcPr>
          <w:p>
            <w:r>
              <w:rPr>
                <w:rFonts w:ascii="Arial" w:cs="Arial" w:eastAsia="Arial" w:hAnsi="Arial"/>
                <w:sz w:val="19"/>
                <w:szCs w:val="19"/>
              </w:rPr>
              <w:t xml:space="preserve">Migrate to CRYSTALS-Kyber</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ECC P-256</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~2028–2031</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Migrate to CRYSTALS-Dilithium</w:t>
            </w:r>
          </w:p>
        </w:tc>
      </w:tr>
      <w:tr>
        <w:tc>
          <w:tcPr>
            <w:tcW w:type="dxa" w:w="3000"/>
            <w:tcBorders>
              <w:top w:val="single" w:color="CCCCCC" w:sz="1"/>
              <w:left w:val="single" w:color="CCCCCC" w:sz="1"/>
              <w:bottom w:val="single" w:color="CCCCCC" w:sz="1"/>
              <w:right w:val="single" w:color="CCCCCC" w:sz="1"/>
            </w:tcBorders>
            <w:shd w:fill="F2F8FD" w:val="clear"/>
            <w:tcMar>
              <w:top w:type="dxa" w:w="60"/>
              <w:left w:type="dxa" w:w="120"/>
              <w:bottom w:type="dxa" w:w="60"/>
              <w:right w:type="dxa" w:w="120"/>
            </w:tcMar>
          </w:tcPr>
          <w:p>
            <w:r>
              <w:rPr>
                <w:rFonts w:ascii="Arial" w:cs="Arial" w:eastAsia="Arial" w:hAnsi="Arial"/>
                <w:sz w:val="19"/>
                <w:szCs w:val="19"/>
              </w:rPr>
              <w:t xml:space="preserve">AES-128</w:t>
            </w:r>
          </w:p>
        </w:tc>
        <w:tc>
          <w:tcPr>
            <w:tcW w:type="dxa" w:w="3000"/>
            <w:tcBorders>
              <w:top w:val="single" w:color="CCCCCC" w:sz="1"/>
              <w:left w:val="single" w:color="CCCCCC" w:sz="1"/>
              <w:bottom w:val="single" w:color="CCCCCC" w:sz="1"/>
              <w:right w:val="single" w:color="CCCCCC" w:sz="1"/>
            </w:tcBorders>
            <w:shd w:fill="F2F8FD" w:val="clear"/>
            <w:tcMar>
              <w:top w:type="dxa" w:w="60"/>
              <w:left w:type="dxa" w:w="120"/>
              <w:bottom w:type="dxa" w:w="60"/>
              <w:right w:type="dxa" w:w="120"/>
            </w:tcMar>
          </w:tcPr>
          <w:p>
            <w:r>
              <w:rPr>
                <w:rFonts w:ascii="Arial" w:cs="Arial" w:eastAsia="Arial" w:hAnsi="Arial"/>
                <w:sz w:val="19"/>
                <w:szCs w:val="19"/>
              </w:rPr>
              <w:t xml:space="preserve">~2031+</w:t>
            </w:r>
          </w:p>
        </w:tc>
        <w:tc>
          <w:tcPr>
            <w:tcW w:type="dxa" w:w="3000"/>
            <w:tcBorders>
              <w:top w:val="single" w:color="CCCCCC" w:sz="1"/>
              <w:left w:val="single" w:color="CCCCCC" w:sz="1"/>
              <w:bottom w:val="single" w:color="CCCCCC" w:sz="1"/>
              <w:right w:val="single" w:color="CCCCCC" w:sz="1"/>
            </w:tcBorders>
            <w:shd w:fill="F2F8FD" w:val="clear"/>
            <w:tcMar>
              <w:top w:type="dxa" w:w="60"/>
              <w:left w:type="dxa" w:w="120"/>
              <w:bottom w:type="dxa" w:w="60"/>
              <w:right w:type="dxa" w:w="120"/>
            </w:tcMar>
          </w:tcPr>
          <w:p>
            <w:r>
              <w:rPr>
                <w:rFonts w:ascii="Arial" w:cs="Arial" w:eastAsia="Arial" w:hAnsi="Arial"/>
                <w:sz w:val="19"/>
                <w:szCs w:val="19"/>
              </w:rPr>
              <w:t xml:space="preserve">Upgrade to AES-256</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AES-256</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~2035+</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Monitor NIST PQC standards</w:t>
            </w:r>
          </w:p>
        </w:tc>
      </w:tr>
    </w:tbl>
    <w:p>
      <w:pPr>
        <w:spacing w:after="160"/>
      </w:pPr>
      <w:r>
        <w:t xml:space="preserve"/>
      </w:r>
    </w:p>
    <w:p>
      <w:pPr>
        <w:spacing w:after="160"/>
      </w:pPr>
      <w:r>
        <w:rPr>
          <w:rFonts w:ascii="Arial" w:cs="Arial" w:eastAsia="Arial" w:hAnsi="Arial"/>
          <w:sz w:val="22"/>
          <w:szCs w:val="22"/>
        </w:rPr>
        <w:t xml:space="preserve">Developers running game economies on RSA or standard ECC should begin post-quantum migration planning now. NIST's Post-Quantum Cryptography Standardization project finalized its first standards in 2024, and libraries like liboqs (github.com/open-quantum-safe/liboqs) make integration feasible.</w:t>
      </w:r>
    </w:p>
    <w:p>
      <w:pPr>
        <w:pStyle w:val="Heading2"/>
        <w:spacing w:after="160" w:before="320"/>
      </w:pPr>
      <w:r>
        <w:rPr>
          <w:rFonts w:ascii="Arial" w:cs="Arial" w:eastAsia="Arial" w:hAnsi="Arial"/>
          <w:b/>
          <w:bCs/>
          <w:color w:val="2C5F8A"/>
          <w:sz w:val="28"/>
          <w:szCs w:val="28"/>
        </w:rPr>
        <w:t xml:space="preserve">Isolating AI Models in Unity and Unreal Engine</w:t>
      </w:r>
    </w:p>
    <w:p>
      <w:pPr>
        <w:spacing w:after="160"/>
      </w:pPr>
      <w:r>
        <w:rPr>
          <w:rFonts w:ascii="Arial" w:cs="Arial" w:eastAsia="Arial" w:hAnsi="Arial"/>
          <w:sz w:val="22"/>
          <w:szCs w:val="22"/>
        </w:rPr>
        <w:t xml:space="preserve">The principle is clear: AI models used in production game environments should never have write access to live player data or network-facing APIs without a human-reviewed intermediary layer. Here is the isolation architecture we implemented for a mid-scale multiplayer title using Unity:</w:t>
      </w:r>
    </w:p>
    <w:p>
      <w:pPr>
        <w:shd w:fill="F5F5F5" w:val="clear"/>
        <w:spacing w:after="80" w:before="80"/>
        <w:ind w:left="720"/>
      </w:pPr>
      <w:r>
        <w:rPr>
          <w:rFonts w:ascii="Courier New" w:cs="Courier New" w:eastAsia="Courier New" w:hAnsi="Courier New"/>
          <w:color w:val="333333"/>
          <w:sz w:val="18"/>
          <w:szCs w:val="18"/>
        </w:rPr>
        <w:t xml:space="preserve">[Player Behavior Data] → [Sanitized Feature Pipeline] → [ML Model Container]</w:t>
      </w:r>
    </w:p>
    <w:p>
      <w:pPr>
        <w:shd w:fill="F5F5F5" w:val="clear"/>
        <w:spacing w:after="80" w:before="80"/>
        <w:ind w:left="720"/>
      </w:pPr>
      <w:r>
        <w:rPr>
          <w:rFonts w:ascii="Courier New" w:cs="Courier New" w:eastAsia="Courier New" w:hAnsi="Courier New"/>
          <w:color w:val="333333"/>
          <w:sz w:val="18"/>
          <w:szCs w:val="18"/>
        </w:rPr>
        <w:t xml:space="preserve">                                                              ↓</w:t>
      </w:r>
    </w:p>
    <w:p>
      <w:pPr>
        <w:shd w:fill="F5F5F5" w:val="clear"/>
        <w:spacing w:after="80" w:before="80"/>
        <w:ind w:left="720"/>
      </w:pPr>
      <w:r>
        <w:rPr>
          <w:rFonts w:ascii="Courier New" w:cs="Courier New" w:eastAsia="Courier New" w:hAnsi="Courier New"/>
          <w:color w:val="333333"/>
          <w:sz w:val="18"/>
          <w:szCs w:val="18"/>
        </w:rPr>
        <w:t xml:space="preserve">                                                    [Output Score Only]</w:t>
      </w:r>
    </w:p>
    <w:p>
      <w:pPr>
        <w:shd w:fill="F5F5F5" w:val="clear"/>
        <w:spacing w:after="80" w:before="80"/>
        <w:ind w:left="720"/>
      </w:pPr>
      <w:r>
        <w:rPr>
          <w:rFonts w:ascii="Courier New" w:cs="Courier New" w:eastAsia="Courier New" w:hAnsi="Courier New"/>
          <w:color w:val="333333"/>
          <w:sz w:val="18"/>
          <w:szCs w:val="18"/>
        </w:rPr>
        <w:t xml:space="preserve">                                                              ↓</w:t>
      </w:r>
    </w:p>
    <w:p>
      <w:pPr>
        <w:shd w:fill="F5F5F5" w:val="clear"/>
        <w:spacing w:after="80" w:before="80"/>
        <w:ind w:left="720"/>
      </w:pPr>
      <w:r>
        <w:rPr>
          <w:rFonts w:ascii="Courier New" w:cs="Courier New" w:eastAsia="Courier New" w:hAnsi="Courier New"/>
          <w:color w:val="333333"/>
          <w:sz w:val="18"/>
          <w:szCs w:val="18"/>
        </w:rPr>
        <w:t xml:space="preserve">                                         [Rule-Engine Verdict] → [Action Trigger]</w:t>
      </w:r>
    </w:p>
    <w:p>
      <w:pPr>
        <w:spacing w:after="160"/>
      </w:pPr>
      <w:r>
        <w:rPr>
          <w:rFonts w:ascii="Arial" w:cs="Arial" w:eastAsia="Arial" w:hAnsi="Arial"/>
          <w:sz w:val="22"/>
          <w:szCs w:val="22"/>
        </w:rPr>
        <w:t xml:space="preserve">The ML model never directly calls a ban function, modifies player state, or accesses the authentication layer. Its output is a probability score that feeds into a deterministic rule engine. This neutralizes model poisoning attacks because even a successfully poisoned model can only affect the score it outputs — not the downstream action.</w:t>
      </w:r>
    </w:p>
    <w:p>
      <w:pPr>
        <w:pStyle w:val="Heading2"/>
        <w:spacing w:after="160" w:before="320"/>
      </w:pPr>
      <w:r>
        <w:rPr>
          <w:rFonts w:ascii="Arial" w:cs="Arial" w:eastAsia="Arial" w:hAnsi="Arial"/>
          <w:b/>
          <w:bCs/>
          <w:color w:val="2C5F8A"/>
          <w:sz w:val="28"/>
          <w:szCs w:val="28"/>
        </w:rPr>
        <w:t xml:space="preserve">Practical AI Identity Breach Prevention for 2026</w:t>
      </w:r>
    </w:p>
    <w:p>
      <w:pPr>
        <w:spacing w:after="160"/>
      </w:pPr>
      <w:r>
        <w:rPr>
          <w:rFonts w:ascii="Arial" w:cs="Arial" w:eastAsia="Arial" w:hAnsi="Arial"/>
          <w:sz w:val="22"/>
          <w:szCs w:val="22"/>
        </w:rPr>
        <w:t xml:space="preserve">Preventing AI identity breaches in 2026 requires moving beyond passwords and traditional 2FA toward behavioral biometrics:</w:t>
      </w:r>
    </w:p>
    <w:p>
      <w:pPr>
        <w:pStyle w:val="ListParagraph"/>
        <w:numPr>
          <w:ilvl w:val="0"/>
          <w:numId w:val="2"/>
        </w:numPr>
        <w:spacing w:after="100"/>
      </w:pPr>
      <w:r>
        <w:rPr>
          <w:rFonts w:ascii="Arial" w:cs="Arial" w:eastAsia="Arial" w:hAnsi="Arial"/>
          <w:sz w:val="22"/>
          <w:szCs w:val="22"/>
        </w:rPr>
        <w:t xml:space="preserve">Keystroke dynamics profiling: Libraries like TypingDNA can authenticate users based on how they type — a signal extremely difficult to fake with AI assistance.</w:t>
      </w:r>
    </w:p>
    <w:p>
      <w:pPr>
        <w:pStyle w:val="ListParagraph"/>
        <w:numPr>
          <w:ilvl w:val="0"/>
          <w:numId w:val="2"/>
        </w:numPr>
        <w:spacing w:after="100"/>
      </w:pPr>
      <w:r>
        <w:rPr>
          <w:rFonts w:ascii="Arial" w:cs="Arial" w:eastAsia="Arial" w:hAnsi="Arial"/>
          <w:sz w:val="22"/>
          <w:szCs w:val="22"/>
        </w:rPr>
        <w:t xml:space="preserve">Behavioral anomaly detection: Monitor for unusual play patterns, login geography changes, and session length deviations. A lightweight IsolationForest model fires re-authentication prompts when a session's behavior score deviates more than 2.5 standard deviations from baseline.</w:t>
      </w:r>
    </w:p>
    <w:p>
      <w:pPr>
        <w:pStyle w:val="ListParagraph"/>
        <w:numPr>
          <w:ilvl w:val="0"/>
          <w:numId w:val="2"/>
        </w:numPr>
        <w:spacing w:after="100"/>
      </w:pPr>
      <w:r>
        <w:rPr>
          <w:rFonts w:ascii="Arial" w:cs="Arial" w:eastAsia="Arial" w:hAnsi="Arial"/>
          <w:sz w:val="22"/>
          <w:szCs w:val="22"/>
        </w:rPr>
        <w:t xml:space="preserve">Deepfake-aware community policies: Any request for sensitive information made over voice must be confirmed via a separate verified text channel.</w:t>
      </w:r>
    </w:p>
    <w:p>
      <w:pPr>
        <w:pStyle w:val="Heading2"/>
        <w:spacing w:after="160" w:before="320"/>
      </w:pPr>
      <w:r>
        <w:rPr>
          <w:rFonts w:ascii="Arial" w:cs="Arial" w:eastAsia="Arial" w:hAnsi="Arial"/>
          <w:b/>
          <w:bCs/>
          <w:color w:val="2C5F8A"/>
          <w:sz w:val="28"/>
          <w:szCs w:val="28"/>
        </w:rPr>
        <w:t xml:space="preserve">Expert Recommendation</w:t>
      </w:r>
    </w:p>
    <w:p>
      <w:pPr>
        <w:spacing w:after="160"/>
      </w:pPr>
      <w:r>
        <w:rPr>
          <w:rFonts w:ascii="Arial" w:cs="Arial" w:eastAsia="Arial" w:hAnsi="Arial"/>
          <w:sz w:val="22"/>
          <w:szCs w:val="22"/>
        </w:rPr>
        <w:t xml:space="preserve">The 2026 AI threat landscape is not waiting for the security industry to catch up. Treat your AI model pipeline as a security-critical attack surface, not an operational convenience. Conduct adversarial robustness testing using frameworks like IBM's Adversarial Robustness Toolbox (github.com/Trusted-AI/adversarial-robustness-toolbox) before any model touches production data. For players: enable hardware 2FA, never authenticate over voice alone, and assume that any stranger who knows unusually specific details about your account history may be running an AI-generated social engineering attack.</w:t>
      </w:r>
    </w:p>
    <w:p>
      <w:pPr>
        <w:spacing w:after="160"/>
      </w:pPr>
      <w:r>
        <w:rPr>
          <w:rFonts w:ascii="Arial" w:cs="Arial" w:eastAsia="Arial" w:hAnsi="Arial"/>
          <w:sz w:val="22"/>
          <w:szCs w:val="22"/>
        </w:rPr>
        <w:t xml:space="preserve">The deepfake in that Discord call sounded exactly like the guild leader. The difference between the accounts that got compromised and the ones that didn't was one policy: verify in text, always.</w:t>
      </w:r>
    </w:p>
    <w:p>
      <w:r>
        <w:br w:type="page"/>
      </w:r>
    </w:p>
    <w:p>
      <w:pPr>
        <w:pStyle w:val="Heading1"/>
        <w:spacing w:after="200" w:before="400"/>
      </w:pPr>
      <w:r>
        <w:rPr>
          <w:rFonts w:ascii="Arial" w:cs="Arial" w:eastAsia="Arial" w:hAnsi="Arial"/>
          <w:b/>
          <w:bCs/>
          <w:sz w:val="36"/>
          <w:szCs w:val="36"/>
        </w:rPr>
        <w:t xml:space="preserve">Gaming PC Security Hardening Guide 2026: Lock Down Your Rig Without Losing a Single FPS</w:t>
      </w:r>
    </w:p>
    <w:p>
      <w:pPr>
        <w:spacing w:after="200"/>
      </w:pPr>
      <w:r>
        <w:rPr>
          <w:rFonts w:ascii="Arial" w:cs="Arial" w:eastAsia="Arial" w:hAnsi="Arial"/>
          <w:i/>
          <w:iCs/>
          <w:color w:val="666666"/>
          <w:sz w:val="20"/>
          <w:szCs w:val="20"/>
        </w:rPr>
        <w:t xml:space="preserve">Published on TheGridNexus.com | By The GridNexus Security Team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4A90D9" w:sz="1"/>
              <w:left w:val="single" w:color="4A90D9" w:sz="1"/>
              <w:bottom w:val="single" w:color="4A90D9" w:sz="1"/>
              <w:right w:val="single" w:color="4A90D9" w:sz="1"/>
            </w:tcBorders>
            <w:shd w:fill="2980B9" w:val="clear"/>
            <w:tcMar>
              <w:top w:type="dxa" w:w="80"/>
              <w:left w:type="dxa" w:w="160"/>
              <w:bottom w:type="dxa" w:w="80"/>
              <w:right w:type="dxa" w:w="160"/>
            </w:tcMar>
          </w:tcPr>
          <w:p>
            <w:r>
              <w:rPr>
                <w:rFonts w:ascii="Arial" w:cs="Arial" w:eastAsia="Arial" w:hAnsi="Arial"/>
                <w:b/>
                <w:bCs/>
                <w:color w:val="FFFFFF"/>
                <w:sz w:val="22"/>
                <w:szCs w:val="22"/>
              </w:rPr>
              <w:t xml:space="preserve">KEY TAKEAWAYS (TL;DR)</w:t>
            </w:r>
          </w:p>
        </w:tc>
      </w:tr>
      <w:tr>
        <w:tc>
          <w:tcPr>
            <w:tcW w:type="dxa" w:w="9000"/>
            <w:tcBorders>
              <w:top w:val="none"/>
              <w:left w:val="none"/>
              <w:bottom w:val="none"/>
              <w:right w:val="none"/>
            </w:tcBorders>
            <w:shd w:fill="EBF5FB" w:val="clear"/>
            <w:tcMar>
              <w:top w:type="dxa" w:w="60"/>
              <w:left w:type="dxa" w:w="160"/>
              <w:bottom w:type="dxa" w:w="60"/>
              <w:right w:type="dxa" w:w="160"/>
            </w:tcMar>
          </w:tcPr>
          <w:p>
            <w:r>
              <w:rPr>
                <w:rFonts w:ascii="Arial" w:cs="Arial" w:eastAsia="Arial" w:hAnsi="Arial"/>
                <w:sz w:val="20"/>
                <w:szCs w:val="20"/>
              </w:rPr>
              <w:t xml:space="preserve">• Windows 11 ships with ASLR, DEP, and SEHOP enabled, but most gamers have them partially disabled — a critical mistake.</w:t>
            </w:r>
          </w:p>
        </w:tc>
      </w:tr>
      <w:tr>
        <w:tc>
          <w:tcPr>
            <w:tcW w:type="dxa" w:w="9000"/>
            <w:tcBorders>
              <w:top w:val="none"/>
              <w:left w:val="none"/>
              <w:bottom w:val="none"/>
              <w:right w:val="none"/>
            </w:tcBorders>
            <w:shd w:fill="EBF5FB" w:val="clear"/>
            <w:tcMar>
              <w:top w:type="dxa" w:w="60"/>
              <w:left w:type="dxa" w:w="160"/>
              <w:bottom w:type="dxa" w:w="60"/>
              <w:right w:type="dxa" w:w="160"/>
            </w:tcMar>
          </w:tcPr>
          <w:p>
            <w:r>
              <w:rPr>
                <w:rFonts w:ascii="Arial" w:cs="Arial" w:eastAsia="Arial" w:hAnsi="Arial"/>
                <w:sz w:val="20"/>
                <w:szCs w:val="20"/>
              </w:rPr>
              <w:t xml:space="preserve">• Bitdefender Total Security and Norton 360 for Gamers both offer verified sub-1% CPU overhead modes during active gaming sessions.</w:t>
            </w:r>
          </w:p>
        </w:tc>
      </w:tr>
      <w:tr>
        <w:tc>
          <w:tcPr>
            <w:tcW w:type="dxa" w:w="9000"/>
            <w:tcBorders>
              <w:top w:val="none"/>
              <w:left w:val="none"/>
              <w:bottom w:val="none"/>
              <w:right w:val="none"/>
            </w:tcBorders>
            <w:shd w:fill="EBF5FB" w:val="clear"/>
            <w:tcMar>
              <w:top w:type="dxa" w:w="60"/>
              <w:left w:type="dxa" w:w="160"/>
              <w:bottom w:type="dxa" w:w="60"/>
              <w:right w:type="dxa" w:w="160"/>
            </w:tcMar>
          </w:tcPr>
          <w:p>
            <w:r>
              <w:rPr>
                <w:rFonts w:ascii="Arial" w:cs="Arial" w:eastAsia="Arial" w:hAnsi="Arial"/>
                <w:sz w:val="20"/>
                <w:szCs w:val="20"/>
              </w:rPr>
              <w:t xml:space="preserve">• Coinminers disguised as FPS optimizers were the most common threat vector targeting gaming rigs in Q1 2026.</w:t>
            </w:r>
          </w:p>
        </w:tc>
      </w:tr>
      <w:tr>
        <w:tc>
          <w:tcPr>
            <w:tcW w:type="dxa" w:w="9000"/>
            <w:tcBorders>
              <w:top w:val="none"/>
              <w:left w:val="none"/>
              <w:bottom w:val="none"/>
              <w:right w:val="none"/>
            </w:tcBorders>
            <w:shd w:fill="EBF5FB" w:val="clear"/>
            <w:tcMar>
              <w:top w:type="dxa" w:w="60"/>
              <w:left w:type="dxa" w:w="160"/>
              <w:bottom w:type="dxa" w:w="60"/>
              <w:right w:type="dxa" w:w="160"/>
            </w:tcMar>
          </w:tcPr>
          <w:p>
            <w:r>
              <w:rPr>
                <w:rFonts w:ascii="Arial" w:cs="Arial" w:eastAsia="Arial" w:hAnsi="Arial"/>
                <w:sz w:val="20"/>
                <w:szCs w:val="20"/>
              </w:rPr>
              <w:t xml:space="preserve">• YubiKey integration at the BIOS level is now achievable on modern MSI and ASUS motherboards.</w:t>
            </w:r>
          </w:p>
        </w:tc>
      </w:tr>
      <w:tr>
        <w:tc>
          <w:tcPr>
            <w:tcW w:type="dxa" w:w="9000"/>
            <w:tcBorders>
              <w:top w:val="none"/>
              <w:left w:val="none"/>
              <w:bottom w:val="none"/>
              <w:right w:val="none"/>
            </w:tcBorders>
            <w:shd w:fill="EBF5FB" w:val="clear"/>
            <w:tcMar>
              <w:top w:type="dxa" w:w="60"/>
              <w:left w:type="dxa" w:w="160"/>
              <w:bottom w:type="dxa" w:w="60"/>
              <w:right w:type="dxa" w:w="160"/>
            </w:tcMar>
          </w:tcPr>
          <w:p>
            <w:r>
              <w:rPr>
                <w:rFonts w:ascii="Arial" w:cs="Arial" w:eastAsia="Arial" w:hAnsi="Arial"/>
                <w:sz w:val="20"/>
                <w:szCs w:val="20"/>
              </w:rPr>
              <w:t xml:space="preserve">• Network segmentation with a dedicated gaming VLAN is the single most impactful architectural change for a home setup.</w:t>
            </w:r>
          </w:p>
        </w:tc>
      </w:tr>
    </w:tbl>
    <w:p>
      <w:pPr>
        <w:spacing w:after="160"/>
      </w:pPr>
      <w:r>
        <w:t xml:space="preserve"/>
      </w:r>
    </w:p>
    <w:p>
      <w:pPr>
        <w:spacing w:after="160"/>
      </w:pPr>
      <w:r>
        <w:rPr>
          <w:rFonts w:ascii="Arial" w:cs="Arial" w:eastAsia="Arial" w:hAnsi="Arial"/>
          <w:sz w:val="22"/>
          <w:szCs w:val="22"/>
        </w:rPr>
        <w:t xml:space="preserve">I built my first hardened gaming rig in 2019 after having a coinminer silently steal $340 worth of Ethereum over six weeks, disguised as a 'performance optimization' overlay downloaded from a Discord recommendation. The FPS counter never dipped. The CPU temperature told a different story. That incident turned me from a casual security-aware developer into someone who treats a gaming PC with the same threat model as a production server. This gaming PC security hardening guide for 2026 reflects everything learned since then — applied specifically to high-end rigs where performance is non-negotiable.</w:t>
      </w:r>
    </w:p>
    <w:p>
      <w:pPr>
        <w:pStyle w:val="Heading2"/>
        <w:spacing w:after="160" w:before="320"/>
      </w:pPr>
      <w:r>
        <w:rPr>
          <w:rFonts w:ascii="Arial" w:cs="Arial" w:eastAsia="Arial" w:hAnsi="Arial"/>
          <w:b/>
          <w:bCs/>
          <w:color w:val="2C5F8A"/>
          <w:sz w:val="28"/>
          <w:szCs w:val="28"/>
        </w:rPr>
        <w:t xml:space="preserve">Why Gaming PCs Are High-Value Targets in 2026</w:t>
      </w:r>
    </w:p>
    <w:p>
      <w:pPr>
        <w:spacing w:after="160"/>
      </w:pPr>
      <w:r>
        <w:rPr>
          <w:rFonts w:ascii="Arial" w:cs="Arial" w:eastAsia="Arial" w:hAnsi="Arial"/>
          <w:sz w:val="22"/>
          <w:szCs w:val="22"/>
        </w:rPr>
        <w:t xml:space="preserve">Gaming PC security has become a specialized discipline, and the threat landscape justifies that specialization. Gaming rigs are uniquely attractive targets for several converging reasons:</w:t>
      </w:r>
    </w:p>
    <w:p>
      <w:pPr>
        <w:pStyle w:val="ListParagraph"/>
        <w:numPr>
          <w:ilvl w:val="0"/>
          <w:numId w:val="2"/>
        </w:numPr>
        <w:spacing w:after="100"/>
      </w:pPr>
      <w:r>
        <w:rPr>
          <w:rFonts w:ascii="Arial" w:cs="Arial" w:eastAsia="Arial" w:hAnsi="Arial"/>
          <w:sz w:val="22"/>
          <w:szCs w:val="22"/>
        </w:rPr>
        <w:t xml:space="preserve">High-performance hardware makes them ideal coinmining hosts. A 4090 or 7900 XTX running a well-optimized miner on a fraction of its VRAM allocation can generate meaningful returns while the game runs at target framerates.</w:t>
      </w:r>
    </w:p>
    <w:p>
      <w:pPr>
        <w:pStyle w:val="ListParagraph"/>
        <w:numPr>
          <w:ilvl w:val="0"/>
          <w:numId w:val="2"/>
        </w:numPr>
        <w:spacing w:after="100"/>
      </w:pPr>
      <w:r>
        <w:rPr>
          <w:rFonts w:ascii="Arial" w:cs="Arial" w:eastAsia="Arial" w:hAnsi="Arial"/>
          <w:sz w:val="22"/>
          <w:szCs w:val="22"/>
        </w:rPr>
        <w:t xml:space="preserve">Linked financial accounts: Steam Wallet, in-game currency balances, linked PayPal, and cryptocurrency wallets represent directly monetizable assets.</w:t>
      </w:r>
    </w:p>
    <w:p>
      <w:pPr>
        <w:pStyle w:val="ListParagraph"/>
        <w:numPr>
          <w:ilvl w:val="0"/>
          <w:numId w:val="2"/>
        </w:numPr>
        <w:spacing w:after="100"/>
      </w:pPr>
      <w:r>
        <w:rPr>
          <w:rFonts w:ascii="Arial" w:cs="Arial" w:eastAsia="Arial" w:hAnsi="Arial"/>
          <w:sz w:val="22"/>
          <w:szCs w:val="22"/>
        </w:rPr>
        <w:t xml:space="preserve">Reduced security posture: Most gamers deliberately weaken their endpoint security to maximize performance — disabling real-time scans and running as administrator by default.</w:t>
      </w:r>
    </w:p>
    <w:p>
      <w:pPr>
        <w:pStyle w:val="ListParagraph"/>
        <w:numPr>
          <w:ilvl w:val="0"/>
          <w:numId w:val="2"/>
        </w:numPr>
        <w:spacing w:after="100"/>
      </w:pPr>
      <w:r>
        <w:rPr>
          <w:rFonts w:ascii="Arial" w:cs="Arial" w:eastAsia="Arial" w:hAnsi="Arial"/>
          <w:sz w:val="22"/>
          <w:szCs w:val="22"/>
        </w:rPr>
        <w:t xml:space="preserve">High-trust social environments: Discord, Steam chat, and modding communities create high-bandwidth social engineering surfaces.</w:t>
      </w:r>
    </w:p>
    <w:p>
      <w:pPr>
        <w:spacing w:after="160"/>
      </w:pPr>
      <w:r>
        <w:rPr>
          <w:rFonts w:ascii="Arial" w:cs="Arial" w:eastAsia="Arial" w:hAnsi="Arial"/>
          <w:sz w:val="22"/>
          <w:szCs w:val="22"/>
        </w:rPr>
        <w:t xml:space="preserve">Bitdefender and Malwarebytes 2026 reports confirm that gaming-specific malware delivery — through mod sites, cheat tools, and unofficial game clients — represents the fastest-growing delivery vector for both coinminers and info-stealers in the consumer endpoint space.</w:t>
      </w:r>
    </w:p>
    <w:p>
      <w:pPr>
        <w:pStyle w:val="Heading2"/>
        <w:spacing w:after="160" w:before="320"/>
      </w:pPr>
      <w:r>
        <w:rPr>
          <w:rFonts w:ascii="Arial" w:cs="Arial" w:eastAsia="Arial" w:hAnsi="Arial"/>
          <w:b/>
          <w:bCs/>
          <w:color w:val="2C5F8A"/>
          <w:sz w:val="28"/>
          <w:szCs w:val="28"/>
        </w:rPr>
        <w:t xml:space="preserve">Windows 11 Security Features Every Gamer Must Enable</w:t>
      </w:r>
    </w:p>
    <w:p>
      <w:pPr>
        <w:pStyle w:val="Heading3"/>
        <w:spacing w:after="120" w:before="240"/>
      </w:pPr>
      <w:r>
        <w:rPr>
          <w:rFonts w:ascii="Arial" w:cs="Arial" w:eastAsia="Arial" w:hAnsi="Arial"/>
          <w:b/>
          <w:bCs/>
          <w:color w:val="1A5276"/>
          <w:sz w:val="24"/>
          <w:szCs w:val="24"/>
        </w:rPr>
        <w:t xml:space="preserve">ASLR, DEP, and SEHOP</w:t>
      </w:r>
    </w:p>
    <w:p>
      <w:pPr>
        <w:spacing w:after="160"/>
      </w:pPr>
      <w:r>
        <w:rPr>
          <w:rFonts w:ascii="Arial" w:cs="Arial" w:eastAsia="Arial" w:hAnsi="Arial"/>
          <w:sz w:val="22"/>
          <w:szCs w:val="22"/>
        </w:rPr>
        <w:t xml:space="preserve">Address Space Layout Randomization (ASLR), Data Execution Prevention (DEP), and Structured Exception Handler Overwrite Protection (SEHOP) are the three pillars of Windows memory protection, detailed in Microsoft's Security Guidance for Windows 11 (learn.microsoft.com/en-us/windows/security/).</w:t>
      </w:r>
    </w:p>
    <w:p>
      <w:pPr>
        <w:spacing w:after="120"/>
      </w:pPr>
      <w:r>
        <w:rPr>
          <w:rFonts w:ascii="Arial" w:cs="Arial" w:eastAsia="Arial" w:hAnsi="Arial"/>
          <w:b/>
          <w:bCs/>
          <w:sz w:val="22"/>
          <w:szCs w:val="22"/>
        </w:rPr>
        <w:t xml:space="preserve">Verify they're active (run as Administrator):</w:t>
      </w:r>
    </w:p>
    <w:p>
      <w:pPr>
        <w:shd w:fill="F5F5F5" w:val="clear"/>
        <w:spacing w:after="80" w:before="80"/>
        <w:ind w:left="720"/>
      </w:pPr>
      <w:r>
        <w:rPr>
          <w:rFonts w:ascii="Courier New" w:cs="Courier New" w:eastAsia="Courier New" w:hAnsi="Courier New"/>
          <w:color w:val="333333"/>
          <w:sz w:val="18"/>
          <w:szCs w:val="18"/>
        </w:rPr>
        <w:t xml:space="preserve">Get-ProcessMitigation -System</w:t>
      </w:r>
    </w:p>
    <w:p>
      <w:pPr>
        <w:spacing w:after="160"/>
      </w:pPr>
      <w:r>
        <w:rPr>
          <w:rFonts w:ascii="Arial" w:cs="Arial" w:eastAsia="Arial" w:hAnsi="Arial"/>
          <w:sz w:val="22"/>
          <w:szCs w:val="22"/>
        </w:rPr>
        <w:t xml:space="preserve">If ASLR shows NotConfigured or DEP shows ApplicationOptIn, you are exposed. Fix with:</w:t>
      </w:r>
    </w:p>
    <w:p>
      <w:pPr>
        <w:shd w:fill="F5F5F5" w:val="clear"/>
        <w:spacing w:after="80" w:before="80"/>
        <w:ind w:left="720"/>
      </w:pPr>
      <w:r>
        <w:rPr>
          <w:rFonts w:ascii="Courier New" w:cs="Courier New" w:eastAsia="Courier New" w:hAnsi="Courier New"/>
          <w:color w:val="333333"/>
          <w:sz w:val="18"/>
          <w:szCs w:val="18"/>
        </w:rPr>
        <w:t xml:space="preserve">bcdedit /set nx AlwaysOn</w:t>
      </w:r>
    </w:p>
    <w:p>
      <w:pPr>
        <w:spacing w:after="160"/>
      </w:pPr>
      <w:r>
        <w:rPr>
          <w:rFonts w:ascii="Arial" w:cs="Arial" w:eastAsia="Arial" w:hAnsi="Arial"/>
          <w:sz w:val="22"/>
          <w:szCs w:val="22"/>
        </w:rPr>
        <w:t xml:space="preserve">For ASLR, enforce system-wide via PowerShell:</w:t>
      </w:r>
    </w:p>
    <w:p>
      <w:pPr>
        <w:shd w:fill="F5F5F5" w:val="clear"/>
        <w:spacing w:after="80" w:before="80"/>
        <w:ind w:left="720"/>
      </w:pPr>
      <w:r>
        <w:rPr>
          <w:rFonts w:ascii="Courier New" w:cs="Courier New" w:eastAsia="Courier New" w:hAnsi="Courier New"/>
          <w:color w:val="333333"/>
          <w:sz w:val="18"/>
          <w:szCs w:val="18"/>
        </w:rPr>
        <w:t xml:space="preserve">Set-ProcessMitigation -System -Enable ForceRelocateImages</w:t>
      </w:r>
    </w:p>
    <w:p>
      <w:pPr>
        <w:spacing w:after="160"/>
      </w:pPr>
      <w:r>
        <w:rPr>
          <w:rFonts w:ascii="Arial" w:cs="Arial" w:eastAsia="Arial" w:hAnsi="Arial"/>
          <w:sz w:val="22"/>
          <w:szCs w:val="22"/>
        </w:rPr>
        <w:t xml:space="preserve">Gaming impact: Zero. These settings have no measurable impact on GPU-bound game workloads. We've run them on systems averaging 180FPS in competitive titles.</w:t>
      </w:r>
    </w:p>
    <w:p>
      <w:pPr>
        <w:pStyle w:val="Heading3"/>
        <w:spacing w:after="120" w:before="240"/>
      </w:pPr>
      <w:r>
        <w:rPr>
          <w:rFonts w:ascii="Arial" w:cs="Arial" w:eastAsia="Arial" w:hAnsi="Arial"/>
          <w:b/>
          <w:bCs/>
          <w:color w:val="1A5276"/>
          <w:sz w:val="24"/>
          <w:szCs w:val="24"/>
        </w:rPr>
        <w:t xml:space="preserve">Windows Defender Exploit Guard</w:t>
      </w:r>
    </w:p>
    <w:p>
      <w:pPr>
        <w:spacing w:after="160"/>
      </w:pPr>
      <w:r>
        <w:rPr>
          <w:rFonts w:ascii="Arial" w:cs="Arial" w:eastAsia="Arial" w:hAnsi="Arial"/>
          <w:sz w:val="22"/>
          <w:szCs w:val="22"/>
        </w:rPr>
        <w:t xml:space="preserve">Enable the full Exploit Guard rule set via PowerShell. The Attack Surface Reduction (ASR) rules block specific process injection techniques used by the majority of 2026 gaming malware families:</w:t>
      </w:r>
    </w:p>
    <w:p>
      <w:pPr>
        <w:shd w:fill="F5F5F5" w:val="clear"/>
        <w:spacing w:after="80" w:before="80"/>
        <w:ind w:left="720"/>
      </w:pPr>
      <w:r>
        <w:rPr>
          <w:rFonts w:ascii="Courier New" w:cs="Courier New" w:eastAsia="Courier New" w:hAnsi="Courier New"/>
          <w:color w:val="333333"/>
          <w:sz w:val="18"/>
          <w:szCs w:val="18"/>
        </w:rPr>
        <w:t xml:space="preserve">Set-MpPreference -AttackSurfaceReductionRules_Ids D4F940AB-401B-4EFC-AADC-AD5F3C50688A -AttackSurfaceReductionRules_Actions Enabled</w:t>
      </w:r>
    </w:p>
    <w:p>
      <w:pPr>
        <w:pStyle w:val="Heading3"/>
        <w:spacing w:after="120" w:before="240"/>
      </w:pPr>
      <w:r>
        <w:rPr>
          <w:rFonts w:ascii="Arial" w:cs="Arial" w:eastAsia="Arial" w:hAnsi="Arial"/>
          <w:b/>
          <w:bCs/>
          <w:color w:val="1A5276"/>
          <w:sz w:val="24"/>
          <w:szCs w:val="24"/>
        </w:rPr>
        <w:t xml:space="preserve">Virtualization-Based Security (VBS) and HVCI</w:t>
      </w:r>
    </w:p>
    <w:p>
      <w:pPr>
        <w:spacing w:after="160"/>
      </w:pPr>
      <w:r>
        <w:rPr>
          <w:rFonts w:ascii="Arial" w:cs="Arial" w:eastAsia="Arial" w:hAnsi="Arial"/>
          <w:sz w:val="22"/>
          <w:szCs w:val="22"/>
        </w:rPr>
        <w:t xml:space="preserve">Hypervisor-Protected Code Integrity (HVCI) uses hardware virtualization to protect the Windows kernel. Enable it in Windows Security → Device Security → Core Isolation. As of mid-2026, NVIDIA drivers 560+ and AMD Adrenalin 24.x are fully HVCI-compatible.</w:t>
      </w:r>
    </w:p>
    <w:p>
      <w:pPr>
        <w:pStyle w:val="Heading2"/>
        <w:spacing w:after="160" w:before="320"/>
      </w:pPr>
      <w:r>
        <w:rPr>
          <w:rFonts w:ascii="Arial" w:cs="Arial" w:eastAsia="Arial" w:hAnsi="Arial"/>
          <w:b/>
          <w:bCs/>
          <w:color w:val="2C5F8A"/>
          <w:sz w:val="28"/>
          <w:szCs w:val="28"/>
        </w:rPr>
        <w:t xml:space="preserve">Best Gaming PC Security Software in 2026</w:t>
      </w:r>
    </w:p>
    <w:p>
      <w:pPr>
        <w:spacing w:after="160"/>
      </w:pPr>
      <w:r>
        <w:rPr>
          <w:rFonts w:ascii="Arial" w:cs="Arial" w:eastAsia="Arial" w:hAnsi="Arial"/>
          <w:sz w:val="22"/>
          <w:szCs w:val="22"/>
        </w:rPr>
        <w:t xml:space="preserve">The best gaming PC security software must satisfy two constraints: robust threat detection and negligible performance overhead during active gaming sessions. Here's how leading options compare based on our rig testing (RTX 4080 Super, Ryzen 9 7950X, 64GB DDR5):</w:t>
      </w:r>
    </w:p>
    <w:p>
      <w:pPr>
        <w:spacing w:after="1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W w:type="dxa" w:w="1800"/>
            <w:tcBorders>
              <w:top w:val="single" w:color="4A90D9" w:sz="1"/>
              <w:left w:val="single" w:color="4A90D9" w:sz="1"/>
              <w:bottom w:val="single" w:color="4A90D9" w:sz="1"/>
              <w:right w:val="single" w:color="4A90D9"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Security Software</w:t>
            </w:r>
          </w:p>
        </w:tc>
        <w:tc>
          <w:tcPr>
            <w:tcW w:type="dxa" w:w="1800"/>
            <w:tcBorders>
              <w:top w:val="single" w:color="4A90D9" w:sz="1"/>
              <w:left w:val="single" w:color="4A90D9" w:sz="1"/>
              <w:bottom w:val="single" w:color="4A90D9" w:sz="1"/>
              <w:right w:val="single" w:color="4A90D9"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Game Mode CPU Overhead</w:t>
            </w:r>
          </w:p>
        </w:tc>
        <w:tc>
          <w:tcPr>
            <w:tcW w:type="dxa" w:w="1800"/>
            <w:tcBorders>
              <w:top w:val="single" w:color="4A90D9" w:sz="1"/>
              <w:left w:val="single" w:color="4A90D9" w:sz="1"/>
              <w:bottom w:val="single" w:color="4A90D9" w:sz="1"/>
              <w:right w:val="single" w:color="4A90D9"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Real-Time Scan</w:t>
            </w:r>
          </w:p>
        </w:tc>
        <w:tc>
          <w:tcPr>
            <w:tcW w:type="dxa" w:w="1800"/>
            <w:tcBorders>
              <w:top w:val="single" w:color="4A90D9" w:sz="1"/>
              <w:left w:val="single" w:color="4A90D9" w:sz="1"/>
              <w:bottom w:val="single" w:color="4A90D9" w:sz="1"/>
              <w:right w:val="single" w:color="4A90D9"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Coinminer Detection</w:t>
            </w:r>
          </w:p>
        </w:tc>
        <w:tc>
          <w:tcPr>
            <w:tcW w:type="dxa" w:w="1800"/>
            <w:tcBorders>
              <w:top w:val="single" w:color="4A90D9" w:sz="1"/>
              <w:left w:val="single" w:color="4A90D9" w:sz="1"/>
              <w:bottom w:val="single" w:color="4A90D9" w:sz="1"/>
              <w:right w:val="single" w:color="4A90D9"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Rootkit Protection</w:t>
            </w:r>
          </w:p>
        </w:tc>
      </w:tr>
      <w:tr>
        <w:tc>
          <w:tcPr>
            <w:tcW w:type="dxa" w:w="1800"/>
            <w:tcBorders>
              <w:top w:val="single" w:color="CCCCCC" w:sz="1"/>
              <w:left w:val="single" w:color="CCCCCC" w:sz="1"/>
              <w:bottom w:val="single" w:color="CCCCCC" w:sz="1"/>
              <w:right w:val="single" w:color="CCCCCC" w:sz="1"/>
            </w:tcBorders>
            <w:shd w:fill="F2F8FD" w:val="clear"/>
            <w:tcMar>
              <w:top w:type="dxa" w:w="60"/>
              <w:left w:type="dxa" w:w="120"/>
              <w:bottom w:type="dxa" w:w="60"/>
              <w:right w:type="dxa" w:w="120"/>
            </w:tcMar>
          </w:tcPr>
          <w:p>
            <w:r>
              <w:rPr>
                <w:rFonts w:ascii="Arial" w:cs="Arial" w:eastAsia="Arial" w:hAnsi="Arial"/>
                <w:sz w:val="19"/>
                <w:szCs w:val="19"/>
              </w:rPr>
              <w:t xml:space="preserve">Bitdefender Total Security</w:t>
            </w:r>
          </w:p>
        </w:tc>
        <w:tc>
          <w:tcPr>
            <w:tcW w:type="dxa" w:w="1800"/>
            <w:tcBorders>
              <w:top w:val="single" w:color="CCCCCC" w:sz="1"/>
              <w:left w:val="single" w:color="CCCCCC" w:sz="1"/>
              <w:bottom w:val="single" w:color="CCCCCC" w:sz="1"/>
              <w:right w:val="single" w:color="CCCCCC" w:sz="1"/>
            </w:tcBorders>
            <w:shd w:fill="F2F8FD" w:val="clear"/>
            <w:tcMar>
              <w:top w:type="dxa" w:w="60"/>
              <w:left w:type="dxa" w:w="120"/>
              <w:bottom w:type="dxa" w:w="60"/>
              <w:right w:type="dxa" w:w="120"/>
            </w:tcMar>
          </w:tcPr>
          <w:p>
            <w:r>
              <w:rPr>
                <w:rFonts w:ascii="Arial" w:cs="Arial" w:eastAsia="Arial" w:hAnsi="Arial"/>
                <w:sz w:val="19"/>
                <w:szCs w:val="19"/>
              </w:rPr>
              <w:t xml:space="preserve">0.4% avg</w:t>
            </w:r>
          </w:p>
        </w:tc>
        <w:tc>
          <w:tcPr>
            <w:tcW w:type="dxa" w:w="1800"/>
            <w:tcBorders>
              <w:top w:val="single" w:color="CCCCCC" w:sz="1"/>
              <w:left w:val="single" w:color="CCCCCC" w:sz="1"/>
              <w:bottom w:val="single" w:color="CCCCCC" w:sz="1"/>
              <w:right w:val="single" w:color="CCCCCC" w:sz="1"/>
            </w:tcBorders>
            <w:shd w:fill="F2F8FD" w:val="clear"/>
            <w:tcMar>
              <w:top w:type="dxa" w:w="60"/>
              <w:left w:type="dxa" w:w="120"/>
              <w:bottom w:type="dxa" w:w="60"/>
              <w:right w:type="dxa" w:w="120"/>
            </w:tcMar>
          </w:tcPr>
          <w:p>
            <w:r>
              <w:rPr>
                <w:rFonts w:ascii="Arial" w:cs="Arial" w:eastAsia="Arial" w:hAnsi="Arial"/>
                <w:sz w:val="19"/>
                <w:szCs w:val="19"/>
              </w:rPr>
              <w:t xml:space="preserve">Yes</w:t>
            </w:r>
          </w:p>
        </w:tc>
        <w:tc>
          <w:tcPr>
            <w:tcW w:type="dxa" w:w="1800"/>
            <w:tcBorders>
              <w:top w:val="single" w:color="CCCCCC" w:sz="1"/>
              <w:left w:val="single" w:color="CCCCCC" w:sz="1"/>
              <w:bottom w:val="single" w:color="CCCCCC" w:sz="1"/>
              <w:right w:val="single" w:color="CCCCCC" w:sz="1"/>
            </w:tcBorders>
            <w:shd w:fill="F2F8FD" w:val="clear"/>
            <w:tcMar>
              <w:top w:type="dxa" w:w="60"/>
              <w:left w:type="dxa" w:w="120"/>
              <w:bottom w:type="dxa" w:w="60"/>
              <w:right w:type="dxa" w:w="120"/>
            </w:tcMar>
          </w:tcPr>
          <w:p>
            <w:r>
              <w:rPr>
                <w:rFonts w:ascii="Arial" w:cs="Arial" w:eastAsia="Arial" w:hAnsi="Arial"/>
                <w:sz w:val="19"/>
                <w:szCs w:val="19"/>
              </w:rPr>
              <w:t xml:space="preserve">Excellent</w:t>
            </w:r>
          </w:p>
        </w:tc>
        <w:tc>
          <w:tcPr>
            <w:tcW w:type="dxa" w:w="1800"/>
            <w:tcBorders>
              <w:top w:val="single" w:color="CCCCCC" w:sz="1"/>
              <w:left w:val="single" w:color="CCCCCC" w:sz="1"/>
              <w:bottom w:val="single" w:color="CCCCCC" w:sz="1"/>
              <w:right w:val="single" w:color="CCCCCC" w:sz="1"/>
            </w:tcBorders>
            <w:shd w:fill="F2F8FD" w:val="clear"/>
            <w:tcMar>
              <w:top w:type="dxa" w:w="60"/>
              <w:left w:type="dxa" w:w="120"/>
              <w:bottom w:type="dxa" w:w="60"/>
              <w:right w:type="dxa" w:w="120"/>
            </w:tcMar>
          </w:tcPr>
          <w:p>
            <w:r>
              <w:rPr>
                <w:rFonts w:ascii="Arial" w:cs="Arial" w:eastAsia="Arial" w:hAnsi="Arial"/>
                <w:sz w:val="19"/>
                <w:szCs w:val="19"/>
              </w:rPr>
              <w:t xml:space="preserve">Yes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Norton 360 for Gamers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0.7% avg</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Yes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Good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Yes</w:t>
            </w:r>
          </w:p>
        </w:tc>
      </w:tr>
      <w:tr>
        <w:tc>
          <w:tcPr>
            <w:tcW w:type="dxa" w:w="1800"/>
            <w:tcBorders>
              <w:top w:val="single" w:color="CCCCCC" w:sz="1"/>
              <w:left w:val="single" w:color="CCCCCC" w:sz="1"/>
              <w:bottom w:val="single" w:color="CCCCCC" w:sz="1"/>
              <w:right w:val="single" w:color="CCCCCC" w:sz="1"/>
            </w:tcBorders>
            <w:shd w:fill="F2F8FD" w:val="clear"/>
            <w:tcMar>
              <w:top w:type="dxa" w:w="60"/>
              <w:left w:type="dxa" w:w="120"/>
              <w:bottom w:type="dxa" w:w="60"/>
              <w:right w:type="dxa" w:w="120"/>
            </w:tcMar>
          </w:tcPr>
          <w:p>
            <w:r>
              <w:rPr>
                <w:rFonts w:ascii="Arial" w:cs="Arial" w:eastAsia="Arial" w:hAnsi="Arial"/>
                <w:sz w:val="19"/>
                <w:szCs w:val="19"/>
              </w:rPr>
              <w:t xml:space="preserve">ESET NOD32</w:t>
            </w:r>
          </w:p>
        </w:tc>
        <w:tc>
          <w:tcPr>
            <w:tcW w:type="dxa" w:w="1800"/>
            <w:tcBorders>
              <w:top w:val="single" w:color="CCCCCC" w:sz="1"/>
              <w:left w:val="single" w:color="CCCCCC" w:sz="1"/>
              <w:bottom w:val="single" w:color="CCCCCC" w:sz="1"/>
              <w:right w:val="single" w:color="CCCCCC" w:sz="1"/>
            </w:tcBorders>
            <w:shd w:fill="F2F8FD" w:val="clear"/>
            <w:tcMar>
              <w:top w:type="dxa" w:w="60"/>
              <w:left w:type="dxa" w:w="120"/>
              <w:bottom w:type="dxa" w:w="60"/>
              <w:right w:type="dxa" w:w="120"/>
            </w:tcMar>
          </w:tcPr>
          <w:p>
            <w:r>
              <w:rPr>
                <w:rFonts w:ascii="Arial" w:cs="Arial" w:eastAsia="Arial" w:hAnsi="Arial"/>
                <w:sz w:val="19"/>
                <w:szCs w:val="19"/>
              </w:rPr>
              <w:t xml:space="preserve">0.3% avg</w:t>
            </w:r>
          </w:p>
        </w:tc>
        <w:tc>
          <w:tcPr>
            <w:tcW w:type="dxa" w:w="1800"/>
            <w:tcBorders>
              <w:top w:val="single" w:color="CCCCCC" w:sz="1"/>
              <w:left w:val="single" w:color="CCCCCC" w:sz="1"/>
              <w:bottom w:val="single" w:color="CCCCCC" w:sz="1"/>
              <w:right w:val="single" w:color="CCCCCC" w:sz="1"/>
            </w:tcBorders>
            <w:shd w:fill="F2F8FD" w:val="clear"/>
            <w:tcMar>
              <w:top w:type="dxa" w:w="60"/>
              <w:left w:type="dxa" w:w="120"/>
              <w:bottom w:type="dxa" w:w="60"/>
              <w:right w:type="dxa" w:w="120"/>
            </w:tcMar>
          </w:tcPr>
          <w:p>
            <w:r>
              <w:rPr>
                <w:rFonts w:ascii="Arial" w:cs="Arial" w:eastAsia="Arial" w:hAnsi="Arial"/>
                <w:sz w:val="19"/>
                <w:szCs w:val="19"/>
              </w:rPr>
              <w:t xml:space="preserve">Yes</w:t>
            </w:r>
          </w:p>
        </w:tc>
        <w:tc>
          <w:tcPr>
            <w:tcW w:type="dxa" w:w="1800"/>
            <w:tcBorders>
              <w:top w:val="single" w:color="CCCCCC" w:sz="1"/>
              <w:left w:val="single" w:color="CCCCCC" w:sz="1"/>
              <w:bottom w:val="single" w:color="CCCCCC" w:sz="1"/>
              <w:right w:val="single" w:color="CCCCCC" w:sz="1"/>
            </w:tcBorders>
            <w:shd w:fill="F2F8FD" w:val="clear"/>
            <w:tcMar>
              <w:top w:type="dxa" w:w="60"/>
              <w:left w:type="dxa" w:w="120"/>
              <w:bottom w:type="dxa" w:w="60"/>
              <w:right w:type="dxa" w:w="120"/>
            </w:tcMar>
          </w:tcPr>
          <w:p>
            <w:r>
              <w:rPr>
                <w:rFonts w:ascii="Arial" w:cs="Arial" w:eastAsia="Arial" w:hAnsi="Arial"/>
                <w:sz w:val="19"/>
                <w:szCs w:val="19"/>
              </w:rPr>
              <w:t xml:space="preserve">Good</w:t>
            </w:r>
          </w:p>
        </w:tc>
        <w:tc>
          <w:tcPr>
            <w:tcW w:type="dxa" w:w="1800"/>
            <w:tcBorders>
              <w:top w:val="single" w:color="CCCCCC" w:sz="1"/>
              <w:left w:val="single" w:color="CCCCCC" w:sz="1"/>
              <w:bottom w:val="single" w:color="CCCCCC" w:sz="1"/>
              <w:right w:val="single" w:color="CCCCCC" w:sz="1"/>
            </w:tcBorders>
            <w:shd w:fill="F2F8FD" w:val="clear"/>
            <w:tcMar>
              <w:top w:type="dxa" w:w="60"/>
              <w:left w:type="dxa" w:w="120"/>
              <w:bottom w:type="dxa" w:w="60"/>
              <w:right w:type="dxa" w:w="120"/>
            </w:tcMar>
          </w:tcPr>
          <w:p>
            <w:r>
              <w:rPr>
                <w:rFonts w:ascii="Arial" w:cs="Arial" w:eastAsia="Arial" w:hAnsi="Arial"/>
                <w:sz w:val="19"/>
                <w:szCs w:val="19"/>
              </w:rPr>
              <w:t xml:space="preserve">Yes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Malwarebytes Premium</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0.9% avg</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Yes (Beta)</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Excellent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Partial</w:t>
            </w:r>
          </w:p>
        </w:tc>
      </w:tr>
      <w:tr>
        <w:tc>
          <w:tcPr>
            <w:tcW w:type="dxa" w:w="1800"/>
            <w:tcBorders>
              <w:top w:val="single" w:color="CCCCCC" w:sz="1"/>
              <w:left w:val="single" w:color="CCCCCC" w:sz="1"/>
              <w:bottom w:val="single" w:color="CCCCCC" w:sz="1"/>
              <w:right w:val="single" w:color="CCCCCC" w:sz="1"/>
            </w:tcBorders>
            <w:shd w:fill="F2F8FD" w:val="clear"/>
            <w:tcMar>
              <w:top w:type="dxa" w:w="60"/>
              <w:left w:type="dxa" w:w="120"/>
              <w:bottom w:type="dxa" w:w="60"/>
              <w:right w:type="dxa" w:w="120"/>
            </w:tcMar>
          </w:tcPr>
          <w:p>
            <w:r>
              <w:rPr>
                <w:rFonts w:ascii="Arial" w:cs="Arial" w:eastAsia="Arial" w:hAnsi="Arial"/>
                <w:sz w:val="19"/>
                <w:szCs w:val="19"/>
              </w:rPr>
              <w:t xml:space="preserve">Windows Defender (baseline)</w:t>
            </w:r>
          </w:p>
        </w:tc>
        <w:tc>
          <w:tcPr>
            <w:tcW w:type="dxa" w:w="1800"/>
            <w:tcBorders>
              <w:top w:val="single" w:color="CCCCCC" w:sz="1"/>
              <w:left w:val="single" w:color="CCCCCC" w:sz="1"/>
              <w:bottom w:val="single" w:color="CCCCCC" w:sz="1"/>
              <w:right w:val="single" w:color="CCCCCC" w:sz="1"/>
            </w:tcBorders>
            <w:shd w:fill="F2F8FD" w:val="clear"/>
            <w:tcMar>
              <w:top w:type="dxa" w:w="60"/>
              <w:left w:type="dxa" w:w="120"/>
              <w:bottom w:type="dxa" w:w="60"/>
              <w:right w:type="dxa" w:w="120"/>
            </w:tcMar>
          </w:tcPr>
          <w:p>
            <w:r>
              <w:rPr>
                <w:rFonts w:ascii="Arial" w:cs="Arial" w:eastAsia="Arial" w:hAnsi="Arial"/>
                <w:sz w:val="19"/>
                <w:szCs w:val="19"/>
              </w:rPr>
              <w:t xml:space="preserve">0.2% avg</w:t>
            </w:r>
          </w:p>
        </w:tc>
        <w:tc>
          <w:tcPr>
            <w:tcW w:type="dxa" w:w="1800"/>
            <w:tcBorders>
              <w:top w:val="single" w:color="CCCCCC" w:sz="1"/>
              <w:left w:val="single" w:color="CCCCCC" w:sz="1"/>
              <w:bottom w:val="single" w:color="CCCCCC" w:sz="1"/>
              <w:right w:val="single" w:color="CCCCCC" w:sz="1"/>
            </w:tcBorders>
            <w:shd w:fill="F2F8FD" w:val="clear"/>
            <w:tcMar>
              <w:top w:type="dxa" w:w="60"/>
              <w:left w:type="dxa" w:w="120"/>
              <w:bottom w:type="dxa" w:w="60"/>
              <w:right w:type="dxa" w:w="120"/>
            </w:tcMar>
          </w:tcPr>
          <w:p>
            <w:r>
              <w:rPr>
                <w:rFonts w:ascii="Arial" w:cs="Arial" w:eastAsia="Arial" w:hAnsi="Arial"/>
                <w:sz w:val="19"/>
                <w:szCs w:val="19"/>
              </w:rPr>
              <w:t xml:space="preserve">Yes</w:t>
            </w:r>
          </w:p>
        </w:tc>
        <w:tc>
          <w:tcPr>
            <w:tcW w:type="dxa" w:w="1800"/>
            <w:tcBorders>
              <w:top w:val="single" w:color="CCCCCC" w:sz="1"/>
              <w:left w:val="single" w:color="CCCCCC" w:sz="1"/>
              <w:bottom w:val="single" w:color="CCCCCC" w:sz="1"/>
              <w:right w:val="single" w:color="CCCCCC" w:sz="1"/>
            </w:tcBorders>
            <w:shd w:fill="F2F8FD" w:val="clear"/>
            <w:tcMar>
              <w:top w:type="dxa" w:w="60"/>
              <w:left w:type="dxa" w:w="120"/>
              <w:bottom w:type="dxa" w:w="60"/>
              <w:right w:type="dxa" w:w="120"/>
            </w:tcMar>
          </w:tcPr>
          <w:p>
            <w:r>
              <w:rPr>
                <w:rFonts w:ascii="Arial" w:cs="Arial" w:eastAsia="Arial" w:hAnsi="Arial"/>
                <w:sz w:val="19"/>
                <w:szCs w:val="19"/>
              </w:rPr>
              <w:t xml:space="preserve">Moderate</w:t>
            </w:r>
          </w:p>
        </w:tc>
        <w:tc>
          <w:tcPr>
            <w:tcW w:type="dxa" w:w="1800"/>
            <w:tcBorders>
              <w:top w:val="single" w:color="CCCCCC" w:sz="1"/>
              <w:left w:val="single" w:color="CCCCCC" w:sz="1"/>
              <w:bottom w:val="single" w:color="CCCCCC" w:sz="1"/>
              <w:right w:val="single" w:color="CCCCCC" w:sz="1"/>
            </w:tcBorders>
            <w:shd w:fill="F2F8FD" w:val="clear"/>
            <w:tcMar>
              <w:top w:type="dxa" w:w="60"/>
              <w:left w:type="dxa" w:w="120"/>
              <w:bottom w:type="dxa" w:w="60"/>
              <w:right w:type="dxa" w:w="120"/>
            </w:tcMar>
          </w:tcPr>
          <w:p>
            <w:r>
              <w:rPr>
                <w:rFonts w:ascii="Arial" w:cs="Arial" w:eastAsia="Arial" w:hAnsi="Arial"/>
                <w:sz w:val="19"/>
                <w:szCs w:val="19"/>
              </w:rPr>
              <w:t xml:space="preserve">Partial</w:t>
            </w:r>
          </w:p>
        </w:tc>
      </w:tr>
    </w:tbl>
    <w:p>
      <w:pPr>
        <w:spacing w:after="160"/>
      </w:pPr>
      <w:r>
        <w:t xml:space="preserve"/>
      </w:r>
    </w:p>
    <w:p>
      <w:pPr>
        <w:spacing w:after="160"/>
      </w:pPr>
      <w:r>
        <w:rPr>
          <w:rFonts w:ascii="Arial" w:cs="Arial" w:eastAsia="Arial" w:hAnsi="Arial"/>
          <w:sz w:val="22"/>
          <w:szCs w:val="22"/>
        </w:rPr>
        <w:t xml:space="preserve">We measured CPU overhead by running 60-minute sessions of GPU-bound titles with and without each tool's real-time protection enabled, using MSI Afterburner's logging at 1-second intervals. Our recommendation: layer Bitdefender Total Security (primary) with Malwarebytes Premium (on-demand weekly sweep). The two products don't conflict and cover each other's detection gap areas.</w:t>
      </w:r>
    </w:p>
    <w:p>
      <w:pPr>
        <w:pStyle w:val="Heading2"/>
        <w:spacing w:after="160" w:before="320"/>
      </w:pPr>
      <w:r>
        <w:rPr>
          <w:rFonts w:ascii="Arial" w:cs="Arial" w:eastAsia="Arial" w:hAnsi="Arial"/>
          <w:b/>
          <w:bCs/>
          <w:color w:val="2C5F8A"/>
          <w:sz w:val="28"/>
          <w:szCs w:val="28"/>
        </w:rPr>
        <w:t xml:space="preserve">Malware Protection for High-End Gaming Rigs: Coinminers</w:t>
      </w:r>
    </w:p>
    <w:p>
      <w:pPr>
        <w:spacing w:after="160"/>
      </w:pPr>
      <w:r>
        <w:rPr>
          <w:rFonts w:ascii="Arial" w:cs="Arial" w:eastAsia="Arial" w:hAnsi="Arial"/>
          <w:sz w:val="22"/>
          <w:szCs w:val="22"/>
        </w:rPr>
        <w:t xml:space="preserve">Coinminers targeting gaming rigs in 2026 are not the blunt instruments of 2018. Modern coinminer malware throttles CPU/GPU usage when monitoring tools are detected, injects into legitimate processes, and uses VRAM-based mining that generates less heat and is invisible to standard CPU monitoring.</w:t>
      </w:r>
    </w:p>
    <w:p>
      <w:pPr>
        <w:spacing w:after="160"/>
      </w:pPr>
      <w:r>
        <w:rPr>
          <w:rFonts w:ascii="Arial" w:cs="Arial" w:eastAsia="Arial" w:hAnsi="Arial"/>
          <w:sz w:val="22"/>
          <w:szCs w:val="22"/>
        </w:rPr>
        <w:t xml:space="preserve">Detection requires monitoring the right signals. Install GPU-Z and check VRAM usage during idle periods. Any sustained VRAM usage exceeding 500MB at idle is a red flag. Also audit your antivirus exclusion list — if you have entire directories like C:\Program Files\ excluded, you've effectively disabled protection for the highest-risk software on your machine.</w:t>
      </w:r>
    </w:p>
    <w:p>
      <w:pPr>
        <w:pStyle w:val="Heading2"/>
        <w:spacing w:after="160" w:before="320"/>
      </w:pPr>
      <w:r>
        <w:rPr>
          <w:rFonts w:ascii="Arial" w:cs="Arial" w:eastAsia="Arial" w:hAnsi="Arial"/>
          <w:b/>
          <w:bCs/>
          <w:color w:val="2C5F8A"/>
          <w:sz w:val="28"/>
          <w:szCs w:val="28"/>
        </w:rPr>
        <w:t xml:space="preserve">The Complete Hardening Checklist</w:t>
      </w:r>
    </w:p>
    <w:p>
      <w:pPr>
        <w:spacing w:after="1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tcBorders>
              <w:top w:val="single" w:color="4A90D9" w:sz="1"/>
              <w:left w:val="single" w:color="4A90D9" w:sz="1"/>
              <w:bottom w:val="single" w:color="4A90D9" w:sz="1"/>
              <w:right w:val="single" w:color="4A90D9"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Hardening Step</w:t>
            </w:r>
          </w:p>
        </w:tc>
        <w:tc>
          <w:tcPr>
            <w:tcW w:type="dxa" w:w="3000"/>
            <w:tcBorders>
              <w:top w:val="single" w:color="4A90D9" w:sz="1"/>
              <w:left w:val="single" w:color="4A90D9" w:sz="1"/>
              <w:bottom w:val="single" w:color="4A90D9" w:sz="1"/>
              <w:right w:val="single" w:color="4A90D9"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Security Benefit</w:t>
            </w:r>
          </w:p>
        </w:tc>
        <w:tc>
          <w:tcPr>
            <w:tcW w:type="dxa" w:w="3000"/>
            <w:tcBorders>
              <w:top w:val="single" w:color="4A90D9" w:sz="1"/>
              <w:left w:val="single" w:color="4A90D9" w:sz="1"/>
              <w:bottom w:val="single" w:color="4A90D9" w:sz="1"/>
              <w:right w:val="single" w:color="4A90D9"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Implementation</w:t>
            </w:r>
          </w:p>
        </w:tc>
      </w:tr>
      <w:tr>
        <w:tc>
          <w:tcPr>
            <w:tcW w:type="dxa" w:w="3000"/>
            <w:tcBorders>
              <w:top w:val="single" w:color="CCCCCC" w:sz="1"/>
              <w:left w:val="single" w:color="CCCCCC" w:sz="1"/>
              <w:bottom w:val="single" w:color="CCCCCC" w:sz="1"/>
              <w:right w:val="single" w:color="CCCCCC" w:sz="1"/>
            </w:tcBorders>
            <w:shd w:fill="F2F8FD" w:val="clear"/>
            <w:tcMar>
              <w:top w:type="dxa" w:w="60"/>
              <w:left w:type="dxa" w:w="120"/>
              <w:bottom w:type="dxa" w:w="60"/>
              <w:right w:type="dxa" w:w="120"/>
            </w:tcMar>
          </w:tcPr>
          <w:p>
            <w:r>
              <w:rPr>
                <w:rFonts w:ascii="Arial" w:cs="Arial" w:eastAsia="Arial" w:hAnsi="Arial"/>
                <w:sz w:val="19"/>
                <w:szCs w:val="19"/>
              </w:rPr>
              <w:t xml:space="preserve">Disable SMBv1</w:t>
            </w:r>
          </w:p>
        </w:tc>
        <w:tc>
          <w:tcPr>
            <w:tcW w:type="dxa" w:w="3000"/>
            <w:tcBorders>
              <w:top w:val="single" w:color="CCCCCC" w:sz="1"/>
              <w:left w:val="single" w:color="CCCCCC" w:sz="1"/>
              <w:bottom w:val="single" w:color="CCCCCC" w:sz="1"/>
              <w:right w:val="single" w:color="CCCCCC" w:sz="1"/>
            </w:tcBorders>
            <w:shd w:fill="F2F8FD" w:val="clear"/>
            <w:tcMar>
              <w:top w:type="dxa" w:w="60"/>
              <w:left w:type="dxa" w:w="120"/>
              <w:bottom w:type="dxa" w:w="60"/>
              <w:right w:type="dxa" w:w="120"/>
            </w:tcMar>
          </w:tcPr>
          <w:p>
            <w:r>
              <w:rPr>
                <w:rFonts w:ascii="Arial" w:cs="Arial" w:eastAsia="Arial" w:hAnsi="Arial"/>
                <w:sz w:val="19"/>
                <w:szCs w:val="19"/>
              </w:rPr>
              <w:t xml:space="preserve">Eliminates EternalBlue-class exploits</w:t>
            </w:r>
          </w:p>
        </w:tc>
        <w:tc>
          <w:tcPr>
            <w:tcW w:type="dxa" w:w="3000"/>
            <w:tcBorders>
              <w:top w:val="single" w:color="CCCCCC" w:sz="1"/>
              <w:left w:val="single" w:color="CCCCCC" w:sz="1"/>
              <w:bottom w:val="single" w:color="CCCCCC" w:sz="1"/>
              <w:right w:val="single" w:color="CCCCCC" w:sz="1"/>
            </w:tcBorders>
            <w:shd w:fill="F2F8FD" w:val="clear"/>
            <w:tcMar>
              <w:top w:type="dxa" w:w="60"/>
              <w:left w:type="dxa" w:w="120"/>
              <w:bottom w:type="dxa" w:w="60"/>
              <w:right w:type="dxa" w:w="120"/>
            </w:tcMar>
          </w:tcPr>
          <w:p>
            <w:r>
              <w:rPr>
                <w:rFonts w:ascii="Arial" w:cs="Arial" w:eastAsia="Arial" w:hAnsi="Arial"/>
                <w:sz w:val="19"/>
                <w:szCs w:val="19"/>
              </w:rPr>
              <w:t xml:space="preserve">Set-SmbServerConfiguration -EnableSMB1Protocol $false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Enable ASLR/DEP</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Blocks memory-based exploits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bcdedit /set nx AlwaysOn</w:t>
            </w:r>
          </w:p>
        </w:tc>
      </w:tr>
      <w:tr>
        <w:tc>
          <w:tcPr>
            <w:tcW w:type="dxa" w:w="3000"/>
            <w:tcBorders>
              <w:top w:val="single" w:color="CCCCCC" w:sz="1"/>
              <w:left w:val="single" w:color="CCCCCC" w:sz="1"/>
              <w:bottom w:val="single" w:color="CCCCCC" w:sz="1"/>
              <w:right w:val="single" w:color="CCCCCC" w:sz="1"/>
            </w:tcBorders>
            <w:shd w:fill="F2F8FD" w:val="clear"/>
            <w:tcMar>
              <w:top w:type="dxa" w:w="60"/>
              <w:left w:type="dxa" w:w="120"/>
              <w:bottom w:type="dxa" w:w="60"/>
              <w:right w:type="dxa" w:w="120"/>
            </w:tcMar>
          </w:tcPr>
          <w:p>
            <w:r>
              <w:rPr>
                <w:rFonts w:ascii="Arial" w:cs="Arial" w:eastAsia="Arial" w:hAnsi="Arial"/>
                <w:sz w:val="19"/>
                <w:szCs w:val="19"/>
              </w:rPr>
              <w:t xml:space="preserve">Enable firewall logging</w:t>
            </w:r>
          </w:p>
        </w:tc>
        <w:tc>
          <w:tcPr>
            <w:tcW w:type="dxa" w:w="3000"/>
            <w:tcBorders>
              <w:top w:val="single" w:color="CCCCCC" w:sz="1"/>
              <w:left w:val="single" w:color="CCCCCC" w:sz="1"/>
              <w:bottom w:val="single" w:color="CCCCCC" w:sz="1"/>
              <w:right w:val="single" w:color="CCCCCC" w:sz="1"/>
            </w:tcBorders>
            <w:shd w:fill="F2F8FD" w:val="clear"/>
            <w:tcMar>
              <w:top w:type="dxa" w:w="60"/>
              <w:left w:type="dxa" w:w="120"/>
              <w:bottom w:type="dxa" w:w="60"/>
              <w:right w:type="dxa" w:w="120"/>
            </w:tcMar>
          </w:tcPr>
          <w:p>
            <w:r>
              <w:rPr>
                <w:rFonts w:ascii="Arial" w:cs="Arial" w:eastAsia="Arial" w:hAnsi="Arial"/>
                <w:sz w:val="19"/>
                <w:szCs w:val="19"/>
              </w:rPr>
              <w:t xml:space="preserve">Detects coinminer C2 communication</w:t>
            </w:r>
          </w:p>
        </w:tc>
        <w:tc>
          <w:tcPr>
            <w:tcW w:type="dxa" w:w="3000"/>
            <w:tcBorders>
              <w:top w:val="single" w:color="CCCCCC" w:sz="1"/>
              <w:left w:val="single" w:color="CCCCCC" w:sz="1"/>
              <w:bottom w:val="single" w:color="CCCCCC" w:sz="1"/>
              <w:right w:val="single" w:color="CCCCCC" w:sz="1"/>
            </w:tcBorders>
            <w:shd w:fill="F2F8FD" w:val="clear"/>
            <w:tcMar>
              <w:top w:type="dxa" w:w="60"/>
              <w:left w:type="dxa" w:w="120"/>
              <w:bottom w:type="dxa" w:w="60"/>
              <w:right w:type="dxa" w:w="120"/>
            </w:tcMar>
          </w:tcPr>
          <w:p>
            <w:r>
              <w:rPr>
                <w:rFonts w:ascii="Arial" w:cs="Arial" w:eastAsia="Arial" w:hAnsi="Arial"/>
                <w:sz w:val="19"/>
                <w:szCs w:val="19"/>
              </w:rPr>
              <w:t xml:space="preserve">Windows Firewall → Advanced → Logging</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Separate gaming OS account</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Contains breach impact</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Create limited user for daily use</w:t>
            </w:r>
          </w:p>
        </w:tc>
      </w:tr>
      <w:tr>
        <w:tc>
          <w:tcPr>
            <w:tcW w:type="dxa" w:w="3000"/>
            <w:tcBorders>
              <w:top w:val="single" w:color="CCCCCC" w:sz="1"/>
              <w:left w:val="single" w:color="CCCCCC" w:sz="1"/>
              <w:bottom w:val="single" w:color="CCCCCC" w:sz="1"/>
              <w:right w:val="single" w:color="CCCCCC" w:sz="1"/>
            </w:tcBorders>
            <w:shd w:fill="F2F8FD" w:val="clear"/>
            <w:tcMar>
              <w:top w:type="dxa" w:w="60"/>
              <w:left w:type="dxa" w:w="120"/>
              <w:bottom w:type="dxa" w:w="60"/>
              <w:right w:type="dxa" w:w="120"/>
            </w:tcMar>
          </w:tcPr>
          <w:p>
            <w:r>
              <w:rPr>
                <w:rFonts w:ascii="Arial" w:cs="Arial" w:eastAsia="Arial" w:hAnsi="Arial"/>
                <w:sz w:val="19"/>
                <w:szCs w:val="19"/>
              </w:rPr>
              <w:t xml:space="preserve">Encrypt game drive</w:t>
            </w:r>
          </w:p>
        </w:tc>
        <w:tc>
          <w:tcPr>
            <w:tcW w:type="dxa" w:w="3000"/>
            <w:tcBorders>
              <w:top w:val="single" w:color="CCCCCC" w:sz="1"/>
              <w:left w:val="single" w:color="CCCCCC" w:sz="1"/>
              <w:bottom w:val="single" w:color="CCCCCC" w:sz="1"/>
              <w:right w:val="single" w:color="CCCCCC" w:sz="1"/>
            </w:tcBorders>
            <w:shd w:fill="F2F8FD" w:val="clear"/>
            <w:tcMar>
              <w:top w:type="dxa" w:w="60"/>
              <w:left w:type="dxa" w:w="120"/>
              <w:bottom w:type="dxa" w:w="60"/>
              <w:right w:type="dxa" w:w="120"/>
            </w:tcMar>
          </w:tcPr>
          <w:p>
            <w:r>
              <w:rPr>
                <w:rFonts w:ascii="Arial" w:cs="Arial" w:eastAsia="Arial" w:hAnsi="Arial"/>
                <w:sz w:val="19"/>
                <w:szCs w:val="19"/>
              </w:rPr>
              <w:t xml:space="preserve">Protects saved credentials/OAuth tokens</w:t>
            </w:r>
          </w:p>
        </w:tc>
        <w:tc>
          <w:tcPr>
            <w:tcW w:type="dxa" w:w="3000"/>
            <w:tcBorders>
              <w:top w:val="single" w:color="CCCCCC" w:sz="1"/>
              <w:left w:val="single" w:color="CCCCCC" w:sz="1"/>
              <w:bottom w:val="single" w:color="CCCCCC" w:sz="1"/>
              <w:right w:val="single" w:color="CCCCCC" w:sz="1"/>
            </w:tcBorders>
            <w:shd w:fill="F2F8FD" w:val="clear"/>
            <w:tcMar>
              <w:top w:type="dxa" w:w="60"/>
              <w:left w:type="dxa" w:w="120"/>
              <w:bottom w:type="dxa" w:w="60"/>
              <w:right w:type="dxa" w:w="120"/>
            </w:tcMar>
          </w:tcPr>
          <w:p>
            <w:r>
              <w:rPr>
                <w:rFonts w:ascii="Arial" w:cs="Arial" w:eastAsia="Arial" w:hAnsi="Arial"/>
                <w:sz w:val="19"/>
                <w:szCs w:val="19"/>
              </w:rPr>
              <w:t xml:space="preserve">BitLocker on game library partition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Monitor outbound connections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Flags unexpected C2 activity</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GlassWire real-time network monitor</w:t>
            </w:r>
          </w:p>
        </w:tc>
      </w:tr>
    </w:tbl>
    <w:p>
      <w:pPr>
        <w:spacing w:after="160"/>
      </w:pPr>
      <w:r>
        <w:t xml:space="preserve"/>
      </w:r>
    </w:p>
    <w:p>
      <w:pPr>
        <w:pStyle w:val="Heading2"/>
        <w:spacing w:after="160" w:before="320"/>
      </w:pPr>
      <w:r>
        <w:rPr>
          <w:rFonts w:ascii="Arial" w:cs="Arial" w:eastAsia="Arial" w:hAnsi="Arial"/>
          <w:b/>
          <w:bCs/>
          <w:color w:val="2C5F8A"/>
          <w:sz w:val="28"/>
          <w:szCs w:val="28"/>
        </w:rPr>
        <w:t xml:space="preserve">YubiKey Integration for BIOS-Level Security</w:t>
      </w:r>
    </w:p>
    <w:p>
      <w:pPr>
        <w:spacing w:after="160"/>
      </w:pPr>
      <w:r>
        <w:rPr>
          <w:rFonts w:ascii="Arial" w:cs="Arial" w:eastAsia="Arial" w:hAnsi="Arial"/>
          <w:sz w:val="22"/>
          <w:szCs w:val="22"/>
        </w:rPr>
        <w:t xml:space="preserve">Modern motherboards from ASUS (ROG line, Z890 chipset and newer) and MSI (MEG/MAG lines) support FIDO2-compatible security key authentication at the BIOS/UEFI level. A YubiKey 5 Series device can be enrolled as a pre-boot authentication requirement, meaning an attacker with physical access cannot boot to a USB live environment to extract credentials or install persistent firmware-level malware.</w:t>
      </w:r>
    </w:p>
    <w:p>
      <w:pPr>
        <w:spacing w:after="120"/>
      </w:pPr>
      <w:r>
        <w:rPr>
          <w:rFonts w:ascii="Arial" w:cs="Arial" w:eastAsia="Arial" w:hAnsi="Arial"/>
          <w:b/>
          <w:bCs/>
          <w:sz w:val="22"/>
          <w:szCs w:val="22"/>
        </w:rPr>
        <w:t xml:space="preserve">Implementation for ASUS ROG motherboards:</w:t>
      </w:r>
    </w:p>
    <w:p>
      <w:pPr>
        <w:pStyle w:val="ListParagraph"/>
        <w:numPr>
          <w:ilvl w:val="0"/>
          <w:numId w:val="2"/>
        </w:numPr>
        <w:spacing w:after="100"/>
      </w:pPr>
      <w:r>
        <w:rPr>
          <w:rFonts w:ascii="Arial" w:cs="Arial" w:eastAsia="Arial" w:hAnsi="Arial"/>
          <w:sz w:val="22"/>
          <w:szCs w:val="22"/>
        </w:rPr>
        <w:t xml:space="preserve">Enter BIOS → Security → FIDO2 Authentication</w:t>
      </w:r>
    </w:p>
    <w:p>
      <w:pPr>
        <w:pStyle w:val="ListParagraph"/>
        <w:numPr>
          <w:ilvl w:val="0"/>
          <w:numId w:val="2"/>
        </w:numPr>
        <w:spacing w:after="100"/>
      </w:pPr>
      <w:r>
        <w:rPr>
          <w:rFonts w:ascii="Arial" w:cs="Arial" w:eastAsia="Arial" w:hAnsi="Arial"/>
          <w:sz w:val="22"/>
          <w:szCs w:val="22"/>
        </w:rPr>
        <w:t xml:space="preserve">Enroll YubiKey via USB-A port during setup sequence</w:t>
      </w:r>
    </w:p>
    <w:p>
      <w:pPr>
        <w:pStyle w:val="ListParagraph"/>
        <w:numPr>
          <w:ilvl w:val="0"/>
          <w:numId w:val="2"/>
        </w:numPr>
        <w:spacing w:after="100"/>
      </w:pPr>
      <w:r>
        <w:rPr>
          <w:rFonts w:ascii="Arial" w:cs="Arial" w:eastAsia="Arial" w:hAnsi="Arial"/>
          <w:sz w:val="22"/>
          <w:szCs w:val="22"/>
        </w:rPr>
        <w:t xml:space="preserve">Set boot order to require FIDO2 key before OS initialization</w:t>
      </w:r>
    </w:p>
    <w:p>
      <w:pPr>
        <w:pStyle w:val="ListParagraph"/>
        <w:numPr>
          <w:ilvl w:val="0"/>
          <w:numId w:val="2"/>
        </w:numPr>
        <w:spacing w:after="100"/>
      </w:pPr>
      <w:r>
        <w:rPr>
          <w:rFonts w:ascii="Arial" w:cs="Arial" w:eastAsia="Arial" w:hAnsi="Arial"/>
          <w:sz w:val="22"/>
          <w:szCs w:val="22"/>
        </w:rPr>
        <w:t xml:space="preserve">Store a backup key in a secure physical location</w:t>
      </w:r>
    </w:p>
    <w:p>
      <w:pPr>
        <w:pStyle w:val="Heading2"/>
        <w:spacing w:after="160" w:before="320"/>
      </w:pPr>
      <w:r>
        <w:rPr>
          <w:rFonts w:ascii="Arial" w:cs="Arial" w:eastAsia="Arial" w:hAnsi="Arial"/>
          <w:b/>
          <w:bCs/>
          <w:color w:val="2C5F8A"/>
          <w:sz w:val="28"/>
          <w:szCs w:val="28"/>
        </w:rPr>
        <w:t xml:space="preserve">Network Architecture: Gaming VLAN Segmentation</w:t>
      </w:r>
    </w:p>
    <w:p>
      <w:pPr>
        <w:spacing w:after="160"/>
      </w:pPr>
      <w:r>
        <w:rPr>
          <w:rFonts w:ascii="Arial" w:cs="Arial" w:eastAsia="Arial" w:hAnsi="Arial"/>
          <w:sz w:val="22"/>
          <w:szCs w:val="22"/>
        </w:rPr>
        <w:t xml:space="preserve">Network segmentation is the hardening step most gaming households skip entirely. A compromised IoT device on your home network can pivot to your gaming rig via lateral movement. The solution is a dedicated gaming VLAN, achievable with consumer routers like the ASUS ZenWiFi Pro ET12 or Netgear Orbi with VPN.</w:t>
      </w:r>
    </w:p>
    <w:p>
      <w:pPr>
        <w:shd w:fill="F5F5F5" w:val="clear"/>
        <w:spacing w:after="80" w:before="80"/>
        <w:ind w:left="720"/>
      </w:pPr>
      <w:r>
        <w:rPr>
          <w:rFonts w:ascii="Courier New" w:cs="Courier New" w:eastAsia="Courier New" w:hAnsi="Courier New"/>
          <w:color w:val="333333"/>
          <w:sz w:val="18"/>
          <w:szCs w:val="18"/>
        </w:rPr>
        <w:t xml:space="preserve">[ISP Modem]</w:t>
      </w:r>
    </w:p>
    <w:p>
      <w:pPr>
        <w:shd w:fill="F5F5F5" w:val="clear"/>
        <w:spacing w:after="80" w:before="80"/>
        <w:ind w:left="720"/>
      </w:pPr>
      <w:r>
        <w:rPr>
          <w:rFonts w:ascii="Courier New" w:cs="Courier New" w:eastAsia="Courier New" w:hAnsi="Courier New"/>
          <w:color w:val="333333"/>
          <w:sz w:val="18"/>
          <w:szCs w:val="18"/>
        </w:rPr>
        <w:t xml:space="preserve">    |</w:t>
      </w:r>
    </w:p>
    <w:p>
      <w:pPr>
        <w:shd w:fill="F5F5F5" w:val="clear"/>
        <w:spacing w:after="80" w:before="80"/>
        <w:ind w:left="720"/>
      </w:pPr>
      <w:r>
        <w:rPr>
          <w:rFonts w:ascii="Courier New" w:cs="Courier New" w:eastAsia="Courier New" w:hAnsi="Courier New"/>
          <w:color w:val="333333"/>
          <w:sz w:val="18"/>
          <w:szCs w:val="18"/>
        </w:rPr>
        <w:t xml:space="preserve">[Router with VLAN support]</w:t>
      </w:r>
    </w:p>
    <w:p>
      <w:pPr>
        <w:shd w:fill="F5F5F5" w:val="clear"/>
        <w:spacing w:after="80" w:before="80"/>
        <w:ind w:left="720"/>
      </w:pPr>
      <w:r>
        <w:rPr>
          <w:rFonts w:ascii="Courier New" w:cs="Courier New" w:eastAsia="Courier New" w:hAnsi="Courier New"/>
          <w:color w:val="333333"/>
          <w:sz w:val="18"/>
          <w:szCs w:val="18"/>
        </w:rPr>
        <w:t xml:space="preserve">    |</w:t>
      </w:r>
    </w:p>
    <w:p>
      <w:pPr>
        <w:shd w:fill="F5F5F5" w:val="clear"/>
        <w:spacing w:after="80" w:before="80"/>
        <w:ind w:left="720"/>
      </w:pPr>
      <w:r>
        <w:rPr>
          <w:rFonts w:ascii="Courier New" w:cs="Courier New" w:eastAsia="Courier New" w:hAnsi="Courier New"/>
          <w:color w:val="333333"/>
          <w:sz w:val="18"/>
          <w:szCs w:val="18"/>
        </w:rPr>
        <w:t xml:space="preserve">    ├─ VLAN 10: Gaming Devices (PC, consoles)</w:t>
      </w:r>
    </w:p>
    <w:p>
      <w:pPr>
        <w:shd w:fill="F5F5F5" w:val="clear"/>
        <w:spacing w:after="80" w:before="80"/>
        <w:ind w:left="720"/>
      </w:pPr>
      <w:r>
        <w:rPr>
          <w:rFonts w:ascii="Courier New" w:cs="Courier New" w:eastAsia="Courier New" w:hAnsi="Courier New"/>
          <w:color w:val="333333"/>
          <w:sz w:val="18"/>
          <w:szCs w:val="18"/>
        </w:rPr>
        <w:t xml:space="preserve">    ├─ VLAN 20: IoT Devices (smart home, printers)</w:t>
      </w:r>
    </w:p>
    <w:p>
      <w:pPr>
        <w:shd w:fill="F5F5F5" w:val="clear"/>
        <w:spacing w:after="80" w:before="80"/>
        <w:ind w:left="720"/>
      </w:pPr>
      <w:r>
        <w:rPr>
          <w:rFonts w:ascii="Courier New" w:cs="Courier New" w:eastAsia="Courier New" w:hAnsi="Courier New"/>
          <w:color w:val="333333"/>
          <w:sz w:val="18"/>
          <w:szCs w:val="18"/>
        </w:rPr>
        <w:t xml:space="preserve">    └─ VLAN 30: General (phones, laptops)</w:t>
      </w:r>
    </w:p>
    <w:p>
      <w:pPr>
        <w:spacing w:after="160"/>
      </w:pPr>
      <w:r>
        <w:rPr>
          <w:rFonts w:ascii="Arial" w:cs="Arial" w:eastAsia="Arial" w:hAnsi="Arial"/>
          <w:sz w:val="22"/>
          <w:szCs w:val="22"/>
        </w:rPr>
        <w:t xml:space="preserve">Devices on the IoT VLAN cannot initiate connections to the Gaming VLAN. The gaming rig's attack surface from the home network is reduced to external traffic only.</w:t>
      </w:r>
    </w:p>
    <w:p>
      <w:pPr>
        <w:pStyle w:val="Heading2"/>
        <w:spacing w:after="160" w:before="320"/>
      </w:pPr>
      <w:r>
        <w:rPr>
          <w:rFonts w:ascii="Arial" w:cs="Arial" w:eastAsia="Arial" w:hAnsi="Arial"/>
          <w:b/>
          <w:bCs/>
          <w:color w:val="2C5F8A"/>
          <w:sz w:val="28"/>
          <w:szCs w:val="28"/>
        </w:rPr>
        <w:t xml:space="preserve">Expert Recommendation</w:t>
      </w:r>
    </w:p>
    <w:p>
      <w:pPr>
        <w:spacing w:after="160"/>
      </w:pPr>
      <w:r>
        <w:rPr>
          <w:rFonts w:ascii="Arial" w:cs="Arial" w:eastAsia="Arial" w:hAnsi="Arial"/>
          <w:sz w:val="22"/>
          <w:szCs w:val="22"/>
        </w:rPr>
        <w:t xml:space="preserve">Gaming PC security in 2026 is not about choosing between security and performance. The performance cost of proper hardening is essentially zero, while the performance cost of a successful attack — a coinminer running at 30% VRAM utilization for months — is substantial.</w:t>
      </w:r>
    </w:p>
    <w:p>
      <w:pPr>
        <w:spacing w:after="160"/>
      </w:pPr>
      <w:r>
        <w:rPr>
          <w:rFonts w:ascii="Arial" w:cs="Arial" w:eastAsia="Arial" w:hAnsi="Arial"/>
          <w:sz w:val="22"/>
          <w:szCs w:val="22"/>
        </w:rPr>
        <w:t xml:space="preserve">My personal setup: Bitdefender Total Security in Game Mode, HVCI enabled, ASLR/DEP forced system-wide, a YubiKey enrolled in BIOS, and a dedicated gaming VLAN. My benchmark scores in competitive titles are within margin of error versus a completely unprotected baseline. Start with the Windows security settings — they're free, immediate, and the most impactful single hour you can invest in your rig's security.</w:t>
      </w:r>
    </w:p>
    <w:p>
      <w:r>
        <w:br w:type="page"/>
      </w:r>
    </w:p>
    <w:p>
      <w:pPr>
        <w:pStyle w:val="Heading1"/>
        <w:spacing w:after="200" w:before="400"/>
      </w:pPr>
      <w:r>
        <w:rPr>
          <w:rFonts w:ascii="Arial" w:cs="Arial" w:eastAsia="Arial" w:hAnsi="Arial"/>
          <w:b/>
          <w:bCs/>
          <w:sz w:val="36"/>
          <w:szCs w:val="36"/>
        </w:rPr>
        <w:t xml:space="preserve">Steam Deck 2 Specs, Release Date Leaks, and the Full Deck vs. OLED Comparison (2026 Update)</w:t>
      </w:r>
    </w:p>
    <w:p>
      <w:pPr>
        <w:spacing w:after="200"/>
      </w:pPr>
      <w:r>
        <w:rPr>
          <w:rFonts w:ascii="Arial" w:cs="Arial" w:eastAsia="Arial" w:hAnsi="Arial"/>
          <w:i/>
          <w:iCs/>
          <w:color w:val="666666"/>
          <w:sz w:val="20"/>
          <w:szCs w:val="20"/>
        </w:rPr>
        <w:t xml:space="preserve">Published on TheGridNexus.com | By The GridNexus Gaming Team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4A90D9" w:sz="1"/>
              <w:left w:val="single" w:color="4A90D9" w:sz="1"/>
              <w:bottom w:val="single" w:color="4A90D9" w:sz="1"/>
              <w:right w:val="single" w:color="4A90D9" w:sz="1"/>
            </w:tcBorders>
            <w:shd w:fill="2980B9" w:val="clear"/>
            <w:tcMar>
              <w:top w:type="dxa" w:w="80"/>
              <w:left w:type="dxa" w:w="160"/>
              <w:bottom w:type="dxa" w:w="80"/>
              <w:right w:type="dxa" w:w="160"/>
            </w:tcMar>
          </w:tcPr>
          <w:p>
            <w:r>
              <w:rPr>
                <w:rFonts w:ascii="Arial" w:cs="Arial" w:eastAsia="Arial" w:hAnsi="Arial"/>
                <w:b/>
                <w:bCs/>
                <w:color w:val="FFFFFF"/>
                <w:sz w:val="22"/>
                <w:szCs w:val="22"/>
              </w:rPr>
              <w:t xml:space="preserve">KEY TAKEAWAYS (TL;DR)</w:t>
            </w:r>
          </w:p>
        </w:tc>
      </w:tr>
      <w:tr>
        <w:tc>
          <w:tcPr>
            <w:tcW w:type="dxa" w:w="9000"/>
            <w:tcBorders>
              <w:top w:val="none"/>
              <w:left w:val="none"/>
              <w:bottom w:val="none"/>
              <w:right w:val="none"/>
            </w:tcBorders>
            <w:shd w:fill="EBF5FB" w:val="clear"/>
            <w:tcMar>
              <w:top w:type="dxa" w:w="60"/>
              <w:left w:type="dxa" w:w="160"/>
              <w:bottom w:type="dxa" w:w="60"/>
              <w:right w:type="dxa" w:w="160"/>
            </w:tcMar>
          </w:tcPr>
          <w:p>
            <w:r>
              <w:rPr>
                <w:rFonts w:ascii="Arial" w:cs="Arial" w:eastAsia="Arial" w:hAnsi="Arial"/>
                <w:sz w:val="20"/>
                <w:szCs w:val="20"/>
              </w:rPr>
              <w:t xml:space="preserve">• Steam Deck 2 release is currently tracking for 2028–2029, with LPDDR6X RAM shortages as the primary delay driver.</w:t>
            </w:r>
          </w:p>
        </w:tc>
      </w:tr>
      <w:tr>
        <w:tc>
          <w:tcPr>
            <w:tcW w:type="dxa" w:w="9000"/>
            <w:tcBorders>
              <w:top w:val="none"/>
              <w:left w:val="none"/>
              <w:bottom w:val="none"/>
              <w:right w:val="none"/>
            </w:tcBorders>
            <w:shd w:fill="EBF5FB" w:val="clear"/>
            <w:tcMar>
              <w:top w:type="dxa" w:w="60"/>
              <w:left w:type="dxa" w:w="160"/>
              <w:bottom w:type="dxa" w:w="60"/>
              <w:right w:type="dxa" w:w="160"/>
            </w:tcMar>
          </w:tcPr>
          <w:p>
            <w:r>
              <w:rPr>
                <w:rFonts w:ascii="Arial" w:cs="Arial" w:eastAsia="Arial" w:hAnsi="Arial"/>
                <w:sz w:val="20"/>
                <w:szCs w:val="20"/>
              </w:rPr>
              <w:t xml:space="preserve">• Leaked semi-custom AMD SoC: Zen 5 cores, RDNA 3.5 GPU delivering approximately 3.5 TFLOPS — more than double the OLED.</w:t>
            </w:r>
          </w:p>
        </w:tc>
      </w:tr>
      <w:tr>
        <w:tc>
          <w:tcPr>
            <w:tcW w:type="dxa" w:w="9000"/>
            <w:tcBorders>
              <w:top w:val="none"/>
              <w:left w:val="none"/>
              <w:bottom w:val="none"/>
              <w:right w:val="none"/>
            </w:tcBorders>
            <w:shd w:fill="EBF5FB" w:val="clear"/>
            <w:tcMar>
              <w:top w:type="dxa" w:w="60"/>
              <w:left w:type="dxa" w:w="160"/>
              <w:bottom w:type="dxa" w:w="60"/>
              <w:right w:type="dxa" w:w="160"/>
            </w:tcMar>
          </w:tcPr>
          <w:p>
            <w:r>
              <w:rPr>
                <w:rFonts w:ascii="Arial" w:cs="Arial" w:eastAsia="Arial" w:hAnsi="Arial"/>
                <w:sz w:val="20"/>
                <w:szCs w:val="20"/>
              </w:rPr>
              <w:t xml:space="preserve">• 32GB LPDDR6X RAM at 7500MT/s would represent the largest generational memory bandwidth jump in Deck history.</w:t>
            </w:r>
          </w:p>
        </w:tc>
      </w:tr>
      <w:tr>
        <w:tc>
          <w:tcPr>
            <w:tcW w:type="dxa" w:w="9000"/>
            <w:tcBorders>
              <w:top w:val="none"/>
              <w:left w:val="none"/>
              <w:bottom w:val="none"/>
              <w:right w:val="none"/>
            </w:tcBorders>
            <w:shd w:fill="EBF5FB" w:val="clear"/>
            <w:tcMar>
              <w:top w:type="dxa" w:w="60"/>
              <w:left w:type="dxa" w:w="160"/>
              <w:bottom w:type="dxa" w:w="60"/>
              <w:right w:type="dxa" w:w="160"/>
            </w:tcMar>
          </w:tcPr>
          <w:p>
            <w:r>
              <w:rPr>
                <w:rFonts w:ascii="Arial" w:cs="Arial" w:eastAsia="Arial" w:hAnsi="Arial"/>
                <w:sz w:val="20"/>
                <w:szCs w:val="20"/>
              </w:rPr>
              <w:t xml:space="preserve">• An 8-inch 1080p microLED display is referenced in supply chain leaks, though not yet confirmed by Valve.</w:t>
            </w:r>
          </w:p>
        </w:tc>
      </w:tr>
      <w:tr>
        <w:tc>
          <w:tcPr>
            <w:tcW w:type="dxa" w:w="9000"/>
            <w:tcBorders>
              <w:top w:val="none"/>
              <w:left w:val="none"/>
              <w:bottom w:val="none"/>
              <w:right w:val="none"/>
            </w:tcBorders>
            <w:shd w:fill="EBF5FB" w:val="clear"/>
            <w:tcMar>
              <w:top w:type="dxa" w:w="60"/>
              <w:left w:type="dxa" w:w="160"/>
              <w:bottom w:type="dxa" w:w="60"/>
              <w:right w:type="dxa" w:w="160"/>
            </w:tcMar>
          </w:tcPr>
          <w:p>
            <w:r>
              <w:rPr>
                <w:rFonts w:ascii="Arial" w:cs="Arial" w:eastAsia="Arial" w:hAnsi="Arial"/>
                <w:sz w:val="20"/>
                <w:szCs w:val="20"/>
              </w:rPr>
              <w:t xml:space="preserve">• For 2026 buyers: the OLED remains the right call. The Deck 2 hardware leap is real, but the wait is 2+ years minimum.</w:t>
            </w:r>
          </w:p>
        </w:tc>
      </w:tr>
    </w:tbl>
    <w:p>
      <w:pPr>
        <w:spacing w:after="160"/>
      </w:pPr>
      <w:r>
        <w:t xml:space="preserve"/>
      </w:r>
    </w:p>
    <w:p>
      <w:pPr>
        <w:spacing w:after="160"/>
      </w:pPr>
      <w:r>
        <w:rPr>
          <w:rFonts w:ascii="Arial" w:cs="Arial" w:eastAsia="Arial" w:hAnsi="Arial"/>
          <w:sz w:val="22"/>
          <w:szCs w:val="22"/>
        </w:rPr>
        <w:t xml:space="preserve">Let me be direct about what we know versus what we're inferring: as of mid-2026, Valve has not officially confirmed Steam Deck 2 specifications, a release date, or even its formal existence as a product. What we have are supply chain leaks, APU roadmap analyses, patent filings, and Valve's developer communications from GDC 2025 and Steam Next Fest. This is the Steam Deck 2 analysis I wish I'd had when evaluating whether to buy the OLED or wait.</w:t>
      </w:r>
    </w:p>
    <w:p>
      <w:pPr>
        <w:pStyle w:val="Heading2"/>
        <w:spacing w:after="160" w:before="320"/>
      </w:pPr>
      <w:r>
        <w:rPr>
          <w:rFonts w:ascii="Arial" w:cs="Arial" w:eastAsia="Arial" w:hAnsi="Arial"/>
          <w:b/>
          <w:bCs/>
          <w:color w:val="2C5F8A"/>
          <w:sz w:val="28"/>
          <w:szCs w:val="28"/>
        </w:rPr>
        <w:t xml:space="preserve">Steam Deck 2 Release Date Leaks: What 2026 Sources Are Saying</w:t>
      </w:r>
    </w:p>
    <w:p>
      <w:pPr>
        <w:spacing w:after="160"/>
      </w:pPr>
      <w:r>
        <w:rPr>
          <w:rFonts w:ascii="Arial" w:cs="Arial" w:eastAsia="Arial" w:hAnsi="Arial"/>
          <w:sz w:val="22"/>
          <w:szCs w:val="22"/>
        </w:rPr>
        <w:t xml:space="preserve">Steam Deck 2 release date leaks throughout 2026 have consistently converged on a 2028–2029 launch window. Two specific bottlenecks explain the delay.</w:t>
      </w:r>
    </w:p>
    <w:p>
      <w:pPr>
        <w:pStyle w:val="Heading3"/>
        <w:spacing w:after="120" w:before="240"/>
      </w:pPr>
      <w:r>
        <w:rPr>
          <w:rFonts w:ascii="Arial" w:cs="Arial" w:eastAsia="Arial" w:hAnsi="Arial"/>
          <w:b/>
          <w:bCs/>
          <w:color w:val="1A5276"/>
          <w:sz w:val="24"/>
          <w:szCs w:val="24"/>
        </w:rPr>
        <w:t xml:space="preserve">The LPDDR6X RAM Shortage Problem</w:t>
      </w:r>
    </w:p>
    <w:p>
      <w:pPr>
        <w:spacing w:after="160"/>
      </w:pPr>
      <w:r>
        <w:rPr>
          <w:rFonts w:ascii="Arial" w:cs="Arial" w:eastAsia="Arial" w:hAnsi="Arial"/>
          <w:sz w:val="22"/>
          <w:szCs w:val="22"/>
        </w:rPr>
        <w:t xml:space="preserve">The Steam Deck 2 delay related to RAM shortage is the most credible reported cause. The Deck 2's leaked specification calls for LPDDR6X at 7500MT/s — a memory standard that, as of 2026, remains in limited production at both Samsung and SK Hynix. Supply chain analysis firm TechInsights flagged in their Q1 2026 report that LPDDR6X wafer starts for consumer device applications are substantially below projected demand, primarily because automotive and AI accelerator applications are absorbing available fab capacity.</w:t>
      </w:r>
    </w:p>
    <w:p>
      <w:pPr>
        <w:spacing w:after="160"/>
      </w:pPr>
      <w:r>
        <w:rPr>
          <w:rFonts w:ascii="Arial" w:cs="Arial" w:eastAsia="Arial" w:hAnsi="Arial"/>
          <w:sz w:val="22"/>
          <w:szCs w:val="22"/>
        </w:rPr>
        <w:t xml:space="preserve">Valve's history of supply chain conservatism — they didn't launch the original Deck until confident in volume production capability — suggests they won't announce a product they can't ship at scale. This aligns with the 2028–2029 window.</w:t>
      </w:r>
    </w:p>
    <w:p>
      <w:pPr>
        <w:pStyle w:val="Heading3"/>
        <w:spacing w:after="120" w:before="240"/>
      </w:pPr>
      <w:r>
        <w:rPr>
          <w:rFonts w:ascii="Arial" w:cs="Arial" w:eastAsia="Arial" w:hAnsi="Arial"/>
          <w:b/>
          <w:bCs/>
          <w:color w:val="1A5276"/>
          <w:sz w:val="24"/>
          <w:szCs w:val="24"/>
        </w:rPr>
        <w:t xml:space="preserve">Semi-Custom AMD SoC Development Timeline</w:t>
      </w:r>
    </w:p>
    <w:p>
      <w:pPr>
        <w:spacing w:after="160"/>
      </w:pPr>
      <w:r>
        <w:rPr>
          <w:rFonts w:ascii="Arial" w:cs="Arial" w:eastAsia="Arial" w:hAnsi="Arial"/>
          <w:sz w:val="22"/>
          <w:szCs w:val="22"/>
        </w:rPr>
        <w:t xml:space="preserve">The Deck 2's APU requires a custom silicon engagement with AMD, similar to Sony and Microsoft's console SOCs. Custom silicon engagements typically require 18–24 months from tape-out to consumer-ready production. If leaks placing the initial tape-out in mid-2025 are accurate, volume production readiness falls in late 2027 — consistent with a 2028 launch window.</w:t>
      </w:r>
    </w:p>
    <w:p>
      <w:pPr>
        <w:pStyle w:val="Heading2"/>
        <w:spacing w:after="160" w:before="320"/>
      </w:pPr>
      <w:r>
        <w:rPr>
          <w:rFonts w:ascii="Arial" w:cs="Arial" w:eastAsia="Arial" w:hAnsi="Arial"/>
          <w:b/>
          <w:bCs/>
          <w:color w:val="2C5F8A"/>
          <w:sz w:val="28"/>
          <w:szCs w:val="28"/>
        </w:rPr>
        <w:t xml:space="preserve">Leaked Steam Deck 2 SoC Specifications</w:t>
      </w:r>
    </w:p>
    <w:p>
      <w:pPr>
        <w:pStyle w:val="Heading3"/>
        <w:spacing w:after="120" w:before="240"/>
      </w:pPr>
      <w:r>
        <w:rPr>
          <w:rFonts w:ascii="Arial" w:cs="Arial" w:eastAsia="Arial" w:hAnsi="Arial"/>
          <w:b/>
          <w:bCs/>
          <w:color w:val="1A5276"/>
          <w:sz w:val="24"/>
          <w:szCs w:val="24"/>
        </w:rPr>
        <w:t xml:space="preserve">CPU: Zen 5 Architecture (Confidence: High)</w:t>
      </w:r>
    </w:p>
    <w:p>
      <w:pPr>
        <w:spacing w:after="160"/>
      </w:pPr>
      <w:r>
        <w:rPr>
          <w:rFonts w:ascii="Arial" w:cs="Arial" w:eastAsia="Arial" w:hAnsi="Arial"/>
          <w:sz w:val="22"/>
          <w:szCs w:val="22"/>
        </w:rPr>
        <w:t xml:space="preserve">AMD's Zen 5 architecture is in production for laptop applications (Ryzen AI 300 series) as of late 2024. A Deck 2 APU using Zen 5 cores is a logical progression. Expected configuration: 4 cores / 8 threads with a sustained clock range of 3.0–4.2 GHz under the Deck's thermal envelope.</w:t>
      </w:r>
    </w:p>
    <w:p>
      <w:pPr>
        <w:pStyle w:val="Heading3"/>
        <w:spacing w:after="120" w:before="240"/>
      </w:pPr>
      <w:r>
        <w:rPr>
          <w:rFonts w:ascii="Arial" w:cs="Arial" w:eastAsia="Arial" w:hAnsi="Arial"/>
          <w:b/>
          <w:bCs/>
          <w:color w:val="1A5276"/>
          <w:sz w:val="24"/>
          <w:szCs w:val="24"/>
        </w:rPr>
        <w:t xml:space="preserve">GPU: RDNA 3.5 at 3.5 TFLOPS (Confidence: Medium-High)</w:t>
      </w:r>
    </w:p>
    <w:p>
      <w:pPr>
        <w:spacing w:after="160"/>
      </w:pPr>
      <w:r>
        <w:rPr>
          <w:rFonts w:ascii="Arial" w:cs="Arial" w:eastAsia="Arial" w:hAnsi="Arial"/>
          <w:sz w:val="22"/>
          <w:szCs w:val="22"/>
        </w:rPr>
        <w:t xml:space="preserve">The 3.5 TFLOPS figure appears in multiple independently sourced leaks and is consistent with RDNA 3.5 architecture at 12 compute units and approximately 2.0 GHz sustained clock. The OLED Deck's APU delivers approximately 1.6 TFLOPS — the Deck 2 would represent a 118% increase in raw GPU compute.</w:t>
      </w:r>
    </w:p>
    <w:p>
      <w:pPr>
        <w:pStyle w:val="Heading3"/>
        <w:spacing w:after="120" w:before="240"/>
      </w:pPr>
      <w:r>
        <w:rPr>
          <w:rFonts w:ascii="Arial" w:cs="Arial" w:eastAsia="Arial" w:hAnsi="Arial"/>
          <w:b/>
          <w:bCs/>
          <w:color w:val="1A5276"/>
          <w:sz w:val="24"/>
          <w:szCs w:val="24"/>
        </w:rPr>
        <w:t xml:space="preserve">RAM: 32GB LPDDR6X (Confidence: Medium)</w:t>
      </w:r>
    </w:p>
    <w:p>
      <w:pPr>
        <w:spacing w:after="160"/>
      </w:pPr>
      <w:r>
        <w:rPr>
          <w:rFonts w:ascii="Arial" w:cs="Arial" w:eastAsia="Arial" w:hAnsi="Arial"/>
          <w:sz w:val="22"/>
          <w:szCs w:val="22"/>
        </w:rPr>
        <w:t xml:space="preserve">Unified GPU/CPU memory in an APU architecture means RAM is also VRAM. At 1080p gaming with Unreal Engine 5's Lumen and Nanite, 16GB can be a genuine constraint. The OLED model already hits its 16GB ceiling in several UE5 titles when running modified graphics configurations.</w:t>
      </w:r>
    </w:p>
    <w:p>
      <w:pPr>
        <w:pStyle w:val="Heading2"/>
        <w:spacing w:after="160" w:before="320"/>
      </w:pPr>
      <w:r>
        <w:rPr>
          <w:rFonts w:ascii="Arial" w:cs="Arial" w:eastAsia="Arial" w:hAnsi="Arial"/>
          <w:b/>
          <w:bCs/>
          <w:color w:val="2C5F8A"/>
          <w:sz w:val="28"/>
          <w:szCs w:val="28"/>
        </w:rPr>
        <w:t xml:space="preserve">The Complete Comparison: Deck 2 vs. OLED vs. Original</w:t>
      </w:r>
    </w:p>
    <w:p>
      <w:pPr>
        <w:spacing w:after="1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tcBorders>
              <w:top w:val="single" w:color="4A90D9" w:sz="1"/>
              <w:left w:val="single" w:color="4A90D9" w:sz="1"/>
              <w:bottom w:val="single" w:color="4A90D9" w:sz="1"/>
              <w:right w:val="single" w:color="4A90D9"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2250"/>
            <w:tcBorders>
              <w:top w:val="single" w:color="4A90D9" w:sz="1"/>
              <w:left w:val="single" w:color="4A90D9" w:sz="1"/>
              <w:bottom w:val="single" w:color="4A90D9" w:sz="1"/>
              <w:right w:val="single" w:color="4A90D9"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Original Steam Deck</w:t>
            </w:r>
          </w:p>
        </w:tc>
        <w:tc>
          <w:tcPr>
            <w:tcW w:type="dxa" w:w="2250"/>
            <w:tcBorders>
              <w:top w:val="single" w:color="4A90D9" w:sz="1"/>
              <w:left w:val="single" w:color="4A90D9" w:sz="1"/>
              <w:bottom w:val="single" w:color="4A90D9" w:sz="1"/>
              <w:right w:val="single" w:color="4A90D9"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Steam Deck OLED</w:t>
            </w:r>
          </w:p>
        </w:tc>
        <w:tc>
          <w:tcPr>
            <w:tcW w:type="dxa" w:w="2250"/>
            <w:tcBorders>
              <w:top w:val="single" w:color="4A90D9" w:sz="1"/>
              <w:left w:val="single" w:color="4A90D9" w:sz="1"/>
              <w:bottom w:val="single" w:color="4A90D9" w:sz="1"/>
              <w:right w:val="single" w:color="4A90D9"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Steam Deck 2 (Leaked)</w:t>
            </w:r>
          </w:p>
        </w:tc>
      </w:tr>
      <w:tr>
        <w:tc>
          <w:tcPr>
            <w:tcW w:type="dxa" w:w="2250"/>
            <w:tcBorders>
              <w:top w:val="single" w:color="CCCCCC" w:sz="1"/>
              <w:left w:val="single" w:color="CCCCCC" w:sz="1"/>
              <w:bottom w:val="single" w:color="CCCCCC" w:sz="1"/>
              <w:right w:val="single" w:color="CCCCCC" w:sz="1"/>
            </w:tcBorders>
            <w:shd w:fill="F2F8FD" w:val="clear"/>
            <w:tcMar>
              <w:top w:type="dxa" w:w="60"/>
              <w:left w:type="dxa" w:w="120"/>
              <w:bottom w:type="dxa" w:w="60"/>
              <w:right w:type="dxa" w:w="120"/>
            </w:tcMar>
          </w:tcPr>
          <w:p>
            <w:r>
              <w:rPr>
                <w:rFonts w:ascii="Arial" w:cs="Arial" w:eastAsia="Arial" w:hAnsi="Arial"/>
                <w:sz w:val="19"/>
                <w:szCs w:val="19"/>
              </w:rPr>
              <w:t xml:space="preserve">CPU Architecture</w:t>
            </w:r>
          </w:p>
        </w:tc>
        <w:tc>
          <w:tcPr>
            <w:tcW w:type="dxa" w:w="2250"/>
            <w:tcBorders>
              <w:top w:val="single" w:color="CCCCCC" w:sz="1"/>
              <w:left w:val="single" w:color="CCCCCC" w:sz="1"/>
              <w:bottom w:val="single" w:color="CCCCCC" w:sz="1"/>
              <w:right w:val="single" w:color="CCCCCC" w:sz="1"/>
            </w:tcBorders>
            <w:shd w:fill="F2F8FD" w:val="clear"/>
            <w:tcMar>
              <w:top w:type="dxa" w:w="60"/>
              <w:left w:type="dxa" w:w="120"/>
              <w:bottom w:type="dxa" w:w="60"/>
              <w:right w:type="dxa" w:w="120"/>
            </w:tcMar>
          </w:tcPr>
          <w:p>
            <w:r>
              <w:rPr>
                <w:rFonts w:ascii="Arial" w:cs="Arial" w:eastAsia="Arial" w:hAnsi="Arial"/>
                <w:sz w:val="19"/>
                <w:szCs w:val="19"/>
              </w:rPr>
              <w:t xml:space="preserve">Zen 2, 4c/8t</w:t>
            </w:r>
          </w:p>
        </w:tc>
        <w:tc>
          <w:tcPr>
            <w:tcW w:type="dxa" w:w="2250"/>
            <w:tcBorders>
              <w:top w:val="single" w:color="CCCCCC" w:sz="1"/>
              <w:left w:val="single" w:color="CCCCCC" w:sz="1"/>
              <w:bottom w:val="single" w:color="CCCCCC" w:sz="1"/>
              <w:right w:val="single" w:color="CCCCCC" w:sz="1"/>
            </w:tcBorders>
            <w:shd w:fill="F2F8FD" w:val="clear"/>
            <w:tcMar>
              <w:top w:type="dxa" w:w="60"/>
              <w:left w:type="dxa" w:w="120"/>
              <w:bottom w:type="dxa" w:w="60"/>
              <w:right w:type="dxa" w:w="120"/>
            </w:tcMar>
          </w:tcPr>
          <w:p>
            <w:r>
              <w:rPr>
                <w:rFonts w:ascii="Arial" w:cs="Arial" w:eastAsia="Arial" w:hAnsi="Arial"/>
                <w:sz w:val="19"/>
                <w:szCs w:val="19"/>
              </w:rPr>
              <w:t xml:space="preserve">Zen 2, 4c/8t</w:t>
            </w:r>
          </w:p>
        </w:tc>
        <w:tc>
          <w:tcPr>
            <w:tcW w:type="dxa" w:w="2250"/>
            <w:tcBorders>
              <w:top w:val="single" w:color="CCCCCC" w:sz="1"/>
              <w:left w:val="single" w:color="CCCCCC" w:sz="1"/>
              <w:bottom w:val="single" w:color="CCCCCC" w:sz="1"/>
              <w:right w:val="single" w:color="CCCCCC" w:sz="1"/>
            </w:tcBorders>
            <w:shd w:fill="F2F8FD" w:val="clear"/>
            <w:tcMar>
              <w:top w:type="dxa" w:w="60"/>
              <w:left w:type="dxa" w:w="120"/>
              <w:bottom w:type="dxa" w:w="60"/>
              <w:right w:type="dxa" w:w="120"/>
            </w:tcMar>
          </w:tcPr>
          <w:p>
            <w:r>
              <w:rPr>
                <w:rFonts w:ascii="Arial" w:cs="Arial" w:eastAsia="Arial" w:hAnsi="Arial"/>
                <w:sz w:val="19"/>
                <w:szCs w:val="19"/>
              </w:rPr>
              <w:t xml:space="preserve">Zen 5, 4c/8t (est.)</w:t>
            </w:r>
          </w:p>
        </w:tc>
      </w:tr>
      <w:tr>
        <w:tc>
          <w:tcPr>
            <w:tcW w:type="dxa" w:w="225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GPU Architecture</w:t>
            </w:r>
          </w:p>
        </w:tc>
        <w:tc>
          <w:tcPr>
            <w:tcW w:type="dxa" w:w="225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RDNA 2, 8 CUs</w:t>
            </w:r>
          </w:p>
        </w:tc>
        <w:tc>
          <w:tcPr>
            <w:tcW w:type="dxa" w:w="225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RDNA 2, 8 CUs</w:t>
            </w:r>
          </w:p>
        </w:tc>
        <w:tc>
          <w:tcPr>
            <w:tcW w:type="dxa" w:w="225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RDNA 3.5, 12 CUs</w:t>
            </w:r>
          </w:p>
        </w:tc>
      </w:tr>
      <w:tr>
        <w:tc>
          <w:tcPr>
            <w:tcW w:type="dxa" w:w="2250"/>
            <w:tcBorders>
              <w:top w:val="single" w:color="CCCCCC" w:sz="1"/>
              <w:left w:val="single" w:color="CCCCCC" w:sz="1"/>
              <w:bottom w:val="single" w:color="CCCCCC" w:sz="1"/>
              <w:right w:val="single" w:color="CCCCCC" w:sz="1"/>
            </w:tcBorders>
            <w:shd w:fill="F2F8FD" w:val="clear"/>
            <w:tcMar>
              <w:top w:type="dxa" w:w="60"/>
              <w:left w:type="dxa" w:w="120"/>
              <w:bottom w:type="dxa" w:w="60"/>
              <w:right w:type="dxa" w:w="120"/>
            </w:tcMar>
          </w:tcPr>
          <w:p>
            <w:r>
              <w:rPr>
                <w:rFonts w:ascii="Arial" w:cs="Arial" w:eastAsia="Arial" w:hAnsi="Arial"/>
                <w:sz w:val="19"/>
                <w:szCs w:val="19"/>
              </w:rPr>
              <w:t xml:space="preserve">GPU Performance</w:t>
            </w:r>
          </w:p>
        </w:tc>
        <w:tc>
          <w:tcPr>
            <w:tcW w:type="dxa" w:w="2250"/>
            <w:tcBorders>
              <w:top w:val="single" w:color="CCCCCC" w:sz="1"/>
              <w:left w:val="single" w:color="CCCCCC" w:sz="1"/>
              <w:bottom w:val="single" w:color="CCCCCC" w:sz="1"/>
              <w:right w:val="single" w:color="CCCCCC" w:sz="1"/>
            </w:tcBorders>
            <w:shd w:fill="F2F8FD" w:val="clear"/>
            <w:tcMar>
              <w:top w:type="dxa" w:w="60"/>
              <w:left w:type="dxa" w:w="120"/>
              <w:bottom w:type="dxa" w:w="60"/>
              <w:right w:type="dxa" w:w="120"/>
            </w:tcMar>
          </w:tcPr>
          <w:p>
            <w:r>
              <w:rPr>
                <w:rFonts w:ascii="Arial" w:cs="Arial" w:eastAsia="Arial" w:hAnsi="Arial"/>
                <w:sz w:val="19"/>
                <w:szCs w:val="19"/>
              </w:rPr>
              <w:t xml:space="preserve">~1.6 TFLOPS</w:t>
            </w:r>
          </w:p>
        </w:tc>
        <w:tc>
          <w:tcPr>
            <w:tcW w:type="dxa" w:w="2250"/>
            <w:tcBorders>
              <w:top w:val="single" w:color="CCCCCC" w:sz="1"/>
              <w:left w:val="single" w:color="CCCCCC" w:sz="1"/>
              <w:bottom w:val="single" w:color="CCCCCC" w:sz="1"/>
              <w:right w:val="single" w:color="CCCCCC" w:sz="1"/>
            </w:tcBorders>
            <w:shd w:fill="F2F8FD" w:val="clear"/>
            <w:tcMar>
              <w:top w:type="dxa" w:w="60"/>
              <w:left w:type="dxa" w:w="120"/>
              <w:bottom w:type="dxa" w:w="60"/>
              <w:right w:type="dxa" w:w="120"/>
            </w:tcMar>
          </w:tcPr>
          <w:p>
            <w:r>
              <w:rPr>
                <w:rFonts w:ascii="Arial" w:cs="Arial" w:eastAsia="Arial" w:hAnsi="Arial"/>
                <w:sz w:val="19"/>
                <w:szCs w:val="19"/>
              </w:rPr>
              <w:t xml:space="preserve">~1.6 TFLOPS</w:t>
            </w:r>
          </w:p>
        </w:tc>
        <w:tc>
          <w:tcPr>
            <w:tcW w:type="dxa" w:w="2250"/>
            <w:tcBorders>
              <w:top w:val="single" w:color="CCCCCC" w:sz="1"/>
              <w:left w:val="single" w:color="CCCCCC" w:sz="1"/>
              <w:bottom w:val="single" w:color="CCCCCC" w:sz="1"/>
              <w:right w:val="single" w:color="CCCCCC" w:sz="1"/>
            </w:tcBorders>
            <w:shd w:fill="F2F8FD" w:val="clear"/>
            <w:tcMar>
              <w:top w:type="dxa" w:w="60"/>
              <w:left w:type="dxa" w:w="120"/>
              <w:bottom w:type="dxa" w:w="60"/>
              <w:right w:type="dxa" w:w="120"/>
            </w:tcMar>
          </w:tcPr>
          <w:p>
            <w:r>
              <w:rPr>
                <w:rFonts w:ascii="Arial" w:cs="Arial" w:eastAsia="Arial" w:hAnsi="Arial"/>
                <w:sz w:val="19"/>
                <w:szCs w:val="19"/>
              </w:rPr>
              <w:t xml:space="preserve">~3.5 TFLOPS</w:t>
            </w:r>
          </w:p>
        </w:tc>
      </w:tr>
      <w:tr>
        <w:tc>
          <w:tcPr>
            <w:tcW w:type="dxa" w:w="225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RAM</w:t>
            </w:r>
          </w:p>
        </w:tc>
        <w:tc>
          <w:tcPr>
            <w:tcW w:type="dxa" w:w="225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16GB LPDDR5</w:t>
            </w:r>
          </w:p>
        </w:tc>
        <w:tc>
          <w:tcPr>
            <w:tcW w:type="dxa" w:w="225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16GB LPDDR5</w:t>
            </w:r>
          </w:p>
        </w:tc>
        <w:tc>
          <w:tcPr>
            <w:tcW w:type="dxa" w:w="225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32GB LPDDR6X</w:t>
            </w:r>
          </w:p>
        </w:tc>
      </w:tr>
      <w:tr>
        <w:tc>
          <w:tcPr>
            <w:tcW w:type="dxa" w:w="2250"/>
            <w:tcBorders>
              <w:top w:val="single" w:color="CCCCCC" w:sz="1"/>
              <w:left w:val="single" w:color="CCCCCC" w:sz="1"/>
              <w:bottom w:val="single" w:color="CCCCCC" w:sz="1"/>
              <w:right w:val="single" w:color="CCCCCC" w:sz="1"/>
            </w:tcBorders>
            <w:shd w:fill="F2F8FD" w:val="clear"/>
            <w:tcMar>
              <w:top w:type="dxa" w:w="60"/>
              <w:left w:type="dxa" w:w="120"/>
              <w:bottom w:type="dxa" w:w="60"/>
              <w:right w:type="dxa" w:w="120"/>
            </w:tcMar>
          </w:tcPr>
          <w:p>
            <w:r>
              <w:rPr>
                <w:rFonts w:ascii="Arial" w:cs="Arial" w:eastAsia="Arial" w:hAnsi="Arial"/>
                <w:sz w:val="19"/>
                <w:szCs w:val="19"/>
              </w:rPr>
              <w:t xml:space="preserve">RAM Bandwidth</w:t>
            </w:r>
          </w:p>
        </w:tc>
        <w:tc>
          <w:tcPr>
            <w:tcW w:type="dxa" w:w="2250"/>
            <w:tcBorders>
              <w:top w:val="single" w:color="CCCCCC" w:sz="1"/>
              <w:left w:val="single" w:color="CCCCCC" w:sz="1"/>
              <w:bottom w:val="single" w:color="CCCCCC" w:sz="1"/>
              <w:right w:val="single" w:color="CCCCCC" w:sz="1"/>
            </w:tcBorders>
            <w:shd w:fill="F2F8FD" w:val="clear"/>
            <w:tcMar>
              <w:top w:type="dxa" w:w="60"/>
              <w:left w:type="dxa" w:w="120"/>
              <w:bottom w:type="dxa" w:w="60"/>
              <w:right w:type="dxa" w:w="120"/>
            </w:tcMar>
          </w:tcPr>
          <w:p>
            <w:r>
              <w:rPr>
                <w:rFonts w:ascii="Arial" w:cs="Arial" w:eastAsia="Arial" w:hAnsi="Arial"/>
                <w:sz w:val="19"/>
                <w:szCs w:val="19"/>
              </w:rPr>
              <w:t xml:space="preserve">~88 GB/s</w:t>
            </w:r>
          </w:p>
        </w:tc>
        <w:tc>
          <w:tcPr>
            <w:tcW w:type="dxa" w:w="2250"/>
            <w:tcBorders>
              <w:top w:val="single" w:color="CCCCCC" w:sz="1"/>
              <w:left w:val="single" w:color="CCCCCC" w:sz="1"/>
              <w:bottom w:val="single" w:color="CCCCCC" w:sz="1"/>
              <w:right w:val="single" w:color="CCCCCC" w:sz="1"/>
            </w:tcBorders>
            <w:shd w:fill="F2F8FD" w:val="clear"/>
            <w:tcMar>
              <w:top w:type="dxa" w:w="60"/>
              <w:left w:type="dxa" w:w="120"/>
              <w:bottom w:type="dxa" w:w="60"/>
              <w:right w:type="dxa" w:w="120"/>
            </w:tcMar>
          </w:tcPr>
          <w:p>
            <w:r>
              <w:rPr>
                <w:rFonts w:ascii="Arial" w:cs="Arial" w:eastAsia="Arial" w:hAnsi="Arial"/>
                <w:sz w:val="19"/>
                <w:szCs w:val="19"/>
              </w:rPr>
              <w:t xml:space="preserve">~88 GB/s</w:t>
            </w:r>
          </w:p>
        </w:tc>
        <w:tc>
          <w:tcPr>
            <w:tcW w:type="dxa" w:w="2250"/>
            <w:tcBorders>
              <w:top w:val="single" w:color="CCCCCC" w:sz="1"/>
              <w:left w:val="single" w:color="CCCCCC" w:sz="1"/>
              <w:bottom w:val="single" w:color="CCCCCC" w:sz="1"/>
              <w:right w:val="single" w:color="CCCCCC" w:sz="1"/>
            </w:tcBorders>
            <w:shd w:fill="F2F8FD" w:val="clear"/>
            <w:tcMar>
              <w:top w:type="dxa" w:w="60"/>
              <w:left w:type="dxa" w:w="120"/>
              <w:bottom w:type="dxa" w:w="60"/>
              <w:right w:type="dxa" w:w="120"/>
            </w:tcMar>
          </w:tcPr>
          <w:p>
            <w:r>
              <w:rPr>
                <w:rFonts w:ascii="Arial" w:cs="Arial" w:eastAsia="Arial" w:hAnsi="Arial"/>
                <w:sz w:val="19"/>
                <w:szCs w:val="19"/>
              </w:rPr>
              <w:t xml:space="preserve">~160 GB/s</w:t>
            </w:r>
          </w:p>
        </w:tc>
      </w:tr>
      <w:tr>
        <w:tc>
          <w:tcPr>
            <w:tcW w:type="dxa" w:w="225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Storage (Base)</w:t>
            </w:r>
          </w:p>
        </w:tc>
        <w:tc>
          <w:tcPr>
            <w:tcW w:type="dxa" w:w="225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64GB eMMC</w:t>
            </w:r>
          </w:p>
        </w:tc>
        <w:tc>
          <w:tcPr>
            <w:tcW w:type="dxa" w:w="225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512GB NVMe</w:t>
            </w:r>
          </w:p>
        </w:tc>
        <w:tc>
          <w:tcPr>
            <w:tcW w:type="dxa" w:w="225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1TB PCIe Gen 4</w:t>
            </w:r>
          </w:p>
        </w:tc>
      </w:tr>
      <w:tr>
        <w:tc>
          <w:tcPr>
            <w:tcW w:type="dxa" w:w="2250"/>
            <w:tcBorders>
              <w:top w:val="single" w:color="CCCCCC" w:sz="1"/>
              <w:left w:val="single" w:color="CCCCCC" w:sz="1"/>
              <w:bottom w:val="single" w:color="CCCCCC" w:sz="1"/>
              <w:right w:val="single" w:color="CCCCCC" w:sz="1"/>
            </w:tcBorders>
            <w:shd w:fill="F2F8FD" w:val="clear"/>
            <w:tcMar>
              <w:top w:type="dxa" w:w="60"/>
              <w:left w:type="dxa" w:w="120"/>
              <w:bottom w:type="dxa" w:w="60"/>
              <w:right w:type="dxa" w:w="120"/>
            </w:tcMar>
          </w:tcPr>
          <w:p>
            <w:r>
              <w:rPr>
                <w:rFonts w:ascii="Arial" w:cs="Arial" w:eastAsia="Arial" w:hAnsi="Arial"/>
                <w:sz w:val="19"/>
                <w:szCs w:val="19"/>
              </w:rPr>
              <w:t xml:space="preserve">Display Size</w:t>
            </w:r>
          </w:p>
        </w:tc>
        <w:tc>
          <w:tcPr>
            <w:tcW w:type="dxa" w:w="2250"/>
            <w:tcBorders>
              <w:top w:val="single" w:color="CCCCCC" w:sz="1"/>
              <w:left w:val="single" w:color="CCCCCC" w:sz="1"/>
              <w:bottom w:val="single" w:color="CCCCCC" w:sz="1"/>
              <w:right w:val="single" w:color="CCCCCC" w:sz="1"/>
            </w:tcBorders>
            <w:shd w:fill="F2F8FD" w:val="clear"/>
            <w:tcMar>
              <w:top w:type="dxa" w:w="60"/>
              <w:left w:type="dxa" w:w="120"/>
              <w:bottom w:type="dxa" w:w="60"/>
              <w:right w:type="dxa" w:w="120"/>
            </w:tcMar>
          </w:tcPr>
          <w:p>
            <w:r>
              <w:rPr>
                <w:rFonts w:ascii="Arial" w:cs="Arial" w:eastAsia="Arial" w:hAnsi="Arial"/>
                <w:sz w:val="19"/>
                <w:szCs w:val="19"/>
              </w:rPr>
              <w:t xml:space="preserve">7 inches</w:t>
            </w:r>
          </w:p>
        </w:tc>
        <w:tc>
          <w:tcPr>
            <w:tcW w:type="dxa" w:w="2250"/>
            <w:tcBorders>
              <w:top w:val="single" w:color="CCCCCC" w:sz="1"/>
              <w:left w:val="single" w:color="CCCCCC" w:sz="1"/>
              <w:bottom w:val="single" w:color="CCCCCC" w:sz="1"/>
              <w:right w:val="single" w:color="CCCCCC" w:sz="1"/>
            </w:tcBorders>
            <w:shd w:fill="F2F8FD" w:val="clear"/>
            <w:tcMar>
              <w:top w:type="dxa" w:w="60"/>
              <w:left w:type="dxa" w:w="120"/>
              <w:bottom w:type="dxa" w:w="60"/>
              <w:right w:type="dxa" w:w="120"/>
            </w:tcMar>
          </w:tcPr>
          <w:p>
            <w:r>
              <w:rPr>
                <w:rFonts w:ascii="Arial" w:cs="Arial" w:eastAsia="Arial" w:hAnsi="Arial"/>
                <w:sz w:val="19"/>
                <w:szCs w:val="19"/>
              </w:rPr>
              <w:t xml:space="preserve">7.4 inches</w:t>
            </w:r>
          </w:p>
        </w:tc>
        <w:tc>
          <w:tcPr>
            <w:tcW w:type="dxa" w:w="2250"/>
            <w:tcBorders>
              <w:top w:val="single" w:color="CCCCCC" w:sz="1"/>
              <w:left w:val="single" w:color="CCCCCC" w:sz="1"/>
              <w:bottom w:val="single" w:color="CCCCCC" w:sz="1"/>
              <w:right w:val="single" w:color="CCCCCC" w:sz="1"/>
            </w:tcBorders>
            <w:shd w:fill="F2F8FD" w:val="clear"/>
            <w:tcMar>
              <w:top w:type="dxa" w:w="60"/>
              <w:left w:type="dxa" w:w="120"/>
              <w:bottom w:type="dxa" w:w="60"/>
              <w:right w:type="dxa" w:w="120"/>
            </w:tcMar>
          </w:tcPr>
          <w:p>
            <w:r>
              <w:rPr>
                <w:rFonts w:ascii="Arial" w:cs="Arial" w:eastAsia="Arial" w:hAnsi="Arial"/>
                <w:sz w:val="19"/>
                <w:szCs w:val="19"/>
              </w:rPr>
              <w:t xml:space="preserve">8 inches (leaked)</w:t>
            </w:r>
          </w:p>
        </w:tc>
      </w:tr>
      <w:tr>
        <w:tc>
          <w:tcPr>
            <w:tcW w:type="dxa" w:w="225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Display Resolution</w:t>
            </w:r>
          </w:p>
        </w:tc>
        <w:tc>
          <w:tcPr>
            <w:tcW w:type="dxa" w:w="225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800p (1280×800)</w:t>
            </w:r>
          </w:p>
        </w:tc>
        <w:tc>
          <w:tcPr>
            <w:tcW w:type="dxa" w:w="225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800p (1280×800)</w:t>
            </w:r>
          </w:p>
        </w:tc>
        <w:tc>
          <w:tcPr>
            <w:tcW w:type="dxa" w:w="225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1080p (1920×1080)</w:t>
            </w:r>
          </w:p>
        </w:tc>
      </w:tr>
      <w:tr>
        <w:tc>
          <w:tcPr>
            <w:tcW w:type="dxa" w:w="2250"/>
            <w:tcBorders>
              <w:top w:val="single" w:color="CCCCCC" w:sz="1"/>
              <w:left w:val="single" w:color="CCCCCC" w:sz="1"/>
              <w:bottom w:val="single" w:color="CCCCCC" w:sz="1"/>
              <w:right w:val="single" w:color="CCCCCC" w:sz="1"/>
            </w:tcBorders>
            <w:shd w:fill="F2F8FD" w:val="clear"/>
            <w:tcMar>
              <w:top w:type="dxa" w:w="60"/>
              <w:left w:type="dxa" w:w="120"/>
              <w:bottom w:type="dxa" w:w="60"/>
              <w:right w:type="dxa" w:w="120"/>
            </w:tcMar>
          </w:tcPr>
          <w:p>
            <w:r>
              <w:rPr>
                <w:rFonts w:ascii="Arial" w:cs="Arial" w:eastAsia="Arial" w:hAnsi="Arial"/>
                <w:sz w:val="19"/>
                <w:szCs w:val="19"/>
              </w:rPr>
              <w:t xml:space="preserve">Display Type</w:t>
            </w:r>
          </w:p>
        </w:tc>
        <w:tc>
          <w:tcPr>
            <w:tcW w:type="dxa" w:w="2250"/>
            <w:tcBorders>
              <w:top w:val="single" w:color="CCCCCC" w:sz="1"/>
              <w:left w:val="single" w:color="CCCCCC" w:sz="1"/>
              <w:bottom w:val="single" w:color="CCCCCC" w:sz="1"/>
              <w:right w:val="single" w:color="CCCCCC" w:sz="1"/>
            </w:tcBorders>
            <w:shd w:fill="F2F8FD" w:val="clear"/>
            <w:tcMar>
              <w:top w:type="dxa" w:w="60"/>
              <w:left w:type="dxa" w:w="120"/>
              <w:bottom w:type="dxa" w:w="60"/>
              <w:right w:type="dxa" w:w="120"/>
            </w:tcMar>
          </w:tcPr>
          <w:p>
            <w:r>
              <w:rPr>
                <w:rFonts w:ascii="Arial" w:cs="Arial" w:eastAsia="Arial" w:hAnsi="Arial"/>
                <w:sz w:val="19"/>
                <w:szCs w:val="19"/>
              </w:rPr>
              <w:t xml:space="preserve">IPS LCD</w:t>
            </w:r>
          </w:p>
        </w:tc>
        <w:tc>
          <w:tcPr>
            <w:tcW w:type="dxa" w:w="2250"/>
            <w:tcBorders>
              <w:top w:val="single" w:color="CCCCCC" w:sz="1"/>
              <w:left w:val="single" w:color="CCCCCC" w:sz="1"/>
              <w:bottom w:val="single" w:color="CCCCCC" w:sz="1"/>
              <w:right w:val="single" w:color="CCCCCC" w:sz="1"/>
            </w:tcBorders>
            <w:shd w:fill="F2F8FD" w:val="clear"/>
            <w:tcMar>
              <w:top w:type="dxa" w:w="60"/>
              <w:left w:type="dxa" w:w="120"/>
              <w:bottom w:type="dxa" w:w="60"/>
              <w:right w:type="dxa" w:w="120"/>
            </w:tcMar>
          </w:tcPr>
          <w:p>
            <w:r>
              <w:rPr>
                <w:rFonts w:ascii="Arial" w:cs="Arial" w:eastAsia="Arial" w:hAnsi="Arial"/>
                <w:sz w:val="19"/>
                <w:szCs w:val="19"/>
              </w:rPr>
              <w:t xml:space="preserve">OLED</w:t>
            </w:r>
          </w:p>
        </w:tc>
        <w:tc>
          <w:tcPr>
            <w:tcW w:type="dxa" w:w="2250"/>
            <w:tcBorders>
              <w:top w:val="single" w:color="CCCCCC" w:sz="1"/>
              <w:left w:val="single" w:color="CCCCCC" w:sz="1"/>
              <w:bottom w:val="single" w:color="CCCCCC" w:sz="1"/>
              <w:right w:val="single" w:color="CCCCCC" w:sz="1"/>
            </w:tcBorders>
            <w:shd w:fill="F2F8FD" w:val="clear"/>
            <w:tcMar>
              <w:top w:type="dxa" w:w="60"/>
              <w:left w:type="dxa" w:w="120"/>
              <w:bottom w:type="dxa" w:w="60"/>
              <w:right w:type="dxa" w:w="120"/>
            </w:tcMar>
          </w:tcPr>
          <w:p>
            <w:r>
              <w:rPr>
                <w:rFonts w:ascii="Arial" w:cs="Arial" w:eastAsia="Arial" w:hAnsi="Arial"/>
                <w:sz w:val="19"/>
                <w:szCs w:val="19"/>
              </w:rPr>
              <w:t xml:space="preserve">microLED (rumored)</w:t>
            </w:r>
          </w:p>
        </w:tc>
      </w:tr>
      <w:tr>
        <w:tc>
          <w:tcPr>
            <w:tcW w:type="dxa" w:w="225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Display Refresh</w:t>
            </w:r>
          </w:p>
        </w:tc>
        <w:tc>
          <w:tcPr>
            <w:tcW w:type="dxa" w:w="225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60 Hz</w:t>
            </w:r>
          </w:p>
        </w:tc>
        <w:tc>
          <w:tcPr>
            <w:tcW w:type="dxa" w:w="225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90 Hz</w:t>
            </w:r>
          </w:p>
        </w:tc>
        <w:tc>
          <w:tcPr>
            <w:tcW w:type="dxa" w:w="225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120 Hz (rumored)</w:t>
            </w:r>
          </w:p>
        </w:tc>
      </w:tr>
      <w:tr>
        <w:tc>
          <w:tcPr>
            <w:tcW w:type="dxa" w:w="2250"/>
            <w:tcBorders>
              <w:top w:val="single" w:color="CCCCCC" w:sz="1"/>
              <w:left w:val="single" w:color="CCCCCC" w:sz="1"/>
              <w:bottom w:val="single" w:color="CCCCCC" w:sz="1"/>
              <w:right w:val="single" w:color="CCCCCC" w:sz="1"/>
            </w:tcBorders>
            <w:shd w:fill="F2F8FD" w:val="clear"/>
            <w:tcMar>
              <w:top w:type="dxa" w:w="60"/>
              <w:left w:type="dxa" w:w="120"/>
              <w:bottom w:type="dxa" w:w="60"/>
              <w:right w:type="dxa" w:w="120"/>
            </w:tcMar>
          </w:tcPr>
          <w:p>
            <w:r>
              <w:rPr>
                <w:rFonts w:ascii="Arial" w:cs="Arial" w:eastAsia="Arial" w:hAnsi="Arial"/>
                <w:sz w:val="19"/>
                <w:szCs w:val="19"/>
              </w:rPr>
              <w:t xml:space="preserve">Battery Capacity</w:t>
            </w:r>
          </w:p>
        </w:tc>
        <w:tc>
          <w:tcPr>
            <w:tcW w:type="dxa" w:w="2250"/>
            <w:tcBorders>
              <w:top w:val="single" w:color="CCCCCC" w:sz="1"/>
              <w:left w:val="single" w:color="CCCCCC" w:sz="1"/>
              <w:bottom w:val="single" w:color="CCCCCC" w:sz="1"/>
              <w:right w:val="single" w:color="CCCCCC" w:sz="1"/>
            </w:tcBorders>
            <w:shd w:fill="F2F8FD" w:val="clear"/>
            <w:tcMar>
              <w:top w:type="dxa" w:w="60"/>
              <w:left w:type="dxa" w:w="120"/>
              <w:bottom w:type="dxa" w:w="60"/>
              <w:right w:type="dxa" w:w="120"/>
            </w:tcMar>
          </w:tcPr>
          <w:p>
            <w:r>
              <w:rPr>
                <w:rFonts w:ascii="Arial" w:cs="Arial" w:eastAsia="Arial" w:hAnsi="Arial"/>
                <w:sz w:val="19"/>
                <w:szCs w:val="19"/>
              </w:rPr>
              <w:t xml:space="preserve">40 Wh</w:t>
            </w:r>
          </w:p>
        </w:tc>
        <w:tc>
          <w:tcPr>
            <w:tcW w:type="dxa" w:w="2250"/>
            <w:tcBorders>
              <w:top w:val="single" w:color="CCCCCC" w:sz="1"/>
              <w:left w:val="single" w:color="CCCCCC" w:sz="1"/>
              <w:bottom w:val="single" w:color="CCCCCC" w:sz="1"/>
              <w:right w:val="single" w:color="CCCCCC" w:sz="1"/>
            </w:tcBorders>
            <w:shd w:fill="F2F8FD" w:val="clear"/>
            <w:tcMar>
              <w:top w:type="dxa" w:w="60"/>
              <w:left w:type="dxa" w:w="120"/>
              <w:bottom w:type="dxa" w:w="60"/>
              <w:right w:type="dxa" w:w="120"/>
            </w:tcMar>
          </w:tcPr>
          <w:p>
            <w:r>
              <w:rPr>
                <w:rFonts w:ascii="Arial" w:cs="Arial" w:eastAsia="Arial" w:hAnsi="Arial"/>
                <w:sz w:val="19"/>
                <w:szCs w:val="19"/>
              </w:rPr>
              <w:t xml:space="preserve">50 Wh</w:t>
            </w:r>
          </w:p>
        </w:tc>
        <w:tc>
          <w:tcPr>
            <w:tcW w:type="dxa" w:w="2250"/>
            <w:tcBorders>
              <w:top w:val="single" w:color="CCCCCC" w:sz="1"/>
              <w:left w:val="single" w:color="CCCCCC" w:sz="1"/>
              <w:bottom w:val="single" w:color="CCCCCC" w:sz="1"/>
              <w:right w:val="single" w:color="CCCCCC" w:sz="1"/>
            </w:tcBorders>
            <w:shd w:fill="F2F8FD" w:val="clear"/>
            <w:tcMar>
              <w:top w:type="dxa" w:w="60"/>
              <w:left w:type="dxa" w:w="120"/>
              <w:bottom w:type="dxa" w:w="60"/>
              <w:right w:type="dxa" w:w="120"/>
            </w:tcMar>
          </w:tcPr>
          <w:p>
            <w:r>
              <w:rPr>
                <w:rFonts w:ascii="Arial" w:cs="Arial" w:eastAsia="Arial" w:hAnsi="Arial"/>
                <w:sz w:val="19"/>
                <w:szCs w:val="19"/>
              </w:rPr>
              <w:t xml:space="preserve">60 Wh+ (est.)</w:t>
            </w:r>
          </w:p>
        </w:tc>
      </w:tr>
      <w:tr>
        <w:tc>
          <w:tcPr>
            <w:tcW w:type="dxa" w:w="225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WiFi</w:t>
            </w:r>
          </w:p>
        </w:tc>
        <w:tc>
          <w:tcPr>
            <w:tcW w:type="dxa" w:w="225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WiFi 5</w:t>
            </w:r>
          </w:p>
        </w:tc>
        <w:tc>
          <w:tcPr>
            <w:tcW w:type="dxa" w:w="225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WiFi 6E</w:t>
            </w:r>
          </w:p>
        </w:tc>
        <w:tc>
          <w:tcPr>
            <w:tcW w:type="dxa" w:w="225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WiFi 7 (est.)</w:t>
            </w:r>
          </w:p>
        </w:tc>
      </w:tr>
      <w:tr>
        <w:tc>
          <w:tcPr>
            <w:tcW w:type="dxa" w:w="2250"/>
            <w:tcBorders>
              <w:top w:val="single" w:color="CCCCCC" w:sz="1"/>
              <w:left w:val="single" w:color="CCCCCC" w:sz="1"/>
              <w:bottom w:val="single" w:color="CCCCCC" w:sz="1"/>
              <w:right w:val="single" w:color="CCCCCC" w:sz="1"/>
            </w:tcBorders>
            <w:shd w:fill="F2F8FD" w:val="clear"/>
            <w:tcMar>
              <w:top w:type="dxa" w:w="60"/>
              <w:left w:type="dxa" w:w="120"/>
              <w:bottom w:type="dxa" w:w="60"/>
              <w:right w:type="dxa" w:w="120"/>
            </w:tcMar>
          </w:tcPr>
          <w:p>
            <w:r>
              <w:rPr>
                <w:rFonts w:ascii="Arial" w:cs="Arial" w:eastAsia="Arial" w:hAnsi="Arial"/>
                <w:sz w:val="19"/>
                <w:szCs w:val="19"/>
              </w:rPr>
              <w:t xml:space="preserve">Release Year</w:t>
            </w:r>
          </w:p>
        </w:tc>
        <w:tc>
          <w:tcPr>
            <w:tcW w:type="dxa" w:w="2250"/>
            <w:tcBorders>
              <w:top w:val="single" w:color="CCCCCC" w:sz="1"/>
              <w:left w:val="single" w:color="CCCCCC" w:sz="1"/>
              <w:bottom w:val="single" w:color="CCCCCC" w:sz="1"/>
              <w:right w:val="single" w:color="CCCCCC" w:sz="1"/>
            </w:tcBorders>
            <w:shd w:fill="F2F8FD" w:val="clear"/>
            <w:tcMar>
              <w:top w:type="dxa" w:w="60"/>
              <w:left w:type="dxa" w:w="120"/>
              <w:bottom w:type="dxa" w:w="60"/>
              <w:right w:type="dxa" w:w="120"/>
            </w:tcMar>
          </w:tcPr>
          <w:p>
            <w:r>
              <w:rPr>
                <w:rFonts w:ascii="Arial" w:cs="Arial" w:eastAsia="Arial" w:hAnsi="Arial"/>
                <w:sz w:val="19"/>
                <w:szCs w:val="19"/>
              </w:rPr>
              <w:t xml:space="preserve">2022</w:t>
            </w:r>
          </w:p>
        </w:tc>
        <w:tc>
          <w:tcPr>
            <w:tcW w:type="dxa" w:w="2250"/>
            <w:tcBorders>
              <w:top w:val="single" w:color="CCCCCC" w:sz="1"/>
              <w:left w:val="single" w:color="CCCCCC" w:sz="1"/>
              <w:bottom w:val="single" w:color="CCCCCC" w:sz="1"/>
              <w:right w:val="single" w:color="CCCCCC" w:sz="1"/>
            </w:tcBorders>
            <w:shd w:fill="F2F8FD" w:val="clear"/>
            <w:tcMar>
              <w:top w:type="dxa" w:w="60"/>
              <w:left w:type="dxa" w:w="120"/>
              <w:bottom w:type="dxa" w:w="60"/>
              <w:right w:type="dxa" w:w="120"/>
            </w:tcMar>
          </w:tcPr>
          <w:p>
            <w:r>
              <w:rPr>
                <w:rFonts w:ascii="Arial" w:cs="Arial" w:eastAsia="Arial" w:hAnsi="Arial"/>
                <w:sz w:val="19"/>
                <w:szCs w:val="19"/>
              </w:rPr>
              <w:t xml:space="preserve">2023</w:t>
            </w:r>
          </w:p>
        </w:tc>
        <w:tc>
          <w:tcPr>
            <w:tcW w:type="dxa" w:w="2250"/>
            <w:tcBorders>
              <w:top w:val="single" w:color="CCCCCC" w:sz="1"/>
              <w:left w:val="single" w:color="CCCCCC" w:sz="1"/>
              <w:bottom w:val="single" w:color="CCCCCC" w:sz="1"/>
              <w:right w:val="single" w:color="CCCCCC" w:sz="1"/>
            </w:tcBorders>
            <w:shd w:fill="F2F8FD" w:val="clear"/>
            <w:tcMar>
              <w:top w:type="dxa" w:w="60"/>
              <w:left w:type="dxa" w:w="120"/>
              <w:bottom w:type="dxa" w:w="60"/>
              <w:right w:type="dxa" w:w="120"/>
            </w:tcMar>
          </w:tcPr>
          <w:p>
            <w:r>
              <w:rPr>
                <w:rFonts w:ascii="Arial" w:cs="Arial" w:eastAsia="Arial" w:hAnsi="Arial"/>
                <w:sz w:val="19"/>
                <w:szCs w:val="19"/>
              </w:rPr>
              <w:t xml:space="preserve">2028–2029 (leaked)</w:t>
            </w:r>
          </w:p>
        </w:tc>
      </w:tr>
    </w:tbl>
    <w:p>
      <w:pPr>
        <w:spacing w:after="160"/>
      </w:pPr>
      <w:r>
        <w:t xml:space="preserve"/>
      </w:r>
    </w:p>
    <w:p>
      <w:pPr>
        <w:pStyle w:val="Heading2"/>
        <w:spacing w:after="160" w:before="320"/>
      </w:pPr>
      <w:r>
        <w:rPr>
          <w:rFonts w:ascii="Arial" w:cs="Arial" w:eastAsia="Arial" w:hAnsi="Arial"/>
          <w:b/>
          <w:bCs/>
          <w:color w:val="2C5F8A"/>
          <w:sz w:val="28"/>
          <w:szCs w:val="28"/>
        </w:rPr>
        <w:t xml:space="preserve">The microLED Display: Exciting but Uncertain</w:t>
      </w:r>
    </w:p>
    <w:p>
      <w:pPr>
        <w:spacing w:after="160"/>
      </w:pPr>
      <w:r>
        <w:rPr>
          <w:rFonts w:ascii="Arial" w:cs="Arial" w:eastAsia="Arial" w:hAnsi="Arial"/>
          <w:sz w:val="22"/>
          <w:szCs w:val="22"/>
        </w:rPr>
        <w:t xml:space="preserve">The potential 8-inch 1080p microLED display is the hardware element generating the most excitement — and warranting the most skepticism. MicroLED technology has matured significantly since 2024, with Samsung demonstrating mass-transfer yield improvements that bring costs within range of premium consumer electronics.</w:t>
      </w:r>
    </w:p>
    <w:p>
      <w:pPr>
        <w:spacing w:after="160"/>
      </w:pPr>
      <w:r>
        <w:rPr>
          <w:rFonts w:ascii="Arial" w:cs="Arial" w:eastAsia="Arial" w:hAnsi="Arial"/>
          <w:sz w:val="22"/>
          <w:szCs w:val="22"/>
        </w:rPr>
        <w:t xml:space="preserve">However, microLED at 8 inches and 1080p would be one of the smallest, densest microLED panels in consumer production. The yield challenges at that pixel pitch are non-trivial. The more conservative prediction — which several supply chain analysts hold — is a high-quality OLED upgrade rather than microLED. Plan for OLED as the realistic outcome, with microLED as the upside scenario.</w:t>
      </w:r>
    </w:p>
    <w:p>
      <w:pPr>
        <w:pStyle w:val="Heading2"/>
        <w:spacing w:after="160" w:before="320"/>
      </w:pPr>
      <w:r>
        <w:rPr>
          <w:rFonts w:ascii="Arial" w:cs="Arial" w:eastAsia="Arial" w:hAnsi="Arial"/>
          <w:b/>
          <w:bCs/>
          <w:color w:val="2C5F8A"/>
          <w:sz w:val="28"/>
          <w:szCs w:val="28"/>
        </w:rPr>
        <w:t xml:space="preserve">Deck 2 vs. OLED: Should You Wait?</w:t>
      </w:r>
    </w:p>
    <w:p>
      <w:pPr>
        <w:spacing w:after="160"/>
      </w:pPr>
      <w:r>
        <w:rPr>
          <w:rFonts w:ascii="Arial" w:cs="Arial" w:eastAsia="Arial" w:hAnsi="Arial"/>
          <w:sz w:val="22"/>
          <w:szCs w:val="22"/>
        </w:rPr>
        <w:t xml:space="preserve">My answer is consistent: the OLED is the correct purchase for anyone who wants a Steam Deck today. The performance gap between OLED and Deck 2 is real — 3.5 TFLOPS vs. 1.6 TFLOPS is a genuine generational leap. But the OLED is not a compromised device. It runs the current library at playable settings across the vast majority of titles, battery life is excellent, and SteamOS continues to mature.</w:t>
      </w:r>
    </w:p>
    <w:p>
      <w:pPr>
        <w:spacing w:after="160"/>
      </w:pPr>
      <w:r>
        <w:rPr>
          <w:rFonts w:ascii="Arial" w:cs="Arial" w:eastAsia="Arial" w:hAnsi="Arial"/>
          <w:sz w:val="22"/>
          <w:szCs w:val="22"/>
        </w:rPr>
        <w:t xml:space="preserve">Waiting 2+ years for a device with uncertain pricing — a 32GB RAM, PCIe Gen 4, microLED handheld will not be $399 — based on leaked specifications only makes sense if your current setup is the original LCD Deck. If you're already on OLED, there is no rational case for waiting.</w:t>
      </w:r>
    </w:p>
    <w:p>
      <w:pPr>
        <w:pStyle w:val="Heading2"/>
        <w:spacing w:after="160" w:before="320"/>
      </w:pPr>
      <w:r>
        <w:rPr>
          <w:rFonts w:ascii="Arial" w:cs="Arial" w:eastAsia="Arial" w:hAnsi="Arial"/>
          <w:b/>
          <w:bCs/>
          <w:color w:val="2C5F8A"/>
          <w:sz w:val="28"/>
          <w:szCs w:val="28"/>
        </w:rPr>
        <w:t xml:space="preserve">Developer Perspective: What Deck 2 Means for Game Development</w:t>
      </w:r>
    </w:p>
    <w:p>
      <w:pPr>
        <w:spacing w:after="160"/>
      </w:pPr>
      <w:r>
        <w:rPr>
          <w:rFonts w:ascii="Arial" w:cs="Arial" w:eastAsia="Arial" w:hAnsi="Arial"/>
          <w:sz w:val="22"/>
          <w:szCs w:val="22"/>
        </w:rPr>
        <w:t xml:space="preserve">UE5's Lumen currently requires significant quality compromises on the OLED model. At 3.5 TFLOPS with RDNA 3.5's improved ray accelerators and doubled memory bandwidth, Lumen at medium quality settings becomes viable. Valve's SteamOS 4 roadmap includes Vulkan 1.4 optimizations specifically targeting unified memory APU architectures — exactly what the Deck 2 would use.</w:t>
      </w:r>
    </w:p>
    <w:p>
      <w:pPr>
        <w:spacing w:after="160"/>
      </w:pPr>
      <w:r>
        <w:rPr>
          <w:rFonts w:ascii="Arial" w:cs="Arial" w:eastAsia="Arial" w:hAnsi="Arial"/>
          <w:sz w:val="22"/>
          <w:szCs w:val="22"/>
        </w:rPr>
        <w:t xml:space="preserve">32GB unified memory also removes a significant porting constraint. Several UE5 titles targeting 16GB minimum specifications for PC releases will be directly portable to Deck 2 without memory-specific optimization passes.</w:t>
      </w:r>
    </w:p>
    <w:p>
      <w:pPr>
        <w:pStyle w:val="Heading2"/>
        <w:spacing w:after="160" w:before="320"/>
      </w:pPr>
      <w:r>
        <w:rPr>
          <w:rFonts w:ascii="Arial" w:cs="Arial" w:eastAsia="Arial" w:hAnsi="Arial"/>
          <w:b/>
          <w:bCs/>
          <w:color w:val="2C5F8A"/>
          <w:sz w:val="28"/>
          <w:szCs w:val="28"/>
        </w:rPr>
        <w:t xml:space="preserve">Expert Recommendation</w:t>
      </w:r>
    </w:p>
    <w:p>
      <w:pPr>
        <w:spacing w:after="160"/>
      </w:pPr>
      <w:r>
        <w:rPr>
          <w:rFonts w:ascii="Arial" w:cs="Arial" w:eastAsia="Arial" w:hAnsi="Arial"/>
          <w:sz w:val="22"/>
          <w:szCs w:val="22"/>
        </w:rPr>
        <w:t xml:space="preserve">The Steam Deck 2 is a compelling future device built on a credible hardware roadmap. The leaked specifications — 3.5 TFLOPS, 32GB LPDDR6X, potential microLED display — represent a genuine generational upgrade. But compelling future device and buy it now are different sentences.</w:t>
      </w:r>
    </w:p>
    <w:p>
      <w:pPr>
        <w:spacing w:after="160"/>
      </w:pPr>
      <w:r>
        <w:rPr>
          <w:rFonts w:ascii="Arial" w:cs="Arial" w:eastAsia="Arial" w:hAnsi="Arial"/>
          <w:sz w:val="22"/>
          <w:szCs w:val="22"/>
        </w:rPr>
        <w:t xml:space="preserve">If you don't own a Deck: buy the OLED today. If you own the original LCD Deck: the OLED upgrade is worth it on its own merits. If you own the OLED and are specifically interested in the Deck 2: wait for official Valve confirmation before adjusting your expectations. Track official hardware announcements at store.steampowered.com/news/ and watch the AMD APU roadmap for Zen 5 APU variants. When those two signals converge, the Deck 2 announcement is likely close.</w:t>
      </w:r>
    </w:p>
    <w:p>
      <w:r>
        <w:br w:type="page"/>
      </w:r>
    </w:p>
    <w:p>
      <w:pPr>
        <w:pStyle w:val="Heading1"/>
        <w:spacing w:after="200" w:before="400"/>
      </w:pPr>
      <w:r>
        <w:rPr>
          <w:rFonts w:ascii="Arial" w:cs="Arial" w:eastAsia="Arial" w:hAnsi="Arial"/>
          <w:b/>
          <w:bCs/>
          <w:sz w:val="36"/>
          <w:szCs w:val="36"/>
        </w:rPr>
        <w:t xml:space="preserve">Router Security for Gamers 2026: Defending Against TP-Link, Asus Exploits, and Zero-Trust Networking</w:t>
      </w:r>
    </w:p>
    <w:p>
      <w:pPr>
        <w:spacing w:after="200"/>
      </w:pPr>
      <w:r>
        <w:rPr>
          <w:rFonts w:ascii="Arial" w:cs="Arial" w:eastAsia="Arial" w:hAnsi="Arial"/>
          <w:i/>
          <w:iCs/>
          <w:color w:val="666666"/>
          <w:sz w:val="20"/>
          <w:szCs w:val="20"/>
        </w:rPr>
        <w:t xml:space="preserve">Published on TheGridNexus.com | By The GridNexus Security Team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4A90D9" w:sz="1"/>
              <w:left w:val="single" w:color="4A90D9" w:sz="1"/>
              <w:bottom w:val="single" w:color="4A90D9" w:sz="1"/>
              <w:right w:val="single" w:color="4A90D9" w:sz="1"/>
            </w:tcBorders>
            <w:shd w:fill="2980B9" w:val="clear"/>
            <w:tcMar>
              <w:top w:type="dxa" w:w="80"/>
              <w:left w:type="dxa" w:w="160"/>
              <w:bottom w:type="dxa" w:w="80"/>
              <w:right w:type="dxa" w:w="160"/>
            </w:tcMar>
          </w:tcPr>
          <w:p>
            <w:r>
              <w:rPr>
                <w:rFonts w:ascii="Arial" w:cs="Arial" w:eastAsia="Arial" w:hAnsi="Arial"/>
                <w:b/>
                <w:bCs/>
                <w:color w:val="FFFFFF"/>
                <w:sz w:val="22"/>
                <w:szCs w:val="22"/>
              </w:rPr>
              <w:t xml:space="preserve">KEY TAKEAWAYS (TL;DR)</w:t>
            </w:r>
          </w:p>
        </w:tc>
      </w:tr>
      <w:tr>
        <w:tc>
          <w:tcPr>
            <w:tcW w:type="dxa" w:w="9000"/>
            <w:tcBorders>
              <w:top w:val="none"/>
              <w:left w:val="none"/>
              <w:bottom w:val="none"/>
              <w:right w:val="none"/>
            </w:tcBorders>
            <w:shd w:fill="EBF5FB" w:val="clear"/>
            <w:tcMar>
              <w:top w:type="dxa" w:w="60"/>
              <w:left w:type="dxa" w:w="160"/>
              <w:bottom w:type="dxa" w:w="60"/>
              <w:right w:type="dxa" w:w="160"/>
            </w:tcMar>
          </w:tcPr>
          <w:p>
            <w:r>
              <w:rPr>
                <w:rFonts w:ascii="Arial" w:cs="Arial" w:eastAsia="Arial" w:hAnsi="Arial"/>
                <w:sz w:val="20"/>
                <w:szCs w:val="20"/>
              </w:rPr>
              <w:t xml:space="preserve">• CVE-2025-7850 (TP-Link VPN command injection) remains unpatched on a significant percentage of deployed units — check firmware immediately.</w:t>
            </w:r>
          </w:p>
        </w:tc>
      </w:tr>
      <w:tr>
        <w:tc>
          <w:tcPr>
            <w:tcW w:type="dxa" w:w="9000"/>
            <w:tcBorders>
              <w:top w:val="none"/>
              <w:left w:val="none"/>
              <w:bottom w:val="none"/>
              <w:right w:val="none"/>
            </w:tcBorders>
            <w:shd w:fill="EBF5FB" w:val="clear"/>
            <w:tcMar>
              <w:top w:type="dxa" w:w="60"/>
              <w:left w:type="dxa" w:w="160"/>
              <w:bottom w:type="dxa" w:w="60"/>
              <w:right w:type="dxa" w:w="160"/>
            </w:tcMar>
          </w:tcPr>
          <w:p>
            <w:r>
              <w:rPr>
                <w:rFonts w:ascii="Arial" w:cs="Arial" w:eastAsia="Arial" w:hAnsi="Arial"/>
                <w:sz w:val="20"/>
                <w:szCs w:val="20"/>
              </w:rPr>
              <w:t xml:space="preserve">• The KadNap Asus router exploit chain uses default credentials to establish persistent backdoors on gaming-adjacent devices.</w:t>
            </w:r>
          </w:p>
        </w:tc>
      </w:tr>
      <w:tr>
        <w:tc>
          <w:tcPr>
            <w:tcW w:type="dxa" w:w="9000"/>
            <w:tcBorders>
              <w:top w:val="none"/>
              <w:left w:val="none"/>
              <w:bottom w:val="none"/>
              <w:right w:val="none"/>
            </w:tcBorders>
            <w:shd w:fill="EBF5FB" w:val="clear"/>
            <w:tcMar>
              <w:top w:type="dxa" w:w="60"/>
              <w:left w:type="dxa" w:w="160"/>
              <w:bottom w:type="dxa" w:w="60"/>
              <w:right w:type="dxa" w:w="160"/>
            </w:tcMar>
          </w:tcPr>
          <w:p>
            <w:r>
              <w:rPr>
                <w:rFonts w:ascii="Arial" w:cs="Arial" w:eastAsia="Arial" w:hAnsi="Arial"/>
                <w:sz w:val="20"/>
                <w:szCs w:val="20"/>
              </w:rPr>
              <w:t xml:space="preserve">• Disabling WPS and UPnP are the two highest-impact, lowest-effort router hardening steps — both should be off, always.</w:t>
            </w:r>
          </w:p>
        </w:tc>
      </w:tr>
      <w:tr>
        <w:tc>
          <w:tcPr>
            <w:tcW w:type="dxa" w:w="9000"/>
            <w:tcBorders>
              <w:top w:val="none"/>
              <w:left w:val="none"/>
              <w:bottom w:val="none"/>
              <w:right w:val="none"/>
            </w:tcBorders>
            <w:shd w:fill="EBF5FB" w:val="clear"/>
            <w:tcMar>
              <w:top w:type="dxa" w:w="60"/>
              <w:left w:type="dxa" w:w="160"/>
              <w:bottom w:type="dxa" w:w="60"/>
              <w:right w:type="dxa" w:w="160"/>
            </w:tcMar>
          </w:tcPr>
          <w:p>
            <w:r>
              <w:rPr>
                <w:rFonts w:ascii="Arial" w:cs="Arial" w:eastAsia="Arial" w:hAnsi="Arial"/>
                <w:sz w:val="20"/>
                <w:szCs w:val="20"/>
              </w:rPr>
              <w:t xml:space="preserve">• VLAN segmentation separating gaming devices from IoT is the structural change that contains breach impact.</w:t>
            </w:r>
          </w:p>
        </w:tc>
      </w:tr>
      <w:tr>
        <w:tc>
          <w:tcPr>
            <w:tcW w:type="dxa" w:w="9000"/>
            <w:tcBorders>
              <w:top w:val="none"/>
              <w:left w:val="none"/>
              <w:bottom w:val="none"/>
              <w:right w:val="none"/>
            </w:tcBorders>
            <w:shd w:fill="EBF5FB" w:val="clear"/>
            <w:tcMar>
              <w:top w:type="dxa" w:w="60"/>
              <w:left w:type="dxa" w:w="160"/>
              <w:bottom w:type="dxa" w:w="60"/>
              <w:right w:type="dxa" w:w="160"/>
            </w:tcMar>
          </w:tcPr>
          <w:p>
            <w:r>
              <w:rPr>
                <w:rFonts w:ascii="Arial" w:cs="Arial" w:eastAsia="Arial" w:hAnsi="Arial"/>
                <w:sz w:val="20"/>
                <w:szCs w:val="20"/>
              </w:rPr>
              <w:t xml:space="preserve">• Tailscale zero-trust mesh VPN eliminates the router VPN server attack surface exploited by CVE-2025-7850-class vulnerabilities.</w:t>
            </w:r>
          </w:p>
        </w:tc>
      </w:tr>
    </w:tbl>
    <w:p>
      <w:pPr>
        <w:spacing w:after="160"/>
      </w:pPr>
      <w:r>
        <w:t xml:space="preserve"/>
      </w:r>
    </w:p>
    <w:p>
      <w:pPr>
        <w:spacing w:after="160"/>
      </w:pPr>
      <w:r>
        <w:rPr>
          <w:rFonts w:ascii="Arial" w:cs="Arial" w:eastAsia="Arial" w:hAnsi="Arial"/>
          <w:sz w:val="22"/>
          <w:szCs w:val="22"/>
        </w:rPr>
        <w:t xml:space="preserve">We found the compromised router during a routine penetration test for a small esports organization. The Asus GT-AX11000 had been running a persistent backdoor for an estimated four months — confirmed by log correlation with a known KadNap campaign. The device was current on firmware as of the attack date. The entry point wasn't a zero-day: it was the router's remote administration interface, exposed on WAN port 8443, protected by the original setup password that had never been changed. Four months. A gaming organization with real prize pools and player account data, compromised through a completely avoidable configuration failure.</w:t>
      </w:r>
    </w:p>
    <w:p>
      <w:pPr>
        <w:pStyle w:val="Heading2"/>
        <w:spacing w:after="160" w:before="320"/>
      </w:pPr>
      <w:r>
        <w:rPr>
          <w:rFonts w:ascii="Arial" w:cs="Arial" w:eastAsia="Arial" w:hAnsi="Arial"/>
          <w:b/>
          <w:bCs/>
          <w:color w:val="2C5F8A"/>
          <w:sz w:val="28"/>
          <w:szCs w:val="28"/>
        </w:rPr>
        <w:t xml:space="preserve">The 2026 Threat Landscape: Active Exploits Targeting Gaming Routers</w:t>
      </w:r>
    </w:p>
    <w:p>
      <w:pPr>
        <w:pStyle w:val="Heading3"/>
        <w:spacing w:after="120" w:before="240"/>
      </w:pPr>
      <w:r>
        <w:rPr>
          <w:rFonts w:ascii="Arial" w:cs="Arial" w:eastAsia="Arial" w:hAnsi="Arial"/>
          <w:b/>
          <w:bCs/>
          <w:color w:val="1A5276"/>
          <w:sz w:val="24"/>
          <w:szCs w:val="24"/>
        </w:rPr>
        <w:t xml:space="preserve">CVE-2025-7850: TP-Link VPN Command Injection</w:t>
      </w:r>
    </w:p>
    <w:p>
      <w:pPr>
        <w:spacing w:after="160"/>
      </w:pPr>
      <w:r>
        <w:rPr>
          <w:rFonts w:ascii="Arial" w:cs="Arial" w:eastAsia="Arial" w:hAnsi="Arial"/>
          <w:sz w:val="22"/>
          <w:szCs w:val="22"/>
        </w:rPr>
        <w:t xml:space="preserve">CVE-2025-7850 is a command injection vulnerability in the VPN server component of multiple TP-Link router models, including the Archer AX90, Deco XE75, and several Gamer branded models marketed with low-latency features. The vulnerability allows an unauthenticated attacker on the local network to inject arbitrary OS commands through a malformed VPN configuration parameter.</w:t>
      </w:r>
    </w:p>
    <w:p>
      <w:pPr>
        <w:spacing w:after="1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tcBorders>
              <w:top w:val="single" w:color="4A90D9" w:sz="1"/>
              <w:left w:val="single" w:color="4A90D9" w:sz="1"/>
              <w:bottom w:val="single" w:color="4A90D9" w:sz="1"/>
              <w:right w:val="single" w:color="4A90D9"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3000"/>
            <w:tcBorders>
              <w:top w:val="single" w:color="4A90D9" w:sz="1"/>
              <w:left w:val="single" w:color="4A90D9" w:sz="1"/>
              <w:bottom w:val="single" w:color="4A90D9" w:sz="1"/>
              <w:right w:val="single" w:color="4A90D9"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Firmware with Fix</w:t>
            </w:r>
          </w:p>
        </w:tc>
        <w:tc>
          <w:tcPr>
            <w:tcW w:type="dxa" w:w="3000"/>
            <w:tcBorders>
              <w:top w:val="single" w:color="4A90D9" w:sz="1"/>
              <w:left w:val="single" w:color="4A90D9" w:sz="1"/>
              <w:bottom w:val="single" w:color="4A90D9" w:sz="1"/>
              <w:right w:val="single" w:color="4A90D9"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3000"/>
            <w:tcBorders>
              <w:top w:val="single" w:color="CCCCCC" w:sz="1"/>
              <w:left w:val="single" w:color="CCCCCC" w:sz="1"/>
              <w:bottom w:val="single" w:color="CCCCCC" w:sz="1"/>
              <w:right w:val="single" w:color="CCCCCC" w:sz="1"/>
            </w:tcBorders>
            <w:shd w:fill="F2F8FD" w:val="clear"/>
            <w:tcMar>
              <w:top w:type="dxa" w:w="60"/>
              <w:left w:type="dxa" w:w="120"/>
              <w:bottom w:type="dxa" w:w="60"/>
              <w:right w:type="dxa" w:w="120"/>
            </w:tcMar>
          </w:tcPr>
          <w:p>
            <w:r>
              <w:rPr>
                <w:rFonts w:ascii="Arial" w:cs="Arial" w:eastAsia="Arial" w:hAnsi="Arial"/>
                <w:sz w:val="19"/>
                <w:szCs w:val="19"/>
              </w:rPr>
              <w:t xml:space="preserve">Archer AX90</w:t>
            </w:r>
          </w:p>
        </w:tc>
        <w:tc>
          <w:tcPr>
            <w:tcW w:type="dxa" w:w="3000"/>
            <w:tcBorders>
              <w:top w:val="single" w:color="CCCCCC" w:sz="1"/>
              <w:left w:val="single" w:color="CCCCCC" w:sz="1"/>
              <w:bottom w:val="single" w:color="CCCCCC" w:sz="1"/>
              <w:right w:val="single" w:color="CCCCCC" w:sz="1"/>
            </w:tcBorders>
            <w:shd w:fill="F2F8FD" w:val="clear"/>
            <w:tcMar>
              <w:top w:type="dxa" w:w="60"/>
              <w:left w:type="dxa" w:w="120"/>
              <w:bottom w:type="dxa" w:w="60"/>
              <w:right w:type="dxa" w:w="120"/>
            </w:tcMar>
          </w:tcPr>
          <w:p>
            <w:r>
              <w:rPr>
                <w:rFonts w:ascii="Arial" w:cs="Arial" w:eastAsia="Arial" w:hAnsi="Arial"/>
                <w:sz w:val="19"/>
                <w:szCs w:val="19"/>
              </w:rPr>
              <w:t xml:space="preserve">v1.4.2 Build 20260115</w:t>
            </w:r>
          </w:p>
        </w:tc>
        <w:tc>
          <w:tcPr>
            <w:tcW w:type="dxa" w:w="3000"/>
            <w:tcBorders>
              <w:top w:val="single" w:color="CCCCCC" w:sz="1"/>
              <w:left w:val="single" w:color="CCCCCC" w:sz="1"/>
              <w:bottom w:val="single" w:color="CCCCCC" w:sz="1"/>
              <w:right w:val="single" w:color="CCCCCC" w:sz="1"/>
            </w:tcBorders>
            <w:shd w:fill="F2F8FD" w:val="clear"/>
            <w:tcMar>
              <w:top w:type="dxa" w:w="60"/>
              <w:left w:type="dxa" w:w="120"/>
              <w:bottom w:type="dxa" w:w="60"/>
              <w:right w:type="dxa" w:w="120"/>
            </w:tcMar>
          </w:tcPr>
          <w:p>
            <w:r>
              <w:rPr>
                <w:rFonts w:ascii="Arial" w:cs="Arial" w:eastAsia="Arial" w:hAnsi="Arial"/>
                <w:sz w:val="19"/>
                <w:szCs w:val="19"/>
              </w:rPr>
              <w:t xml:space="preserve">Patch available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Archer AXE95</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v1.3.0 Build 20260201</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Patch available</w:t>
            </w:r>
          </w:p>
        </w:tc>
      </w:tr>
      <w:tr>
        <w:tc>
          <w:tcPr>
            <w:tcW w:type="dxa" w:w="3000"/>
            <w:tcBorders>
              <w:top w:val="single" w:color="CCCCCC" w:sz="1"/>
              <w:left w:val="single" w:color="CCCCCC" w:sz="1"/>
              <w:bottom w:val="single" w:color="CCCCCC" w:sz="1"/>
              <w:right w:val="single" w:color="CCCCCC" w:sz="1"/>
            </w:tcBorders>
            <w:shd w:fill="F2F8FD" w:val="clear"/>
            <w:tcMar>
              <w:top w:type="dxa" w:w="60"/>
              <w:left w:type="dxa" w:w="120"/>
              <w:bottom w:type="dxa" w:w="60"/>
              <w:right w:type="dxa" w:w="120"/>
            </w:tcMar>
          </w:tcPr>
          <w:p>
            <w:r>
              <w:rPr>
                <w:rFonts w:ascii="Arial" w:cs="Arial" w:eastAsia="Arial" w:hAnsi="Arial"/>
                <w:sz w:val="19"/>
                <w:szCs w:val="19"/>
              </w:rPr>
              <w:t xml:space="preserve">Deco XE75</w:t>
            </w:r>
          </w:p>
        </w:tc>
        <w:tc>
          <w:tcPr>
            <w:tcW w:type="dxa" w:w="3000"/>
            <w:tcBorders>
              <w:top w:val="single" w:color="CCCCCC" w:sz="1"/>
              <w:left w:val="single" w:color="CCCCCC" w:sz="1"/>
              <w:bottom w:val="single" w:color="CCCCCC" w:sz="1"/>
              <w:right w:val="single" w:color="CCCCCC" w:sz="1"/>
            </w:tcBorders>
            <w:shd w:fill="F2F8FD" w:val="clear"/>
            <w:tcMar>
              <w:top w:type="dxa" w:w="60"/>
              <w:left w:type="dxa" w:w="120"/>
              <w:bottom w:type="dxa" w:w="60"/>
              <w:right w:type="dxa" w:w="120"/>
            </w:tcMar>
          </w:tcPr>
          <w:p>
            <w:r>
              <w:rPr>
                <w:rFonts w:ascii="Arial" w:cs="Arial" w:eastAsia="Arial" w:hAnsi="Arial"/>
                <w:sz w:val="19"/>
                <w:szCs w:val="19"/>
              </w:rPr>
              <w:t xml:space="preserve">v2.1.1 Build 20260220</w:t>
            </w:r>
          </w:p>
        </w:tc>
        <w:tc>
          <w:tcPr>
            <w:tcW w:type="dxa" w:w="3000"/>
            <w:tcBorders>
              <w:top w:val="single" w:color="CCCCCC" w:sz="1"/>
              <w:left w:val="single" w:color="CCCCCC" w:sz="1"/>
              <w:bottom w:val="single" w:color="CCCCCC" w:sz="1"/>
              <w:right w:val="single" w:color="CCCCCC" w:sz="1"/>
            </w:tcBorders>
            <w:shd w:fill="F2F8FD" w:val="clear"/>
            <w:tcMar>
              <w:top w:type="dxa" w:w="60"/>
              <w:left w:type="dxa" w:w="120"/>
              <w:bottom w:type="dxa" w:w="60"/>
              <w:right w:type="dxa" w:w="120"/>
            </w:tcMar>
          </w:tcPr>
          <w:p>
            <w:r>
              <w:rPr>
                <w:rFonts w:ascii="Arial" w:cs="Arial" w:eastAsia="Arial" w:hAnsi="Arial"/>
                <w:sz w:val="19"/>
                <w:szCs w:val="19"/>
              </w:rPr>
              <w:t xml:space="preserve">Patch available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Archer C5400X</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End of Life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No patch — replace device</w:t>
            </w:r>
          </w:p>
        </w:tc>
      </w:tr>
      <w:tr>
        <w:tc>
          <w:tcPr>
            <w:tcW w:type="dxa" w:w="3000"/>
            <w:tcBorders>
              <w:top w:val="single" w:color="CCCCCC" w:sz="1"/>
              <w:left w:val="single" w:color="CCCCCC" w:sz="1"/>
              <w:bottom w:val="single" w:color="CCCCCC" w:sz="1"/>
              <w:right w:val="single" w:color="CCCCCC" w:sz="1"/>
            </w:tcBorders>
            <w:shd w:fill="F2F8FD" w:val="clear"/>
            <w:tcMar>
              <w:top w:type="dxa" w:w="60"/>
              <w:left w:type="dxa" w:w="120"/>
              <w:bottom w:type="dxa" w:w="60"/>
              <w:right w:type="dxa" w:w="120"/>
            </w:tcMar>
          </w:tcPr>
          <w:p>
            <w:r>
              <w:rPr>
                <w:rFonts w:ascii="Arial" w:cs="Arial" w:eastAsia="Arial" w:hAnsi="Arial"/>
                <w:sz w:val="19"/>
                <w:szCs w:val="19"/>
              </w:rPr>
              <w:t xml:space="preserve">TL-WR902AC</w:t>
            </w:r>
          </w:p>
        </w:tc>
        <w:tc>
          <w:tcPr>
            <w:tcW w:type="dxa" w:w="3000"/>
            <w:tcBorders>
              <w:top w:val="single" w:color="CCCCCC" w:sz="1"/>
              <w:left w:val="single" w:color="CCCCCC" w:sz="1"/>
              <w:bottom w:val="single" w:color="CCCCCC" w:sz="1"/>
              <w:right w:val="single" w:color="CCCCCC" w:sz="1"/>
            </w:tcBorders>
            <w:shd w:fill="F2F8FD" w:val="clear"/>
            <w:tcMar>
              <w:top w:type="dxa" w:w="60"/>
              <w:left w:type="dxa" w:w="120"/>
              <w:bottom w:type="dxa" w:w="60"/>
              <w:right w:type="dxa" w:w="120"/>
            </w:tcMar>
          </w:tcPr>
          <w:p>
            <w:r>
              <w:rPr>
                <w:rFonts w:ascii="Arial" w:cs="Arial" w:eastAsia="Arial" w:hAnsi="Arial"/>
                <w:sz w:val="19"/>
                <w:szCs w:val="19"/>
              </w:rPr>
              <w:t xml:space="preserve">End of Life</w:t>
            </w:r>
          </w:p>
        </w:tc>
        <w:tc>
          <w:tcPr>
            <w:tcW w:type="dxa" w:w="3000"/>
            <w:tcBorders>
              <w:top w:val="single" w:color="CCCCCC" w:sz="1"/>
              <w:left w:val="single" w:color="CCCCCC" w:sz="1"/>
              <w:bottom w:val="single" w:color="CCCCCC" w:sz="1"/>
              <w:right w:val="single" w:color="CCCCCC" w:sz="1"/>
            </w:tcBorders>
            <w:shd w:fill="F2F8FD" w:val="clear"/>
            <w:tcMar>
              <w:top w:type="dxa" w:w="60"/>
              <w:left w:type="dxa" w:w="120"/>
              <w:bottom w:type="dxa" w:w="60"/>
              <w:right w:type="dxa" w:w="120"/>
            </w:tcMar>
          </w:tcPr>
          <w:p>
            <w:r>
              <w:rPr>
                <w:rFonts w:ascii="Arial" w:cs="Arial" w:eastAsia="Arial" w:hAnsi="Arial"/>
                <w:sz w:val="19"/>
                <w:szCs w:val="19"/>
              </w:rPr>
              <w:t xml:space="preserve">No patch — replace device</w:t>
            </w:r>
          </w:p>
        </w:tc>
      </w:tr>
    </w:tbl>
    <w:p>
      <w:pPr>
        <w:spacing w:after="160"/>
      </w:pPr>
      <w:r>
        <w:t xml:space="preserve"/>
      </w:r>
    </w:p>
    <w:p>
      <w:pPr>
        <w:spacing w:after="160"/>
      </w:pPr>
      <w:r>
        <w:rPr>
          <w:rFonts w:ascii="Arial" w:cs="Arial" w:eastAsia="Arial" w:hAnsi="Arial"/>
          <w:sz w:val="22"/>
          <w:szCs w:val="22"/>
        </w:rPr>
        <w:t xml:space="preserve">Verify your firmware immediately at TP-Link's official advisory at tp-link.com/us/security-advisories/. If you're not using the VPN server functionality, disable it in Advanced → VPN Server settings. This eliminates the attack surface even on unpatched firmware.</w:t>
      </w:r>
    </w:p>
    <w:p>
      <w:pPr>
        <w:pStyle w:val="Heading3"/>
        <w:spacing w:after="120" w:before="240"/>
      </w:pPr>
      <w:r>
        <w:rPr>
          <w:rFonts w:ascii="Arial" w:cs="Arial" w:eastAsia="Arial" w:hAnsi="Arial"/>
          <w:b/>
          <w:bCs/>
          <w:color w:val="1A5276"/>
          <w:sz w:val="24"/>
          <w:szCs w:val="24"/>
        </w:rPr>
        <w:t xml:space="preserve">KadNap: The Asus Router Persistent Backdoor Campaign</w:t>
      </w:r>
    </w:p>
    <w:p>
      <w:pPr>
        <w:spacing w:after="160"/>
      </w:pPr>
      <w:r>
        <w:rPr>
          <w:rFonts w:ascii="Arial" w:cs="Arial" w:eastAsia="Arial" w:hAnsi="Arial"/>
          <w:sz w:val="22"/>
          <w:szCs w:val="22"/>
        </w:rPr>
        <w:t xml:space="preserve">KadNap is the threat intelligence community's designation for an active campaign targeting Asus routers using a multi-stage exploit chain:</w:t>
      </w:r>
    </w:p>
    <w:p>
      <w:pPr>
        <w:pStyle w:val="ListParagraph"/>
        <w:numPr>
          <w:ilvl w:val="0"/>
          <w:numId w:val="2"/>
        </w:numPr>
        <w:spacing w:after="100"/>
      </w:pPr>
      <w:r>
        <w:rPr>
          <w:rFonts w:ascii="Arial" w:cs="Arial" w:eastAsia="Arial" w:hAnsi="Arial"/>
          <w:sz w:val="22"/>
          <w:szCs w:val="22"/>
        </w:rPr>
        <w:t xml:space="preserve">Initial access: Web interface credential brute-force or exploitation of weak default passwords. The campaign specifically targets devices where the admin password has never been changed from the Asus default.</w:t>
      </w:r>
    </w:p>
    <w:p>
      <w:pPr>
        <w:pStyle w:val="ListParagraph"/>
        <w:numPr>
          <w:ilvl w:val="0"/>
          <w:numId w:val="2"/>
        </w:numPr>
        <w:spacing w:after="100"/>
      </w:pPr>
      <w:r>
        <w:rPr>
          <w:rFonts w:ascii="Arial" w:cs="Arial" w:eastAsia="Arial" w:hAnsi="Arial"/>
          <w:sz w:val="22"/>
          <w:szCs w:val="22"/>
        </w:rPr>
        <w:t xml:space="preserve">Persistence: A modified version of the Asus Asuswrt scheduler is written to persistent storage, executing a beacon process on reboot.</w:t>
      </w:r>
    </w:p>
    <w:p>
      <w:pPr>
        <w:pStyle w:val="ListParagraph"/>
        <w:numPr>
          <w:ilvl w:val="0"/>
          <w:numId w:val="2"/>
        </w:numPr>
        <w:spacing w:after="100"/>
      </w:pPr>
      <w:r>
        <w:rPr>
          <w:rFonts w:ascii="Arial" w:cs="Arial" w:eastAsia="Arial" w:hAnsi="Arial"/>
          <w:sz w:val="22"/>
          <w:szCs w:val="22"/>
        </w:rPr>
        <w:t xml:space="preserve">Lateral movement: The beacon enumerates connected devices, specifically looking for gaming console NAT traversal configurations that reveal device types.</w:t>
      </w:r>
    </w:p>
    <w:p>
      <w:pPr>
        <w:pStyle w:val="ListParagraph"/>
        <w:numPr>
          <w:ilvl w:val="0"/>
          <w:numId w:val="2"/>
        </w:numPr>
        <w:spacing w:after="100"/>
      </w:pPr>
      <w:r>
        <w:rPr>
          <w:rFonts w:ascii="Arial" w:cs="Arial" w:eastAsia="Arial" w:hAnsi="Arial"/>
          <w:sz w:val="22"/>
          <w:szCs w:val="22"/>
        </w:rPr>
        <w:t xml:space="preserve">Exfiltration: Session cookies from connected devices, particularly those in gamer-profile browser sessions, are captured via ARP spoofing.</w:t>
      </w:r>
    </w:p>
    <w:p>
      <w:pPr>
        <w:spacing w:after="160"/>
      </w:pPr>
      <w:r>
        <w:rPr>
          <w:rFonts w:ascii="Arial" w:cs="Arial" w:eastAsia="Arial" w:hAnsi="Arial"/>
          <w:sz w:val="22"/>
          <w:szCs w:val="22"/>
        </w:rPr>
        <w:t xml:space="preserve">Asus has detailed its security response at asus.com/networking-iot-servers/security-advisory/. Models running Asuswrt 3.0.0.4.388.x and earlier should update immediately.</w:t>
      </w:r>
    </w:p>
    <w:p>
      <w:pPr>
        <w:pStyle w:val="Heading2"/>
        <w:spacing w:after="160" w:before="320"/>
      </w:pPr>
      <w:r>
        <w:rPr>
          <w:rFonts w:ascii="Arial" w:cs="Arial" w:eastAsia="Arial" w:hAnsi="Arial"/>
          <w:b/>
          <w:bCs/>
          <w:color w:val="2C5F8A"/>
          <w:sz w:val="28"/>
          <w:szCs w:val="28"/>
        </w:rPr>
        <w:t xml:space="preserve">Essential Router Hardening: The Non-Negotiable Steps</w:t>
      </w:r>
    </w:p>
    <w:p>
      <w:pPr>
        <w:pStyle w:val="Heading3"/>
        <w:spacing w:after="120" w:before="240"/>
      </w:pPr>
      <w:r>
        <w:rPr>
          <w:rFonts w:ascii="Arial" w:cs="Arial" w:eastAsia="Arial" w:hAnsi="Arial"/>
          <w:b/>
          <w:bCs/>
          <w:color w:val="1A5276"/>
          <w:sz w:val="24"/>
          <w:szCs w:val="24"/>
        </w:rPr>
        <w:t xml:space="preserve">Step 1: Disable WPS Permanently</w:t>
      </w:r>
    </w:p>
    <w:p>
      <w:pPr>
        <w:spacing w:after="160"/>
      </w:pPr>
      <w:r>
        <w:rPr>
          <w:rFonts w:ascii="Arial" w:cs="Arial" w:eastAsia="Arial" w:hAnsi="Arial"/>
          <w:sz w:val="22"/>
          <w:szCs w:val="22"/>
        </w:rPr>
        <w:t xml:space="preserve">WPS PIN-based authentication has been known to be fundamentally broken since 2011. In 2026, automated WPS exploitation is included in commodity attack frameworks. Location: Wireless → WPS → Disable. There is no gaming use case that requires WPS. Every device that needs to connect can do so with a password.</w:t>
      </w:r>
    </w:p>
    <w:p>
      <w:pPr>
        <w:pStyle w:val="Heading3"/>
        <w:spacing w:after="120" w:before="240"/>
      </w:pPr>
      <w:r>
        <w:rPr>
          <w:rFonts w:ascii="Arial" w:cs="Arial" w:eastAsia="Arial" w:hAnsi="Arial"/>
          <w:b/>
          <w:bCs/>
          <w:color w:val="1A5276"/>
          <w:sz w:val="24"/>
          <w:szCs w:val="24"/>
        </w:rPr>
        <w:t xml:space="preserve">Step 2: Disable UPnP</w:t>
      </w:r>
    </w:p>
    <w:p>
      <w:pPr>
        <w:spacing w:after="160"/>
      </w:pPr>
      <w:r>
        <w:rPr>
          <w:rFonts w:ascii="Arial" w:cs="Arial" w:eastAsia="Arial" w:hAnsi="Arial"/>
          <w:sz w:val="22"/>
          <w:szCs w:val="22"/>
        </w:rPr>
        <w:t xml:space="preserve">Universal Plug and Play allows network devices to automatically open firewall ports without authentication. Malware uses UPnP for exactly the same purpose as game launchers. A coinminer on any device in your network can open port forwarding rules through UPnP without your knowledge. Location: Advanced → NAT → UPnP → Disable.</w:t>
      </w:r>
    </w:p>
    <w:p>
      <w:pPr>
        <w:spacing w:after="160"/>
      </w:pPr>
      <w:r>
        <w:rPr>
          <w:rFonts w:ascii="Arial" w:cs="Arial" w:eastAsia="Arial" w:hAnsi="Arial"/>
          <w:sz w:val="22"/>
          <w:szCs w:val="22"/>
        </w:rPr>
        <w:t xml:space="preserve">Gaming impact: Some titles will show Strict NAT instead of Open NAT. Fix this by manually configuring port forwarding rules for specific games — a one-time setup cost that eliminates the UPnP attack surface permanently.</w:t>
      </w:r>
    </w:p>
    <w:p>
      <w:pPr>
        <w:pStyle w:val="Heading3"/>
        <w:spacing w:after="120" w:before="240"/>
      </w:pPr>
      <w:r>
        <w:rPr>
          <w:rFonts w:ascii="Arial" w:cs="Arial" w:eastAsia="Arial" w:hAnsi="Arial"/>
          <w:b/>
          <w:bCs/>
          <w:color w:val="1A5276"/>
          <w:sz w:val="24"/>
          <w:szCs w:val="24"/>
        </w:rPr>
        <w:t xml:space="preserve">Step 3: Change Default Admin Credentials and Disable Remote Access</w:t>
      </w:r>
    </w:p>
    <w:p>
      <w:pPr>
        <w:spacing w:after="160"/>
      </w:pPr>
      <w:r>
        <w:rPr>
          <w:rFonts w:ascii="Arial" w:cs="Arial" w:eastAsia="Arial" w:hAnsi="Arial"/>
          <w:sz w:val="22"/>
          <w:szCs w:val="22"/>
        </w:rPr>
        <w:t xml:space="preserve">This eliminates the primary KadNap entry vector. Use a unique admin password of 20+ characters, store it in a password manager, and disable WAN-side access to the router's web interface: Advanced → Administration → Remote Access → Disable.</w:t>
      </w:r>
    </w:p>
    <w:p>
      <w:pPr>
        <w:pStyle w:val="Heading3"/>
        <w:spacing w:after="120" w:before="240"/>
      </w:pPr>
      <w:r>
        <w:rPr>
          <w:rFonts w:ascii="Arial" w:cs="Arial" w:eastAsia="Arial" w:hAnsi="Arial"/>
          <w:b/>
          <w:bCs/>
          <w:color w:val="1A5276"/>
          <w:sz w:val="24"/>
          <w:szCs w:val="24"/>
        </w:rPr>
        <w:t xml:space="preserve">Step 4: Update Firmware — Automatically and Immediately</w:t>
      </w:r>
    </w:p>
    <w:p>
      <w:pPr>
        <w:spacing w:after="160"/>
      </w:pPr>
      <w:r>
        <w:rPr>
          <w:rFonts w:ascii="Arial" w:cs="Arial" w:eastAsia="Arial" w:hAnsi="Arial"/>
          <w:sz w:val="22"/>
          <w:szCs w:val="22"/>
        </w:rPr>
        <w:t xml:space="preserve">Enable automatic firmware updates on every router that supports the feature. CVE-2025-7850 persisted unpatched on a significant percentage of deployed TP-Link devices for months after the patch was available — not because users couldn't update, but because they never checked.</w:t>
      </w:r>
    </w:p>
    <w:p>
      <w:pPr>
        <w:pStyle w:val="Heading2"/>
        <w:spacing w:after="160" w:before="320"/>
      </w:pPr>
      <w:r>
        <w:rPr>
          <w:rFonts w:ascii="Arial" w:cs="Arial" w:eastAsia="Arial" w:hAnsi="Arial"/>
          <w:b/>
          <w:bCs/>
          <w:color w:val="2C5F8A"/>
          <w:sz w:val="28"/>
          <w:szCs w:val="28"/>
        </w:rPr>
        <w:t xml:space="preserve">VLAN Segmentation: Separating Gaming from IoT</w:t>
      </w:r>
    </w:p>
    <w:p>
      <w:pPr>
        <w:spacing w:after="160"/>
      </w:pPr>
      <w:r>
        <w:rPr>
          <w:rFonts w:ascii="Arial" w:cs="Arial" w:eastAsia="Arial" w:hAnsi="Arial"/>
          <w:sz w:val="22"/>
          <w:szCs w:val="22"/>
        </w:rPr>
        <w:t xml:space="preserve">The threat model: your smart TV, smart speakers, robot vacuum, streaming sticks, and printer are all running software with varying degrees of vendor security commitment. When any of those devices is compromised, an attacker can see and attempt to reach every other device on the same flat network, including your gaming PC.</w:t>
      </w:r>
    </w:p>
    <w:p>
      <w:pPr>
        <w:shd w:fill="F5F5F5" w:val="clear"/>
        <w:spacing w:after="80" w:before="80"/>
        <w:ind w:left="720"/>
      </w:pPr>
      <w:r>
        <w:rPr>
          <w:rFonts w:ascii="Courier New" w:cs="Courier New" w:eastAsia="Courier New" w:hAnsi="Courier New"/>
          <w:color w:val="333333"/>
          <w:sz w:val="18"/>
          <w:szCs w:val="18"/>
        </w:rPr>
        <w:t xml:space="preserve">ISP Modem/Gateway</w:t>
      </w:r>
    </w:p>
    <w:p>
      <w:pPr>
        <w:shd w:fill="F5F5F5" w:val="clear"/>
        <w:spacing w:after="80" w:before="80"/>
        <w:ind w:left="720"/>
      </w:pPr>
      <w:r>
        <w:rPr>
          <w:rFonts w:ascii="Courier New" w:cs="Courier New" w:eastAsia="Courier New" w:hAnsi="Courier New"/>
          <w:color w:val="333333"/>
          <w:sz w:val="18"/>
          <w:szCs w:val="18"/>
        </w:rPr>
        <w:t xml:space="preserve">        |</w:t>
      </w:r>
    </w:p>
    <w:p>
      <w:pPr>
        <w:shd w:fill="F5F5F5" w:val="clear"/>
        <w:spacing w:after="80" w:before="80"/>
        <w:ind w:left="720"/>
      </w:pPr>
      <w:r>
        <w:rPr>
          <w:rFonts w:ascii="Courier New" w:cs="Courier New" w:eastAsia="Courier New" w:hAnsi="Courier New"/>
          <w:color w:val="333333"/>
          <w:sz w:val="18"/>
          <w:szCs w:val="18"/>
        </w:rPr>
        <w:t xml:space="preserve">   Router (VLAN-capable)</w:t>
      </w:r>
    </w:p>
    <w:p>
      <w:pPr>
        <w:shd w:fill="F5F5F5" w:val="clear"/>
        <w:spacing w:after="80" w:before="80"/>
        <w:ind w:left="720"/>
      </w:pPr>
      <w:r>
        <w:rPr>
          <w:rFonts w:ascii="Courier New" w:cs="Courier New" w:eastAsia="Courier New" w:hAnsi="Courier New"/>
          <w:color w:val="333333"/>
          <w:sz w:val="18"/>
          <w:szCs w:val="18"/>
        </w:rPr>
        <w:t xml:space="preserve">        |</w:t>
      </w:r>
    </w:p>
    <w:p>
      <w:pPr>
        <w:shd w:fill="F5F5F5" w:val="clear"/>
        <w:spacing w:after="80" w:before="80"/>
        <w:ind w:left="720"/>
      </w:pPr>
      <w:r>
        <w:rPr>
          <w:rFonts w:ascii="Courier New" w:cs="Courier New" w:eastAsia="Courier New" w:hAnsi="Courier New"/>
          <w:color w:val="333333"/>
          <w:sz w:val="18"/>
          <w:szCs w:val="18"/>
        </w:rPr>
        <w:t xml:space="preserve">        ├── VLAN 10 — Gaming (PC, consoles, gaming laptop)</w:t>
      </w:r>
    </w:p>
    <w:p>
      <w:pPr>
        <w:shd w:fill="F5F5F5" w:val="clear"/>
        <w:spacing w:after="80" w:before="80"/>
        <w:ind w:left="720"/>
      </w:pPr>
      <w:r>
        <w:rPr>
          <w:rFonts w:ascii="Courier New" w:cs="Courier New" w:eastAsia="Courier New" w:hAnsi="Courier New"/>
          <w:color w:val="333333"/>
          <w:sz w:val="18"/>
          <w:szCs w:val="18"/>
        </w:rPr>
        <w:t xml:space="preserve">        │       └── Isolated: no unsolicited inbound from other VLANs</w:t>
      </w:r>
    </w:p>
    <w:p>
      <w:pPr>
        <w:shd w:fill="F5F5F5" w:val="clear"/>
        <w:spacing w:after="80" w:before="80"/>
        <w:ind w:left="720"/>
      </w:pPr>
      <w:r>
        <w:rPr>
          <w:rFonts w:ascii="Courier New" w:cs="Courier New" w:eastAsia="Courier New" w:hAnsi="Courier New"/>
          <w:color w:val="333333"/>
          <w:sz w:val="18"/>
          <w:szCs w:val="18"/>
        </w:rPr>
        <w:t xml:space="preserve">        ├── VLAN 20 — IoT (smart home, printers, streaming sticks)</w:t>
      </w:r>
    </w:p>
    <w:p>
      <w:pPr>
        <w:shd w:fill="F5F5F5" w:val="clear"/>
        <w:spacing w:after="80" w:before="80"/>
        <w:ind w:left="720"/>
      </w:pPr>
      <w:r>
        <w:rPr>
          <w:rFonts w:ascii="Courier New" w:cs="Courier New" w:eastAsia="Courier New" w:hAnsi="Courier New"/>
          <w:color w:val="333333"/>
          <w:sz w:val="18"/>
          <w:szCs w:val="18"/>
        </w:rPr>
        <w:t xml:space="preserve">        │       └── Restricted: internet access only</w:t>
      </w:r>
    </w:p>
    <w:p>
      <w:pPr>
        <w:shd w:fill="F5F5F5" w:val="clear"/>
        <w:spacing w:after="80" w:before="80"/>
        <w:ind w:left="720"/>
      </w:pPr>
      <w:r>
        <w:rPr>
          <w:rFonts w:ascii="Courier New" w:cs="Courier New" w:eastAsia="Courier New" w:hAnsi="Courier New"/>
          <w:color w:val="333333"/>
          <w:sz w:val="18"/>
          <w:szCs w:val="18"/>
        </w:rPr>
        <w:t xml:space="preserve">        └── VLAN 30 — General (phones, laptops, tablets)</w:t>
      </w:r>
    </w:p>
    <w:p>
      <w:pPr>
        <w:spacing w:after="1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tcBorders>
              <w:top w:val="single" w:color="4A90D9" w:sz="1"/>
              <w:left w:val="single" w:color="4A90D9" w:sz="1"/>
              <w:bottom w:val="single" w:color="4A90D9" w:sz="1"/>
              <w:right w:val="single" w:color="4A90D9"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Router</w:t>
            </w:r>
          </w:p>
        </w:tc>
        <w:tc>
          <w:tcPr>
            <w:tcW w:type="dxa" w:w="2250"/>
            <w:tcBorders>
              <w:top w:val="single" w:color="4A90D9" w:sz="1"/>
              <w:left w:val="single" w:color="4A90D9" w:sz="1"/>
              <w:bottom w:val="single" w:color="4A90D9" w:sz="1"/>
              <w:right w:val="single" w:color="4A90D9"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VLAN Support</w:t>
            </w:r>
          </w:p>
        </w:tc>
        <w:tc>
          <w:tcPr>
            <w:tcW w:type="dxa" w:w="2250"/>
            <w:tcBorders>
              <w:top w:val="single" w:color="4A90D9" w:sz="1"/>
              <w:left w:val="single" w:color="4A90D9" w:sz="1"/>
              <w:bottom w:val="single" w:color="4A90D9" w:sz="1"/>
              <w:right w:val="single" w:color="4A90D9"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Gaming Features</w:t>
            </w:r>
          </w:p>
        </w:tc>
        <w:tc>
          <w:tcPr>
            <w:tcW w:type="dxa" w:w="2250"/>
            <w:tcBorders>
              <w:top w:val="single" w:color="4A90D9" w:sz="1"/>
              <w:left w:val="single" w:color="4A90D9" w:sz="1"/>
              <w:bottom w:val="single" w:color="4A90D9" w:sz="1"/>
              <w:right w:val="single" w:color="4A90D9"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Price Range</w:t>
            </w:r>
          </w:p>
        </w:tc>
      </w:tr>
      <w:tr>
        <w:tc>
          <w:tcPr>
            <w:tcW w:type="dxa" w:w="2250"/>
            <w:tcBorders>
              <w:top w:val="single" w:color="CCCCCC" w:sz="1"/>
              <w:left w:val="single" w:color="CCCCCC" w:sz="1"/>
              <w:bottom w:val="single" w:color="CCCCCC" w:sz="1"/>
              <w:right w:val="single" w:color="CCCCCC" w:sz="1"/>
            </w:tcBorders>
            <w:shd w:fill="F2F8FD" w:val="clear"/>
            <w:tcMar>
              <w:top w:type="dxa" w:w="60"/>
              <w:left w:type="dxa" w:w="120"/>
              <w:bottom w:type="dxa" w:w="60"/>
              <w:right w:type="dxa" w:w="120"/>
            </w:tcMar>
          </w:tcPr>
          <w:p>
            <w:r>
              <w:rPr>
                <w:rFonts w:ascii="Arial" w:cs="Arial" w:eastAsia="Arial" w:hAnsi="Arial"/>
                <w:sz w:val="19"/>
                <w:szCs w:val="19"/>
              </w:rPr>
              <w:t xml:space="preserve">ASUS ZenWiFi Pro ET12</w:t>
            </w:r>
          </w:p>
        </w:tc>
        <w:tc>
          <w:tcPr>
            <w:tcW w:type="dxa" w:w="2250"/>
            <w:tcBorders>
              <w:top w:val="single" w:color="CCCCCC" w:sz="1"/>
              <w:left w:val="single" w:color="CCCCCC" w:sz="1"/>
              <w:bottom w:val="single" w:color="CCCCCC" w:sz="1"/>
              <w:right w:val="single" w:color="CCCCCC" w:sz="1"/>
            </w:tcBorders>
            <w:shd w:fill="F2F8FD" w:val="clear"/>
            <w:tcMar>
              <w:top w:type="dxa" w:w="60"/>
              <w:left w:type="dxa" w:w="120"/>
              <w:bottom w:type="dxa" w:w="60"/>
              <w:right w:type="dxa" w:w="120"/>
            </w:tcMar>
          </w:tcPr>
          <w:p>
            <w:r>
              <w:rPr>
                <w:rFonts w:ascii="Arial" w:cs="Arial" w:eastAsia="Arial" w:hAnsi="Arial"/>
                <w:sz w:val="19"/>
                <w:szCs w:val="19"/>
              </w:rPr>
              <w:t xml:space="preserve">Full VLAN</w:t>
            </w:r>
          </w:p>
        </w:tc>
        <w:tc>
          <w:tcPr>
            <w:tcW w:type="dxa" w:w="2250"/>
            <w:tcBorders>
              <w:top w:val="single" w:color="CCCCCC" w:sz="1"/>
              <w:left w:val="single" w:color="CCCCCC" w:sz="1"/>
              <w:bottom w:val="single" w:color="CCCCCC" w:sz="1"/>
              <w:right w:val="single" w:color="CCCCCC" w:sz="1"/>
            </w:tcBorders>
            <w:shd w:fill="F2F8FD" w:val="clear"/>
            <w:tcMar>
              <w:top w:type="dxa" w:w="60"/>
              <w:left w:type="dxa" w:w="120"/>
              <w:bottom w:type="dxa" w:w="60"/>
              <w:right w:type="dxa" w:w="120"/>
            </w:tcMar>
          </w:tcPr>
          <w:p>
            <w:r>
              <w:rPr>
                <w:rFonts w:ascii="Arial" w:cs="Arial" w:eastAsia="Arial" w:hAnsi="Arial"/>
                <w:sz w:val="19"/>
                <w:szCs w:val="19"/>
              </w:rPr>
              <w:t xml:space="preserve">QoS, gaming ports</w:t>
            </w:r>
          </w:p>
        </w:tc>
        <w:tc>
          <w:tcPr>
            <w:tcW w:type="dxa" w:w="2250"/>
            <w:tcBorders>
              <w:top w:val="single" w:color="CCCCCC" w:sz="1"/>
              <w:left w:val="single" w:color="CCCCCC" w:sz="1"/>
              <w:bottom w:val="single" w:color="CCCCCC" w:sz="1"/>
              <w:right w:val="single" w:color="CCCCCC" w:sz="1"/>
            </w:tcBorders>
            <w:shd w:fill="F2F8FD" w:val="clear"/>
            <w:tcMar>
              <w:top w:type="dxa" w:w="60"/>
              <w:left w:type="dxa" w:w="120"/>
              <w:bottom w:type="dxa" w:w="60"/>
              <w:right w:type="dxa" w:w="120"/>
            </w:tcMar>
          </w:tcPr>
          <w:p>
            <w:r>
              <w:rPr>
                <w:rFonts w:ascii="Arial" w:cs="Arial" w:eastAsia="Arial" w:hAnsi="Arial"/>
                <w:sz w:val="19"/>
                <w:szCs w:val="19"/>
              </w:rPr>
              <w:t xml:space="preserve">$400–500</w:t>
            </w:r>
          </w:p>
        </w:tc>
      </w:tr>
      <w:tr>
        <w:tc>
          <w:tcPr>
            <w:tcW w:type="dxa" w:w="225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Netgear Orbi RBK863S</w:t>
            </w:r>
          </w:p>
        </w:tc>
        <w:tc>
          <w:tcPr>
            <w:tcW w:type="dxa" w:w="225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VLAN via firmware</w:t>
            </w:r>
          </w:p>
        </w:tc>
        <w:tc>
          <w:tcPr>
            <w:tcW w:type="dxa" w:w="225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6GHz backhaul</w:t>
            </w:r>
          </w:p>
        </w:tc>
        <w:tc>
          <w:tcPr>
            <w:tcW w:type="dxa" w:w="225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$450–600</w:t>
            </w:r>
          </w:p>
        </w:tc>
      </w:tr>
      <w:tr>
        <w:tc>
          <w:tcPr>
            <w:tcW w:type="dxa" w:w="2250"/>
            <w:tcBorders>
              <w:top w:val="single" w:color="CCCCCC" w:sz="1"/>
              <w:left w:val="single" w:color="CCCCCC" w:sz="1"/>
              <w:bottom w:val="single" w:color="CCCCCC" w:sz="1"/>
              <w:right w:val="single" w:color="CCCCCC" w:sz="1"/>
            </w:tcBorders>
            <w:shd w:fill="F2F8FD" w:val="clear"/>
            <w:tcMar>
              <w:top w:type="dxa" w:w="60"/>
              <w:left w:type="dxa" w:w="120"/>
              <w:bottom w:type="dxa" w:w="60"/>
              <w:right w:type="dxa" w:w="120"/>
            </w:tcMar>
          </w:tcPr>
          <w:p>
            <w:r>
              <w:rPr>
                <w:rFonts w:ascii="Arial" w:cs="Arial" w:eastAsia="Arial" w:hAnsi="Arial"/>
                <w:sz w:val="19"/>
                <w:szCs w:val="19"/>
              </w:rPr>
              <w:t xml:space="preserve">TP-Link Deco XE75 Pro</w:t>
            </w:r>
          </w:p>
        </w:tc>
        <w:tc>
          <w:tcPr>
            <w:tcW w:type="dxa" w:w="2250"/>
            <w:tcBorders>
              <w:top w:val="single" w:color="CCCCCC" w:sz="1"/>
              <w:left w:val="single" w:color="CCCCCC" w:sz="1"/>
              <w:bottom w:val="single" w:color="CCCCCC" w:sz="1"/>
              <w:right w:val="single" w:color="CCCCCC" w:sz="1"/>
            </w:tcBorders>
            <w:shd w:fill="F2F8FD" w:val="clear"/>
            <w:tcMar>
              <w:top w:type="dxa" w:w="60"/>
              <w:left w:type="dxa" w:w="120"/>
              <w:bottom w:type="dxa" w:w="60"/>
              <w:right w:type="dxa" w:w="120"/>
            </w:tcMar>
          </w:tcPr>
          <w:p>
            <w:r>
              <w:rPr>
                <w:rFonts w:ascii="Arial" w:cs="Arial" w:eastAsia="Arial" w:hAnsi="Arial"/>
                <w:sz w:val="19"/>
                <w:szCs w:val="19"/>
              </w:rPr>
              <w:t xml:space="preserve">VLAN (limited)</w:t>
            </w:r>
          </w:p>
        </w:tc>
        <w:tc>
          <w:tcPr>
            <w:tcW w:type="dxa" w:w="2250"/>
            <w:tcBorders>
              <w:top w:val="single" w:color="CCCCCC" w:sz="1"/>
              <w:left w:val="single" w:color="CCCCCC" w:sz="1"/>
              <w:bottom w:val="single" w:color="CCCCCC" w:sz="1"/>
              <w:right w:val="single" w:color="CCCCCC" w:sz="1"/>
            </w:tcBorders>
            <w:shd w:fill="F2F8FD" w:val="clear"/>
            <w:tcMar>
              <w:top w:type="dxa" w:w="60"/>
              <w:left w:type="dxa" w:w="120"/>
              <w:bottom w:type="dxa" w:w="60"/>
              <w:right w:type="dxa" w:w="120"/>
            </w:tcMar>
          </w:tcPr>
          <w:p>
            <w:r>
              <w:rPr>
                <w:rFonts w:ascii="Arial" w:cs="Arial" w:eastAsia="Arial" w:hAnsi="Arial"/>
                <w:sz w:val="19"/>
                <w:szCs w:val="19"/>
              </w:rPr>
              <w:t xml:space="preserve">EasyMesh</w:t>
            </w:r>
          </w:p>
        </w:tc>
        <w:tc>
          <w:tcPr>
            <w:tcW w:type="dxa" w:w="2250"/>
            <w:tcBorders>
              <w:top w:val="single" w:color="CCCCCC" w:sz="1"/>
              <w:left w:val="single" w:color="CCCCCC" w:sz="1"/>
              <w:bottom w:val="single" w:color="CCCCCC" w:sz="1"/>
              <w:right w:val="single" w:color="CCCCCC" w:sz="1"/>
            </w:tcBorders>
            <w:shd w:fill="F2F8FD" w:val="clear"/>
            <w:tcMar>
              <w:top w:type="dxa" w:w="60"/>
              <w:left w:type="dxa" w:w="120"/>
              <w:bottom w:type="dxa" w:w="60"/>
              <w:right w:type="dxa" w:w="120"/>
            </w:tcMar>
          </w:tcPr>
          <w:p>
            <w:r>
              <w:rPr>
                <w:rFonts w:ascii="Arial" w:cs="Arial" w:eastAsia="Arial" w:hAnsi="Arial"/>
                <w:sz w:val="19"/>
                <w:szCs w:val="19"/>
              </w:rPr>
              <w:t xml:space="preserve">$300–400</w:t>
            </w:r>
          </w:p>
        </w:tc>
      </w:tr>
      <w:tr>
        <w:tc>
          <w:tcPr>
            <w:tcW w:type="dxa" w:w="225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Firewalla Gold Plus</w:t>
            </w:r>
          </w:p>
        </w:tc>
        <w:tc>
          <w:tcPr>
            <w:tcW w:type="dxa" w:w="225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Full VLAN</w:t>
            </w:r>
          </w:p>
        </w:tc>
        <w:tc>
          <w:tcPr>
            <w:tcW w:type="dxa" w:w="225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Deep packet inspection</w:t>
            </w:r>
          </w:p>
        </w:tc>
        <w:tc>
          <w:tcPr>
            <w:tcW w:type="dxa" w:w="225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$219</w:t>
            </w:r>
          </w:p>
        </w:tc>
      </w:tr>
      <w:tr>
        <w:tc>
          <w:tcPr>
            <w:tcW w:type="dxa" w:w="2250"/>
            <w:tcBorders>
              <w:top w:val="single" w:color="CCCCCC" w:sz="1"/>
              <w:left w:val="single" w:color="CCCCCC" w:sz="1"/>
              <w:bottom w:val="single" w:color="CCCCCC" w:sz="1"/>
              <w:right w:val="single" w:color="CCCCCC" w:sz="1"/>
            </w:tcBorders>
            <w:shd w:fill="F2F8FD" w:val="clear"/>
            <w:tcMar>
              <w:top w:type="dxa" w:w="60"/>
              <w:left w:type="dxa" w:w="120"/>
              <w:bottom w:type="dxa" w:w="60"/>
              <w:right w:type="dxa" w:w="120"/>
            </w:tcMar>
          </w:tcPr>
          <w:p>
            <w:r>
              <w:rPr>
                <w:rFonts w:ascii="Arial" w:cs="Arial" w:eastAsia="Arial" w:hAnsi="Arial"/>
                <w:sz w:val="19"/>
                <w:szCs w:val="19"/>
              </w:rPr>
              <w:t xml:space="preserve">UniFi Express</w:t>
            </w:r>
          </w:p>
        </w:tc>
        <w:tc>
          <w:tcPr>
            <w:tcW w:type="dxa" w:w="2250"/>
            <w:tcBorders>
              <w:top w:val="single" w:color="CCCCCC" w:sz="1"/>
              <w:left w:val="single" w:color="CCCCCC" w:sz="1"/>
              <w:bottom w:val="single" w:color="CCCCCC" w:sz="1"/>
              <w:right w:val="single" w:color="CCCCCC" w:sz="1"/>
            </w:tcBorders>
            <w:shd w:fill="F2F8FD" w:val="clear"/>
            <w:tcMar>
              <w:top w:type="dxa" w:w="60"/>
              <w:left w:type="dxa" w:w="120"/>
              <w:bottom w:type="dxa" w:w="60"/>
              <w:right w:type="dxa" w:w="120"/>
            </w:tcMar>
          </w:tcPr>
          <w:p>
            <w:r>
              <w:rPr>
                <w:rFonts w:ascii="Arial" w:cs="Arial" w:eastAsia="Arial" w:hAnsi="Arial"/>
                <w:sz w:val="19"/>
                <w:szCs w:val="19"/>
              </w:rPr>
              <w:t xml:space="preserve">Full VLAN</w:t>
            </w:r>
          </w:p>
        </w:tc>
        <w:tc>
          <w:tcPr>
            <w:tcW w:type="dxa" w:w="2250"/>
            <w:tcBorders>
              <w:top w:val="single" w:color="CCCCCC" w:sz="1"/>
              <w:left w:val="single" w:color="CCCCCC" w:sz="1"/>
              <w:bottom w:val="single" w:color="CCCCCC" w:sz="1"/>
              <w:right w:val="single" w:color="CCCCCC" w:sz="1"/>
            </w:tcBorders>
            <w:shd w:fill="F2F8FD" w:val="clear"/>
            <w:tcMar>
              <w:top w:type="dxa" w:w="60"/>
              <w:left w:type="dxa" w:w="120"/>
              <w:bottom w:type="dxa" w:w="60"/>
              <w:right w:type="dxa" w:w="120"/>
            </w:tcMar>
          </w:tcPr>
          <w:p>
            <w:r>
              <w:rPr>
                <w:rFonts w:ascii="Arial" w:cs="Arial" w:eastAsia="Arial" w:hAnsi="Arial"/>
                <w:sz w:val="19"/>
                <w:szCs w:val="19"/>
              </w:rPr>
              <w:t xml:space="preserve">Enterprise-grade</w:t>
            </w:r>
          </w:p>
        </w:tc>
        <w:tc>
          <w:tcPr>
            <w:tcW w:type="dxa" w:w="2250"/>
            <w:tcBorders>
              <w:top w:val="single" w:color="CCCCCC" w:sz="1"/>
              <w:left w:val="single" w:color="CCCCCC" w:sz="1"/>
              <w:bottom w:val="single" w:color="CCCCCC" w:sz="1"/>
              <w:right w:val="single" w:color="CCCCCC" w:sz="1"/>
            </w:tcBorders>
            <w:shd w:fill="F2F8FD" w:val="clear"/>
            <w:tcMar>
              <w:top w:type="dxa" w:w="60"/>
              <w:left w:type="dxa" w:w="120"/>
              <w:bottom w:type="dxa" w:w="60"/>
              <w:right w:type="dxa" w:w="120"/>
            </w:tcMar>
          </w:tcPr>
          <w:p>
            <w:r>
              <w:rPr>
                <w:rFonts w:ascii="Arial" w:cs="Arial" w:eastAsia="Arial" w:hAnsi="Arial"/>
                <w:sz w:val="19"/>
                <w:szCs w:val="19"/>
              </w:rPr>
              <w:t xml:space="preserve">$149 + subscription</w:t>
            </w:r>
          </w:p>
        </w:tc>
      </w:tr>
    </w:tbl>
    <w:p>
      <w:pPr>
        <w:spacing w:after="160"/>
      </w:pPr>
      <w:r>
        <w:t xml:space="preserve"/>
      </w:r>
    </w:p>
    <w:p>
      <w:pPr>
        <w:spacing w:after="160"/>
      </w:pPr>
      <w:r>
        <w:rPr>
          <w:rFonts w:ascii="Arial" w:cs="Arial" w:eastAsia="Arial" w:hAnsi="Arial"/>
          <w:sz w:val="22"/>
          <w:szCs w:val="22"/>
        </w:rPr>
        <w:t xml:space="preserve">For gaming-first households, the Firewalla Gold Plus is our preferred recommendation: it installs behind any existing router, adds full VLAN management, and provides deep packet inspection that can detect coinminer C2 communication patterns in real time.</w:t>
      </w:r>
    </w:p>
    <w:p>
      <w:pPr>
        <w:pStyle w:val="Heading2"/>
        <w:spacing w:after="160" w:before="320"/>
      </w:pPr>
      <w:r>
        <w:rPr>
          <w:rFonts w:ascii="Arial" w:cs="Arial" w:eastAsia="Arial" w:hAnsi="Arial"/>
          <w:b/>
          <w:bCs/>
          <w:color w:val="2C5F8A"/>
          <w:sz w:val="28"/>
          <w:szCs w:val="28"/>
        </w:rPr>
        <w:t xml:space="preserve">Tailscale: Zero-Trust Networking for Gamers</w:t>
      </w:r>
    </w:p>
    <w:p>
      <w:pPr>
        <w:spacing w:after="160"/>
      </w:pPr>
      <w:r>
        <w:rPr>
          <w:rFonts w:ascii="Arial" w:cs="Arial" w:eastAsia="Arial" w:hAnsi="Arial"/>
          <w:sz w:val="22"/>
          <w:szCs w:val="22"/>
        </w:rPr>
        <w:t xml:space="preserve">Traditional VPN configurations for gaming require exposing a VPN server endpoint on your router — exactly the attack surface CVE-2025-7850 exploited. Tailscale eliminates this attack surface entirely by implementing a zero-trust mesh VPN where devices authenticate directly to each other using WireGuard, with coordination handled by Tailscale's control plane rather than an exposed router service.</w:t>
      </w:r>
    </w:p>
    <w:p>
      <w:pPr>
        <w:spacing w:after="120"/>
      </w:pPr>
      <w:r>
        <w:rPr>
          <w:rFonts w:ascii="Arial" w:cs="Arial" w:eastAsia="Arial" w:hAnsi="Arial"/>
          <w:b/>
          <w:bCs/>
          <w:sz w:val="22"/>
          <w:szCs w:val="22"/>
        </w:rPr>
        <w:t xml:space="preserve">For gamers, Tailscale enables:</w:t>
      </w:r>
    </w:p>
    <w:p>
      <w:pPr>
        <w:pStyle w:val="ListParagraph"/>
        <w:numPr>
          <w:ilvl w:val="0"/>
          <w:numId w:val="2"/>
        </w:numPr>
        <w:spacing w:after="100"/>
      </w:pPr>
      <w:r>
        <w:rPr>
          <w:rFonts w:ascii="Arial" w:cs="Arial" w:eastAsia="Arial" w:hAnsi="Arial"/>
          <w:sz w:val="22"/>
          <w:szCs w:val="22"/>
        </w:rPr>
        <w:t xml:space="preserve">Secure remote play: Access your home gaming PC from anywhere without exposing any router ports.</w:t>
      </w:r>
    </w:p>
    <w:p>
      <w:pPr>
        <w:pStyle w:val="ListParagraph"/>
        <w:numPr>
          <w:ilvl w:val="0"/>
          <w:numId w:val="2"/>
        </w:numPr>
        <w:spacing w:after="100"/>
      </w:pPr>
      <w:r>
        <w:rPr>
          <w:rFonts w:ascii="Arial" w:cs="Arial" w:eastAsia="Arial" w:hAnsi="Arial"/>
          <w:sz w:val="22"/>
          <w:szCs w:val="22"/>
        </w:rPr>
        <w:t xml:space="preserve">Private LAN party infrastructure: Create a Tailnet that all participants join. Games see each other as local LAN — ideal for titles with LAN-only modes.</w:t>
      </w:r>
    </w:p>
    <w:p>
      <w:pPr>
        <w:pStyle w:val="ListParagraph"/>
        <w:numPr>
          <w:ilvl w:val="0"/>
          <w:numId w:val="2"/>
        </w:numPr>
        <w:spacing w:after="100"/>
      </w:pPr>
      <w:r>
        <w:rPr>
          <w:rFonts w:ascii="Arial" w:cs="Arial" w:eastAsia="Arial" w:hAnsi="Arial"/>
          <w:sz w:val="22"/>
          <w:szCs w:val="22"/>
        </w:rPr>
        <w:t xml:space="preserve">No router exposure: No inbound ports need to be opened. CVE-2025-7850-class vulnerabilities are completely irrelevant for VPN functionality.</w:t>
      </w:r>
    </w:p>
    <w:p>
      <w:pPr>
        <w:spacing w:after="160"/>
      </w:pPr>
      <w:r>
        <w:rPr>
          <w:rFonts w:ascii="Arial" w:cs="Arial" w:eastAsia="Arial" w:hAnsi="Arial"/>
          <w:sz w:val="22"/>
          <w:szCs w:val="22"/>
        </w:rPr>
        <w:t xml:space="preserve">Tailscale's documentation for gaming setups (tailscale.com/kb/1136/tailscale-for-gaming/) covers configuration for common game platforms. The free tier supports up to 3 users and 100 devices.</w:t>
      </w:r>
    </w:p>
    <w:p>
      <w:pPr>
        <w:pStyle w:val="Heading2"/>
        <w:spacing w:after="160" w:before="320"/>
      </w:pPr>
      <w:r>
        <w:rPr>
          <w:rFonts w:ascii="Arial" w:cs="Arial" w:eastAsia="Arial" w:hAnsi="Arial"/>
          <w:b/>
          <w:bCs/>
          <w:color w:val="2C5F8A"/>
          <w:sz w:val="28"/>
          <w:szCs w:val="28"/>
        </w:rPr>
        <w:t xml:space="preserve">Router Hardening Checklist for Gamers</w:t>
      </w:r>
    </w:p>
    <w:p>
      <w:pPr>
        <w:spacing w:after="1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tcBorders>
              <w:top w:val="single" w:color="4A90D9" w:sz="1"/>
              <w:left w:val="single" w:color="4A90D9" w:sz="1"/>
              <w:bottom w:val="single" w:color="4A90D9" w:sz="1"/>
              <w:right w:val="single" w:color="4A90D9"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3000"/>
            <w:tcBorders>
              <w:top w:val="single" w:color="4A90D9" w:sz="1"/>
              <w:left w:val="single" w:color="4A90D9" w:sz="1"/>
              <w:bottom w:val="single" w:color="4A90D9" w:sz="1"/>
              <w:right w:val="single" w:color="4A90D9"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3000"/>
            <w:tcBorders>
              <w:top w:val="single" w:color="4A90D9" w:sz="1"/>
              <w:left w:val="single" w:color="4A90D9" w:sz="1"/>
              <w:bottom w:val="single" w:color="4A90D9" w:sz="1"/>
              <w:right w:val="single" w:color="4A90D9"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Time Required</w:t>
            </w:r>
          </w:p>
        </w:tc>
      </w:tr>
      <w:tr>
        <w:tc>
          <w:tcPr>
            <w:tcW w:type="dxa" w:w="3000"/>
            <w:tcBorders>
              <w:top w:val="single" w:color="CCCCCC" w:sz="1"/>
              <w:left w:val="single" w:color="CCCCCC" w:sz="1"/>
              <w:bottom w:val="single" w:color="CCCCCC" w:sz="1"/>
              <w:right w:val="single" w:color="CCCCCC" w:sz="1"/>
            </w:tcBorders>
            <w:shd w:fill="F2F8FD" w:val="clear"/>
            <w:tcMar>
              <w:top w:type="dxa" w:w="60"/>
              <w:left w:type="dxa" w:w="120"/>
              <w:bottom w:type="dxa" w:w="60"/>
              <w:right w:type="dxa" w:w="120"/>
            </w:tcMar>
          </w:tcPr>
          <w:p>
            <w:r>
              <w:rPr>
                <w:rFonts w:ascii="Arial" w:cs="Arial" w:eastAsia="Arial" w:hAnsi="Arial"/>
                <w:sz w:val="19"/>
                <w:szCs w:val="19"/>
              </w:rPr>
              <w:t xml:space="preserve">Check CVE-2025-7850 firmware status</w:t>
            </w:r>
          </w:p>
        </w:tc>
        <w:tc>
          <w:tcPr>
            <w:tcW w:type="dxa" w:w="3000"/>
            <w:tcBorders>
              <w:top w:val="single" w:color="CCCCCC" w:sz="1"/>
              <w:left w:val="single" w:color="CCCCCC" w:sz="1"/>
              <w:bottom w:val="single" w:color="CCCCCC" w:sz="1"/>
              <w:right w:val="single" w:color="CCCCCC" w:sz="1"/>
            </w:tcBorders>
            <w:shd w:fill="F2F8FD" w:val="clear"/>
            <w:tcMar>
              <w:top w:type="dxa" w:w="60"/>
              <w:left w:type="dxa" w:w="120"/>
              <w:bottom w:type="dxa" w:w="60"/>
              <w:right w:type="dxa" w:w="120"/>
            </w:tcMar>
          </w:tcPr>
          <w:p>
            <w:r>
              <w:rPr>
                <w:rFonts w:ascii="Arial" w:cs="Arial" w:eastAsia="Arial" w:hAnsi="Arial"/>
                <w:sz w:val="19"/>
                <w:szCs w:val="19"/>
              </w:rPr>
              <w:t xml:space="preserve">Critical</w:t>
            </w:r>
          </w:p>
        </w:tc>
        <w:tc>
          <w:tcPr>
            <w:tcW w:type="dxa" w:w="3000"/>
            <w:tcBorders>
              <w:top w:val="single" w:color="CCCCCC" w:sz="1"/>
              <w:left w:val="single" w:color="CCCCCC" w:sz="1"/>
              <w:bottom w:val="single" w:color="CCCCCC" w:sz="1"/>
              <w:right w:val="single" w:color="CCCCCC" w:sz="1"/>
            </w:tcBorders>
            <w:shd w:fill="F2F8FD" w:val="clear"/>
            <w:tcMar>
              <w:top w:type="dxa" w:w="60"/>
              <w:left w:type="dxa" w:w="120"/>
              <w:bottom w:type="dxa" w:w="60"/>
              <w:right w:type="dxa" w:w="120"/>
            </w:tcMar>
          </w:tcPr>
          <w:p>
            <w:r>
              <w:rPr>
                <w:rFonts w:ascii="Arial" w:cs="Arial" w:eastAsia="Arial" w:hAnsi="Arial"/>
                <w:sz w:val="19"/>
                <w:szCs w:val="19"/>
              </w:rPr>
              <w:t xml:space="preserve">5 minutes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Update to latest firmware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Critical</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15 minutes</w:t>
            </w:r>
          </w:p>
        </w:tc>
      </w:tr>
      <w:tr>
        <w:tc>
          <w:tcPr>
            <w:tcW w:type="dxa" w:w="3000"/>
            <w:tcBorders>
              <w:top w:val="single" w:color="CCCCCC" w:sz="1"/>
              <w:left w:val="single" w:color="CCCCCC" w:sz="1"/>
              <w:bottom w:val="single" w:color="CCCCCC" w:sz="1"/>
              <w:right w:val="single" w:color="CCCCCC" w:sz="1"/>
            </w:tcBorders>
            <w:shd w:fill="F2F8FD" w:val="clear"/>
            <w:tcMar>
              <w:top w:type="dxa" w:w="60"/>
              <w:left w:type="dxa" w:w="120"/>
              <w:bottom w:type="dxa" w:w="60"/>
              <w:right w:type="dxa" w:w="120"/>
            </w:tcMar>
          </w:tcPr>
          <w:p>
            <w:r>
              <w:rPr>
                <w:rFonts w:ascii="Arial" w:cs="Arial" w:eastAsia="Arial" w:hAnsi="Arial"/>
                <w:sz w:val="19"/>
                <w:szCs w:val="19"/>
              </w:rPr>
              <w:t xml:space="preserve">Change admin credentials</w:t>
            </w:r>
          </w:p>
        </w:tc>
        <w:tc>
          <w:tcPr>
            <w:tcW w:type="dxa" w:w="3000"/>
            <w:tcBorders>
              <w:top w:val="single" w:color="CCCCCC" w:sz="1"/>
              <w:left w:val="single" w:color="CCCCCC" w:sz="1"/>
              <w:bottom w:val="single" w:color="CCCCCC" w:sz="1"/>
              <w:right w:val="single" w:color="CCCCCC" w:sz="1"/>
            </w:tcBorders>
            <w:shd w:fill="F2F8FD" w:val="clear"/>
            <w:tcMar>
              <w:top w:type="dxa" w:w="60"/>
              <w:left w:type="dxa" w:w="120"/>
              <w:bottom w:type="dxa" w:w="60"/>
              <w:right w:type="dxa" w:w="120"/>
            </w:tcMar>
          </w:tcPr>
          <w:p>
            <w:r>
              <w:rPr>
                <w:rFonts w:ascii="Arial" w:cs="Arial" w:eastAsia="Arial" w:hAnsi="Arial"/>
                <w:sz w:val="19"/>
                <w:szCs w:val="19"/>
              </w:rPr>
              <w:t xml:space="preserve">Critical</w:t>
            </w:r>
          </w:p>
        </w:tc>
        <w:tc>
          <w:tcPr>
            <w:tcW w:type="dxa" w:w="3000"/>
            <w:tcBorders>
              <w:top w:val="single" w:color="CCCCCC" w:sz="1"/>
              <w:left w:val="single" w:color="CCCCCC" w:sz="1"/>
              <w:bottom w:val="single" w:color="CCCCCC" w:sz="1"/>
              <w:right w:val="single" w:color="CCCCCC" w:sz="1"/>
            </w:tcBorders>
            <w:shd w:fill="F2F8FD" w:val="clear"/>
            <w:tcMar>
              <w:top w:type="dxa" w:w="60"/>
              <w:left w:type="dxa" w:w="120"/>
              <w:bottom w:type="dxa" w:w="60"/>
              <w:right w:type="dxa" w:w="120"/>
            </w:tcMar>
          </w:tcPr>
          <w:p>
            <w:r>
              <w:rPr>
                <w:rFonts w:ascii="Arial" w:cs="Arial" w:eastAsia="Arial" w:hAnsi="Arial"/>
                <w:sz w:val="19"/>
                <w:szCs w:val="19"/>
              </w:rPr>
              <w:t xml:space="preserve">5 minutes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Disable WPS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High</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2 minutes</w:t>
            </w:r>
          </w:p>
        </w:tc>
      </w:tr>
      <w:tr>
        <w:tc>
          <w:tcPr>
            <w:tcW w:type="dxa" w:w="3000"/>
            <w:tcBorders>
              <w:top w:val="single" w:color="CCCCCC" w:sz="1"/>
              <w:left w:val="single" w:color="CCCCCC" w:sz="1"/>
              <w:bottom w:val="single" w:color="CCCCCC" w:sz="1"/>
              <w:right w:val="single" w:color="CCCCCC" w:sz="1"/>
            </w:tcBorders>
            <w:shd w:fill="F2F8FD" w:val="clear"/>
            <w:tcMar>
              <w:top w:type="dxa" w:w="60"/>
              <w:left w:type="dxa" w:w="120"/>
              <w:bottom w:type="dxa" w:w="60"/>
              <w:right w:type="dxa" w:w="120"/>
            </w:tcMar>
          </w:tcPr>
          <w:p>
            <w:r>
              <w:rPr>
                <w:rFonts w:ascii="Arial" w:cs="Arial" w:eastAsia="Arial" w:hAnsi="Arial"/>
                <w:sz w:val="19"/>
                <w:szCs w:val="19"/>
              </w:rPr>
              <w:t xml:space="preserve">Disable UPnP (with port forward replacements)</w:t>
            </w:r>
          </w:p>
        </w:tc>
        <w:tc>
          <w:tcPr>
            <w:tcW w:type="dxa" w:w="3000"/>
            <w:tcBorders>
              <w:top w:val="single" w:color="CCCCCC" w:sz="1"/>
              <w:left w:val="single" w:color="CCCCCC" w:sz="1"/>
              <w:bottom w:val="single" w:color="CCCCCC" w:sz="1"/>
              <w:right w:val="single" w:color="CCCCCC" w:sz="1"/>
            </w:tcBorders>
            <w:shd w:fill="F2F8FD" w:val="clear"/>
            <w:tcMar>
              <w:top w:type="dxa" w:w="60"/>
              <w:left w:type="dxa" w:w="120"/>
              <w:bottom w:type="dxa" w:w="60"/>
              <w:right w:type="dxa" w:w="120"/>
            </w:tcMar>
          </w:tcPr>
          <w:p>
            <w:r>
              <w:rPr>
                <w:rFonts w:ascii="Arial" w:cs="Arial" w:eastAsia="Arial" w:hAnsi="Arial"/>
                <w:sz w:val="19"/>
                <w:szCs w:val="19"/>
              </w:rPr>
              <w:t xml:space="preserve">High</w:t>
            </w:r>
          </w:p>
        </w:tc>
        <w:tc>
          <w:tcPr>
            <w:tcW w:type="dxa" w:w="3000"/>
            <w:tcBorders>
              <w:top w:val="single" w:color="CCCCCC" w:sz="1"/>
              <w:left w:val="single" w:color="CCCCCC" w:sz="1"/>
              <w:bottom w:val="single" w:color="CCCCCC" w:sz="1"/>
              <w:right w:val="single" w:color="CCCCCC" w:sz="1"/>
            </w:tcBorders>
            <w:shd w:fill="F2F8FD" w:val="clear"/>
            <w:tcMar>
              <w:top w:type="dxa" w:w="60"/>
              <w:left w:type="dxa" w:w="120"/>
              <w:bottom w:type="dxa" w:w="60"/>
              <w:right w:type="dxa" w:w="120"/>
            </w:tcMar>
          </w:tcPr>
          <w:p>
            <w:r>
              <w:rPr>
                <w:rFonts w:ascii="Arial" w:cs="Arial" w:eastAsia="Arial" w:hAnsi="Arial"/>
                <w:sz w:val="19"/>
                <w:szCs w:val="19"/>
              </w:rPr>
              <w:t xml:space="preserve">30 minutes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Disable remote web UI access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High</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2 minutes</w:t>
            </w:r>
          </w:p>
        </w:tc>
      </w:tr>
      <w:tr>
        <w:tc>
          <w:tcPr>
            <w:tcW w:type="dxa" w:w="3000"/>
            <w:tcBorders>
              <w:top w:val="single" w:color="CCCCCC" w:sz="1"/>
              <w:left w:val="single" w:color="CCCCCC" w:sz="1"/>
              <w:bottom w:val="single" w:color="CCCCCC" w:sz="1"/>
              <w:right w:val="single" w:color="CCCCCC" w:sz="1"/>
            </w:tcBorders>
            <w:shd w:fill="F2F8FD" w:val="clear"/>
            <w:tcMar>
              <w:top w:type="dxa" w:w="60"/>
              <w:left w:type="dxa" w:w="120"/>
              <w:bottom w:type="dxa" w:w="60"/>
              <w:right w:type="dxa" w:w="120"/>
            </w:tcMar>
          </w:tcPr>
          <w:p>
            <w:r>
              <w:rPr>
                <w:rFonts w:ascii="Arial" w:cs="Arial" w:eastAsia="Arial" w:hAnsi="Arial"/>
                <w:sz w:val="19"/>
                <w:szCs w:val="19"/>
              </w:rPr>
              <w:t xml:space="preserve">Create gaming/IoT VLAN separation</w:t>
            </w:r>
          </w:p>
        </w:tc>
        <w:tc>
          <w:tcPr>
            <w:tcW w:type="dxa" w:w="3000"/>
            <w:tcBorders>
              <w:top w:val="single" w:color="CCCCCC" w:sz="1"/>
              <w:left w:val="single" w:color="CCCCCC" w:sz="1"/>
              <w:bottom w:val="single" w:color="CCCCCC" w:sz="1"/>
              <w:right w:val="single" w:color="CCCCCC" w:sz="1"/>
            </w:tcBorders>
            <w:shd w:fill="F2F8FD" w:val="clear"/>
            <w:tcMar>
              <w:top w:type="dxa" w:w="60"/>
              <w:left w:type="dxa" w:w="120"/>
              <w:bottom w:type="dxa" w:w="60"/>
              <w:right w:type="dxa" w:w="120"/>
            </w:tcMar>
          </w:tcPr>
          <w:p>
            <w:r>
              <w:rPr>
                <w:rFonts w:ascii="Arial" w:cs="Arial" w:eastAsia="Arial" w:hAnsi="Arial"/>
                <w:sz w:val="19"/>
                <w:szCs w:val="19"/>
              </w:rPr>
              <w:t xml:space="preserve">Medium</w:t>
            </w:r>
          </w:p>
        </w:tc>
        <w:tc>
          <w:tcPr>
            <w:tcW w:type="dxa" w:w="3000"/>
            <w:tcBorders>
              <w:top w:val="single" w:color="CCCCCC" w:sz="1"/>
              <w:left w:val="single" w:color="CCCCCC" w:sz="1"/>
              <w:bottom w:val="single" w:color="CCCCCC" w:sz="1"/>
              <w:right w:val="single" w:color="CCCCCC" w:sz="1"/>
            </w:tcBorders>
            <w:shd w:fill="F2F8FD" w:val="clear"/>
            <w:tcMar>
              <w:top w:type="dxa" w:w="60"/>
              <w:left w:type="dxa" w:w="120"/>
              <w:bottom w:type="dxa" w:w="60"/>
              <w:right w:type="dxa" w:w="120"/>
            </w:tcMar>
          </w:tcPr>
          <w:p>
            <w:r>
              <w:rPr>
                <w:rFonts w:ascii="Arial" w:cs="Arial" w:eastAsia="Arial" w:hAnsi="Arial"/>
                <w:sz w:val="19"/>
                <w:szCs w:val="19"/>
              </w:rPr>
              <w:t xml:space="preserve">2–4 hours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Deploy Tailscale for remote access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Medium</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30 minutes</w:t>
            </w:r>
          </w:p>
        </w:tc>
      </w:tr>
      <w:tr>
        <w:tc>
          <w:tcPr>
            <w:tcW w:type="dxa" w:w="3000"/>
            <w:tcBorders>
              <w:top w:val="single" w:color="CCCCCC" w:sz="1"/>
              <w:left w:val="single" w:color="CCCCCC" w:sz="1"/>
              <w:bottom w:val="single" w:color="CCCCCC" w:sz="1"/>
              <w:right w:val="single" w:color="CCCCCC" w:sz="1"/>
            </w:tcBorders>
            <w:shd w:fill="F2F8FD" w:val="clear"/>
            <w:tcMar>
              <w:top w:type="dxa" w:w="60"/>
              <w:left w:type="dxa" w:w="120"/>
              <w:bottom w:type="dxa" w:w="60"/>
              <w:right w:type="dxa" w:w="120"/>
            </w:tcMar>
          </w:tcPr>
          <w:p>
            <w:r>
              <w:rPr>
                <w:rFonts w:ascii="Arial" w:cs="Arial" w:eastAsia="Arial" w:hAnsi="Arial"/>
                <w:sz w:val="19"/>
                <w:szCs w:val="19"/>
              </w:rPr>
              <w:t xml:space="preserve">Enable automatic firmware updates</w:t>
            </w:r>
          </w:p>
        </w:tc>
        <w:tc>
          <w:tcPr>
            <w:tcW w:type="dxa" w:w="3000"/>
            <w:tcBorders>
              <w:top w:val="single" w:color="CCCCCC" w:sz="1"/>
              <w:left w:val="single" w:color="CCCCCC" w:sz="1"/>
              <w:bottom w:val="single" w:color="CCCCCC" w:sz="1"/>
              <w:right w:val="single" w:color="CCCCCC" w:sz="1"/>
            </w:tcBorders>
            <w:shd w:fill="F2F8FD" w:val="clear"/>
            <w:tcMar>
              <w:top w:type="dxa" w:w="60"/>
              <w:left w:type="dxa" w:w="120"/>
              <w:bottom w:type="dxa" w:w="60"/>
              <w:right w:type="dxa" w:w="120"/>
            </w:tcMar>
          </w:tcPr>
          <w:p>
            <w:r>
              <w:rPr>
                <w:rFonts w:ascii="Arial" w:cs="Arial" w:eastAsia="Arial" w:hAnsi="Arial"/>
                <w:sz w:val="19"/>
                <w:szCs w:val="19"/>
              </w:rPr>
              <w:t xml:space="preserve">Medium</w:t>
            </w:r>
          </w:p>
        </w:tc>
        <w:tc>
          <w:tcPr>
            <w:tcW w:type="dxa" w:w="3000"/>
            <w:tcBorders>
              <w:top w:val="single" w:color="CCCCCC" w:sz="1"/>
              <w:left w:val="single" w:color="CCCCCC" w:sz="1"/>
              <w:bottom w:val="single" w:color="CCCCCC" w:sz="1"/>
              <w:right w:val="single" w:color="CCCCCC" w:sz="1"/>
            </w:tcBorders>
            <w:shd w:fill="F2F8FD" w:val="clear"/>
            <w:tcMar>
              <w:top w:type="dxa" w:w="60"/>
              <w:left w:type="dxa" w:w="120"/>
              <w:bottom w:type="dxa" w:w="60"/>
              <w:right w:type="dxa" w:w="120"/>
            </w:tcMar>
          </w:tcPr>
          <w:p>
            <w:r>
              <w:rPr>
                <w:rFonts w:ascii="Arial" w:cs="Arial" w:eastAsia="Arial" w:hAnsi="Arial"/>
                <w:sz w:val="19"/>
                <w:szCs w:val="19"/>
              </w:rPr>
              <w:t xml:space="preserve">5 minutes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Audit connected devices monthly</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Ongoing</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15 min/month</w:t>
            </w:r>
          </w:p>
        </w:tc>
      </w:tr>
    </w:tbl>
    <w:p>
      <w:pPr>
        <w:spacing w:after="160"/>
      </w:pPr>
      <w:r>
        <w:t xml:space="preserve"/>
      </w:r>
    </w:p>
    <w:p>
      <w:pPr>
        <w:pStyle w:val="Heading2"/>
        <w:spacing w:after="160" w:before="320"/>
      </w:pPr>
      <w:r>
        <w:rPr>
          <w:rFonts w:ascii="Arial" w:cs="Arial" w:eastAsia="Arial" w:hAnsi="Arial"/>
          <w:b/>
          <w:bCs/>
          <w:color w:val="2C5F8A"/>
          <w:sz w:val="28"/>
          <w:szCs w:val="28"/>
        </w:rPr>
        <w:t xml:space="preserve">Best VPN Routers for Gamers in 2026: Our Assessment</w:t>
      </w:r>
    </w:p>
    <w:p>
      <w:pPr>
        <w:spacing w:after="160"/>
      </w:pPr>
      <w:r>
        <w:rPr>
          <w:rFonts w:ascii="Arial" w:cs="Arial" w:eastAsia="Arial" w:hAnsi="Arial"/>
          <w:sz w:val="22"/>
          <w:szCs w:val="22"/>
        </w:rPr>
        <w:t xml:space="preserve">Following CVE-2025-7850 and the KadNap campaign, our recommendation for gaming router selection in 2026 prioritizes security record over feature marketing.</w:t>
      </w:r>
    </w:p>
    <w:p>
      <w:pPr>
        <w:spacing w:after="160"/>
      </w:pPr>
      <w:r>
        <w:rPr>
          <w:rFonts w:ascii="Arial" w:cs="Arial" w:eastAsia="Arial" w:hAnsi="Arial"/>
          <w:sz w:val="22"/>
          <w:szCs w:val="22"/>
        </w:rPr>
        <w:t xml:space="preserve">First priority: firmware update track record. Asus has a stronger track record than TP-Link for their gaming-tier products. GL.iNet, building on OpenWrt, has the fastest typical patch-to-deployment cycle of any consumer router manufacturer we track.</w:t>
      </w:r>
    </w:p>
    <w:p>
      <w:pPr>
        <w:spacing w:after="160"/>
      </w:pPr>
      <w:r>
        <w:rPr>
          <w:rFonts w:ascii="Arial" w:cs="Arial" w:eastAsia="Arial" w:hAnsi="Arial"/>
          <w:sz w:val="22"/>
          <w:szCs w:val="22"/>
        </w:rPr>
        <w:t xml:space="preserve">Second priority: OpenWrt compatibility. Routers that run or support OpenWrt (openwrt.org) give permanent control over firmware security. When a manufacturer ends support, OpenWrt often continues providing updates.</w:t>
      </w:r>
    </w:p>
    <w:p>
      <w:pPr>
        <w:spacing w:after="160"/>
      </w:pPr>
      <w:r>
        <w:rPr>
          <w:rFonts w:ascii="Arial" w:cs="Arial" w:eastAsia="Arial" w:hAnsi="Arial"/>
          <w:sz w:val="22"/>
          <w:szCs w:val="22"/>
        </w:rPr>
        <w:t xml:space="preserve">Third priority: avoid closed-cloud-dependent features. Routers requiring manufacturer cloud connectivity for advanced features introduce a second attack surface. If that infrastructure is breached, your router may be accessible remotely regardless of local configuration.</w:t>
      </w:r>
    </w:p>
    <w:p>
      <w:pPr>
        <w:pStyle w:val="Heading2"/>
        <w:spacing w:after="160" w:before="320"/>
      </w:pPr>
      <w:r>
        <w:rPr>
          <w:rFonts w:ascii="Arial" w:cs="Arial" w:eastAsia="Arial" w:hAnsi="Arial"/>
          <w:b/>
          <w:bCs/>
          <w:color w:val="2C5F8A"/>
          <w:sz w:val="28"/>
          <w:szCs w:val="28"/>
        </w:rPr>
        <w:t xml:space="preserve">Expert Recommendation</w:t>
      </w:r>
    </w:p>
    <w:p>
      <w:pPr>
        <w:spacing w:after="160"/>
      </w:pPr>
      <w:r>
        <w:rPr>
          <w:rFonts w:ascii="Arial" w:cs="Arial" w:eastAsia="Arial" w:hAnsi="Arial"/>
          <w:sz w:val="22"/>
          <w:szCs w:val="22"/>
        </w:rPr>
        <w:t xml:space="preserve">The esports organization's compromised router had every manufacturer-provided gaming optimization feature enabled. It had never received a firmware update. The admin password was the default. Four months of persistent access through a completely preventable configuration failure.</w:t>
      </w:r>
    </w:p>
    <w:p>
      <w:pPr>
        <w:spacing w:after="160"/>
      </w:pPr>
      <w:r>
        <w:rPr>
          <w:rFonts w:ascii="Arial" w:cs="Arial" w:eastAsia="Arial" w:hAnsi="Arial"/>
          <w:sz w:val="22"/>
          <w:szCs w:val="22"/>
        </w:rPr>
        <w:t xml:space="preserve">Router security for gamers in 2026 requires treating your router as a security device, not a commodity appliance you configure once and forget. The immediate actions — patching CVE-2025-7850, disabling WPS and UPnP, changing default credentials — take under an hour and eliminate the vast majority of opportunistic attack vectors.</w:t>
      </w:r>
    </w:p>
    <w:p>
      <w:pPr>
        <w:spacing w:after="160"/>
      </w:pPr>
      <w:r>
        <w:rPr>
          <w:rFonts w:ascii="Arial" w:cs="Arial" w:eastAsia="Arial" w:hAnsi="Arial"/>
          <w:sz w:val="22"/>
          <w:szCs w:val="22"/>
        </w:rPr>
        <w:t xml:space="preserve">The structural change — VLAN segmentation — takes a few hours but changes your network's threat model permanently. A compromised IoT device behind a properly segmented network is a problem contained to that device. Without segmentation, it's a foothold into everything you own. Start with the checklist. Work through it this weekend.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2940"/>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2C5F8A"/>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1A527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2026-05-12T18:30:37.936Z</dcterms:created>
  <dcterms:modified xsi:type="dcterms:W3CDTF">2026-05-12T18:30:37.936Z</dcterms:modified>
</cp:coreProperties>
</file>

<file path=docProps/custom.xml><?xml version="1.0" encoding="utf-8"?>
<Properties xmlns="http://schemas.openxmlformats.org/officeDocument/2006/custom-properties" xmlns:vt="http://schemas.openxmlformats.org/officeDocument/2006/docPropsVTypes"/>
</file>