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04" w:rsidRPr="00E83877" w:rsidRDefault="00062604" w:rsidP="00E968CD">
      <w:pPr>
        <w:pStyle w:val="Heading1"/>
        <w:rPr>
          <w:rFonts w:ascii="Times New Roman" w:eastAsia="Times New Roman" w:hAnsi="Times New Roman" w:cs="Times New Roman"/>
          <w:b w:val="0"/>
          <w:szCs w:val="24"/>
        </w:rPr>
      </w:pPr>
      <w:bookmarkStart w:id="0" w:name="_Toc50580916"/>
      <w:r w:rsidRPr="00E83877">
        <w:rPr>
          <w:rFonts w:ascii="Times New Roman" w:eastAsia="Times New Roman" w:hAnsi="Times New Roman" w:cs="Times New Roman"/>
          <w:b w:val="0"/>
          <w:szCs w:val="24"/>
        </w:rPr>
        <w:t>Thực trạng quỹ đầu tư tại Việt Nam</w:t>
      </w:r>
      <w:bookmarkEnd w:id="0"/>
    </w:p>
    <w:p w:rsidR="00062604" w:rsidRPr="00E83877" w:rsidRDefault="00062604" w:rsidP="00E968CD">
      <w:pPr>
        <w:shd w:val="clear" w:color="auto" w:fill="FFFFFF"/>
        <w:spacing w:before="450" w:after="300" w:line="240" w:lineRule="auto"/>
        <w:textAlignment w:val="baseline"/>
        <w:outlineLvl w:val="1"/>
        <w:rPr>
          <w:rFonts w:ascii="Times New Roman" w:eastAsia="Times New Roman" w:hAnsi="Times New Roman" w:cs="Times New Roman"/>
          <w:bCs/>
          <w:color w:val="000000"/>
          <w:sz w:val="28"/>
          <w:szCs w:val="24"/>
        </w:rPr>
      </w:pPr>
      <w:r w:rsidRPr="00E83877">
        <w:rPr>
          <w:rFonts w:ascii="Times New Roman" w:eastAsia="Times New Roman" w:hAnsi="Times New Roman" w:cs="Times New Roman"/>
          <w:bCs/>
          <w:color w:val="000000"/>
          <w:sz w:val="28"/>
          <w:szCs w:val="24"/>
        </w:rPr>
        <w:br/>
      </w:r>
      <w:bookmarkStart w:id="1" w:name="_Toc50580917"/>
      <w:r w:rsidRPr="00E83877">
        <w:rPr>
          <w:rFonts w:ascii="Times New Roman" w:eastAsia="Times New Roman" w:hAnsi="Times New Roman" w:cs="Times New Roman"/>
          <w:bCs/>
          <w:color w:val="000000"/>
          <w:sz w:val="28"/>
          <w:szCs w:val="24"/>
        </w:rPr>
        <w:t>Mục lục</w:t>
      </w:r>
      <w:bookmarkEnd w:id="1"/>
      <w:r w:rsidRPr="00E83877">
        <w:rPr>
          <w:rFonts w:ascii="Times New Roman" w:eastAsia="Times New Roman" w:hAnsi="Times New Roman" w:cs="Times New Roman"/>
          <w:bCs/>
          <w:color w:val="000000"/>
          <w:sz w:val="28"/>
          <w:szCs w:val="24"/>
        </w:rPr>
        <w:t xml:space="preserve"> </w:t>
      </w:r>
    </w:p>
    <w:sdt>
      <w:sdtPr>
        <w:rPr>
          <w:rFonts w:ascii="Times New Roman" w:hAnsi="Times New Roman" w:cs="Times New Roman"/>
          <w:b w:val="0"/>
          <w:szCs w:val="24"/>
        </w:rPr>
        <w:id w:val="-786806694"/>
        <w:docPartObj>
          <w:docPartGallery w:val="Table of Contents"/>
          <w:docPartUnique/>
        </w:docPartObj>
      </w:sdtPr>
      <w:sdtEndPr>
        <w:rPr>
          <w:rFonts w:eastAsiaTheme="minorHAnsi"/>
          <w:noProof/>
          <w:color w:val="auto"/>
          <w:lang w:eastAsia="en-US"/>
        </w:rPr>
      </w:sdtEndPr>
      <w:sdtContent>
        <w:p w:rsidR="00062604" w:rsidRPr="00E83877" w:rsidRDefault="00062604" w:rsidP="00E968CD">
          <w:pPr>
            <w:pStyle w:val="TOCHeading"/>
            <w:rPr>
              <w:rFonts w:ascii="Times New Roman" w:hAnsi="Times New Roman" w:cs="Times New Roman"/>
              <w:b w:val="0"/>
              <w:szCs w:val="24"/>
            </w:rPr>
          </w:pPr>
          <w:r w:rsidRPr="00E83877">
            <w:rPr>
              <w:rFonts w:ascii="Times New Roman" w:hAnsi="Times New Roman" w:cs="Times New Roman"/>
              <w:b w:val="0"/>
              <w:szCs w:val="24"/>
            </w:rPr>
            <w:t>Table of Contents</w:t>
          </w:r>
        </w:p>
        <w:p w:rsidR="00FE16E1" w:rsidRPr="00E83877" w:rsidRDefault="00062604" w:rsidP="00E968CD">
          <w:pPr>
            <w:pStyle w:val="TOC1"/>
            <w:tabs>
              <w:tab w:val="right" w:leader="dot" w:pos="9350"/>
            </w:tabs>
            <w:rPr>
              <w:rFonts w:ascii="Times New Roman" w:eastAsiaTheme="minorEastAsia" w:hAnsi="Times New Roman" w:cs="Times New Roman"/>
              <w:noProof/>
              <w:sz w:val="28"/>
              <w:szCs w:val="24"/>
            </w:rPr>
          </w:pPr>
          <w:r w:rsidRPr="00E83877">
            <w:rPr>
              <w:rFonts w:ascii="Times New Roman" w:hAnsi="Times New Roman" w:cs="Times New Roman"/>
              <w:sz w:val="28"/>
              <w:szCs w:val="24"/>
            </w:rPr>
            <w:fldChar w:fldCharType="begin"/>
          </w:r>
          <w:r w:rsidRPr="00E83877">
            <w:rPr>
              <w:rFonts w:ascii="Times New Roman" w:hAnsi="Times New Roman" w:cs="Times New Roman"/>
              <w:sz w:val="28"/>
              <w:szCs w:val="24"/>
            </w:rPr>
            <w:instrText xml:space="preserve"> TOC \o "1-3" \h \z \u </w:instrText>
          </w:r>
          <w:r w:rsidRPr="00E83877">
            <w:rPr>
              <w:rFonts w:ascii="Times New Roman" w:hAnsi="Times New Roman" w:cs="Times New Roman"/>
              <w:sz w:val="28"/>
              <w:szCs w:val="24"/>
            </w:rPr>
            <w:fldChar w:fldCharType="separate"/>
          </w:r>
          <w:hyperlink w:anchor="_Toc50580916" w:history="1">
            <w:r w:rsidR="00FE16E1" w:rsidRPr="00E83877">
              <w:rPr>
                <w:rStyle w:val="Hyperlink"/>
                <w:rFonts w:ascii="Times New Roman" w:eastAsia="Times New Roman" w:hAnsi="Times New Roman" w:cs="Times New Roman"/>
                <w:noProof/>
                <w:sz w:val="28"/>
                <w:szCs w:val="24"/>
              </w:rPr>
              <w:t>Thực trạng quỹ đầu tư tại Việt Nam</w:t>
            </w:r>
            <w:r w:rsidR="00FE16E1" w:rsidRPr="00E83877">
              <w:rPr>
                <w:rFonts w:ascii="Times New Roman" w:hAnsi="Times New Roman" w:cs="Times New Roman"/>
                <w:noProof/>
                <w:webHidden/>
                <w:sz w:val="28"/>
                <w:szCs w:val="24"/>
              </w:rPr>
              <w:tab/>
            </w:r>
            <w:r w:rsidR="00FE16E1" w:rsidRPr="00E83877">
              <w:rPr>
                <w:rFonts w:ascii="Times New Roman" w:hAnsi="Times New Roman" w:cs="Times New Roman"/>
                <w:noProof/>
                <w:webHidden/>
                <w:sz w:val="28"/>
                <w:szCs w:val="24"/>
              </w:rPr>
              <w:fldChar w:fldCharType="begin"/>
            </w:r>
            <w:r w:rsidR="00FE16E1" w:rsidRPr="00E83877">
              <w:rPr>
                <w:rFonts w:ascii="Times New Roman" w:hAnsi="Times New Roman" w:cs="Times New Roman"/>
                <w:noProof/>
                <w:webHidden/>
                <w:sz w:val="28"/>
                <w:szCs w:val="24"/>
              </w:rPr>
              <w:instrText xml:space="preserve"> PAGEREF _Toc50580916 \h </w:instrText>
            </w:r>
            <w:r w:rsidR="00FE16E1" w:rsidRPr="00E83877">
              <w:rPr>
                <w:rFonts w:ascii="Times New Roman" w:hAnsi="Times New Roman" w:cs="Times New Roman"/>
                <w:noProof/>
                <w:webHidden/>
                <w:sz w:val="28"/>
                <w:szCs w:val="24"/>
              </w:rPr>
            </w:r>
            <w:r w:rsidR="00FE16E1" w:rsidRPr="00E83877">
              <w:rPr>
                <w:rFonts w:ascii="Times New Roman" w:hAnsi="Times New Roman" w:cs="Times New Roman"/>
                <w:noProof/>
                <w:webHidden/>
                <w:sz w:val="28"/>
                <w:szCs w:val="24"/>
              </w:rPr>
              <w:fldChar w:fldCharType="separate"/>
            </w:r>
            <w:r w:rsidR="00FE16E1" w:rsidRPr="00E83877">
              <w:rPr>
                <w:rFonts w:ascii="Times New Roman" w:hAnsi="Times New Roman" w:cs="Times New Roman"/>
                <w:noProof/>
                <w:webHidden/>
                <w:sz w:val="28"/>
                <w:szCs w:val="24"/>
              </w:rPr>
              <w:t>1</w:t>
            </w:r>
            <w:r w:rsidR="00FE16E1" w:rsidRPr="00E83877">
              <w:rPr>
                <w:rFonts w:ascii="Times New Roman" w:hAnsi="Times New Roman" w:cs="Times New Roman"/>
                <w:noProof/>
                <w:webHidden/>
                <w:sz w:val="28"/>
                <w:szCs w:val="24"/>
              </w:rPr>
              <w:fldChar w:fldCharType="end"/>
            </w:r>
          </w:hyperlink>
        </w:p>
        <w:p w:rsidR="00FE16E1" w:rsidRPr="00E83877" w:rsidRDefault="00FE16E1" w:rsidP="00E968CD">
          <w:pPr>
            <w:pStyle w:val="TOC2"/>
            <w:tabs>
              <w:tab w:val="right" w:leader="dot" w:pos="9350"/>
            </w:tabs>
            <w:rPr>
              <w:rFonts w:ascii="Times New Roman" w:eastAsiaTheme="minorEastAsia" w:hAnsi="Times New Roman" w:cs="Times New Roman"/>
              <w:noProof/>
              <w:sz w:val="28"/>
              <w:szCs w:val="24"/>
            </w:rPr>
          </w:pPr>
          <w:hyperlink w:anchor="_Toc50580917" w:history="1">
            <w:r w:rsidRPr="00E83877">
              <w:rPr>
                <w:rStyle w:val="Hyperlink"/>
                <w:rFonts w:ascii="Times New Roman" w:eastAsia="Times New Roman" w:hAnsi="Times New Roman" w:cs="Times New Roman"/>
                <w:bCs/>
                <w:noProof/>
                <w:sz w:val="28"/>
                <w:szCs w:val="24"/>
              </w:rPr>
              <w:t>Mục lục</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_Toc50580917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1</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2"/>
            <w:tabs>
              <w:tab w:val="right" w:leader="dot" w:pos="9350"/>
            </w:tabs>
            <w:rPr>
              <w:rFonts w:ascii="Times New Roman" w:eastAsiaTheme="minorEastAsia" w:hAnsi="Times New Roman" w:cs="Times New Roman"/>
              <w:noProof/>
              <w:sz w:val="28"/>
              <w:szCs w:val="24"/>
            </w:rPr>
          </w:pPr>
          <w:hyperlink w:anchor="_Toc50580918" w:history="1">
            <w:r w:rsidRPr="00E83877">
              <w:rPr>
                <w:rStyle w:val="Hyperlink"/>
                <w:rFonts w:ascii="Times New Roman" w:hAnsi="Times New Roman" w:cs="Times New Roman"/>
                <w:noProof/>
                <w:sz w:val="28"/>
                <w:szCs w:val="24"/>
              </w:rPr>
              <w:t>Qũy đầu tư ra đời như thế nào?</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_Toc50580918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1</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2"/>
            <w:tabs>
              <w:tab w:val="right" w:leader="dot" w:pos="9350"/>
            </w:tabs>
            <w:rPr>
              <w:rFonts w:ascii="Times New Roman" w:eastAsiaTheme="minorEastAsia" w:hAnsi="Times New Roman" w:cs="Times New Roman"/>
              <w:noProof/>
              <w:sz w:val="28"/>
              <w:szCs w:val="24"/>
            </w:rPr>
          </w:pPr>
          <w:hyperlink w:anchor="_Toc50580919" w:history="1">
            <w:r w:rsidRPr="00E83877">
              <w:rPr>
                <w:rStyle w:val="Hyperlink"/>
                <w:rFonts w:ascii="Times New Roman" w:eastAsia="Times New Roman" w:hAnsi="Times New Roman" w:cs="Times New Roman"/>
                <w:bCs/>
                <w:noProof/>
                <w:sz w:val="28"/>
                <w:szCs w:val="24"/>
              </w:rPr>
              <w:t>Thực trạng quỹ đầu tư tại Việt Nam</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_Toc50580919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1</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1"/>
            <w:tabs>
              <w:tab w:val="right" w:leader="dot" w:pos="9350"/>
            </w:tabs>
            <w:rPr>
              <w:rFonts w:ascii="Times New Roman" w:eastAsiaTheme="minorEastAsia" w:hAnsi="Times New Roman" w:cs="Times New Roman"/>
              <w:noProof/>
              <w:sz w:val="28"/>
              <w:szCs w:val="24"/>
            </w:rPr>
          </w:pPr>
          <w:hyperlink w:anchor="_Toc50580920" w:history="1">
            <w:r w:rsidRPr="00E83877">
              <w:rPr>
                <w:rStyle w:val="Hyperlink"/>
                <w:rFonts w:ascii="Times New Roman" w:hAnsi="Times New Roman" w:cs="Times New Roman"/>
                <w:noProof/>
                <w:sz w:val="28"/>
                <w:szCs w:val="24"/>
              </w:rPr>
              <w:t>- Định nghĩa</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_Toc50580920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2</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1"/>
            <w:tabs>
              <w:tab w:val="right" w:leader="dot" w:pos="9350"/>
            </w:tabs>
            <w:rPr>
              <w:rFonts w:ascii="Times New Roman" w:eastAsiaTheme="minorEastAsia" w:hAnsi="Times New Roman" w:cs="Times New Roman"/>
              <w:noProof/>
              <w:sz w:val="28"/>
              <w:szCs w:val="24"/>
            </w:rPr>
          </w:pPr>
          <w:hyperlink w:anchor="_Toc50580921" w:history="1">
            <w:r w:rsidRPr="00E83877">
              <w:rPr>
                <w:rStyle w:val="Hyperlink"/>
                <w:rFonts w:ascii="Times New Roman" w:eastAsia="Times New Roman" w:hAnsi="Times New Roman" w:cs="Times New Roman"/>
                <w:noProof/>
                <w:sz w:val="28"/>
                <w:szCs w:val="24"/>
              </w:rPr>
              <w:t>-Phân loại theo tiêu chí:</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_Toc50580921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2</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2"/>
            <w:tabs>
              <w:tab w:val="right" w:leader="dot" w:pos="9350"/>
            </w:tabs>
            <w:rPr>
              <w:rFonts w:ascii="Times New Roman" w:eastAsiaTheme="minorEastAsia" w:hAnsi="Times New Roman" w:cs="Times New Roman"/>
              <w:noProof/>
              <w:sz w:val="28"/>
              <w:szCs w:val="24"/>
            </w:rPr>
          </w:pPr>
          <w:hyperlink w:anchor="_Toc50580922" w:history="1">
            <w:r w:rsidRPr="00E83877">
              <w:rPr>
                <w:rStyle w:val="Hyperlink"/>
                <w:rFonts w:ascii="Times New Roman" w:hAnsi="Times New Roman" w:cs="Times New Roman"/>
                <w:noProof/>
                <w:sz w:val="28"/>
                <w:szCs w:val="24"/>
              </w:rPr>
              <w:t>Căn cứ vào quy mô, cách thức và tính chất góp vốn</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_Toc50580922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2</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3"/>
            <w:tabs>
              <w:tab w:val="right" w:leader="dot" w:pos="9350"/>
            </w:tabs>
            <w:rPr>
              <w:rFonts w:ascii="Times New Roman" w:eastAsiaTheme="minorEastAsia" w:hAnsi="Times New Roman" w:cs="Times New Roman"/>
              <w:noProof/>
              <w:sz w:val="28"/>
              <w:szCs w:val="24"/>
            </w:rPr>
          </w:pPr>
          <w:hyperlink w:anchor="_Toc50580923" w:history="1">
            <w:r w:rsidRPr="00E83877">
              <w:rPr>
                <w:rStyle w:val="Hyperlink"/>
                <w:rFonts w:ascii="Times New Roman" w:hAnsi="Times New Roman" w:cs="Times New Roman"/>
                <w:noProof/>
                <w:sz w:val="28"/>
                <w:szCs w:val="24"/>
              </w:rPr>
              <w:t>-Qũy đầu tư dạng đóng (Closed – end funds)</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_Toc50580923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3</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3"/>
            <w:tabs>
              <w:tab w:val="right" w:leader="dot" w:pos="9350"/>
            </w:tabs>
            <w:rPr>
              <w:rFonts w:ascii="Times New Roman" w:eastAsiaTheme="minorEastAsia" w:hAnsi="Times New Roman" w:cs="Times New Roman"/>
              <w:noProof/>
              <w:sz w:val="28"/>
              <w:szCs w:val="24"/>
            </w:rPr>
          </w:pPr>
          <w:hyperlink w:anchor="_Toc50580924" w:history="1">
            <w:r w:rsidRPr="00E83877">
              <w:rPr>
                <w:rStyle w:val="Hyperlink"/>
                <w:rFonts w:ascii="Times New Roman" w:hAnsi="Times New Roman" w:cs="Times New Roman"/>
                <w:noProof/>
                <w:sz w:val="28"/>
                <w:szCs w:val="24"/>
                <w:shd w:val="clear" w:color="auto" w:fill="F8F8F8"/>
              </w:rPr>
              <w:t>-Qũy đầu tư dạng mở (Open end funds).</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_Toc50580924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3</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2"/>
            <w:tabs>
              <w:tab w:val="right" w:leader="dot" w:pos="9350"/>
            </w:tabs>
            <w:rPr>
              <w:rFonts w:ascii="Times New Roman" w:eastAsiaTheme="minorEastAsia" w:hAnsi="Times New Roman" w:cs="Times New Roman"/>
              <w:noProof/>
              <w:sz w:val="28"/>
              <w:szCs w:val="24"/>
            </w:rPr>
          </w:pPr>
          <w:hyperlink w:anchor="_Toc50580925" w:history="1">
            <w:r w:rsidRPr="00E83877">
              <w:rPr>
                <w:rStyle w:val="Hyperlink"/>
                <w:rFonts w:ascii="Times New Roman" w:hAnsi="Times New Roman" w:cs="Times New Roman"/>
                <w:noProof/>
                <w:sz w:val="28"/>
                <w:szCs w:val="24"/>
                <w:shd w:val="clear" w:color="auto" w:fill="F8F8F8"/>
              </w:rPr>
              <w:t>Căn cứ vào cơ cầu tổ chức và hoạt động của quỹ:</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_Toc50580925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5</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3"/>
            <w:tabs>
              <w:tab w:val="right" w:leader="dot" w:pos="9350"/>
            </w:tabs>
            <w:rPr>
              <w:rFonts w:ascii="Times New Roman" w:eastAsiaTheme="minorEastAsia" w:hAnsi="Times New Roman" w:cs="Times New Roman"/>
              <w:noProof/>
              <w:sz w:val="28"/>
              <w:szCs w:val="24"/>
            </w:rPr>
          </w:pPr>
          <w:hyperlink w:anchor="_Toc50580926" w:history="1">
            <w:r w:rsidRPr="00E83877">
              <w:rPr>
                <w:rStyle w:val="Hyperlink"/>
                <w:rFonts w:ascii="Times New Roman" w:hAnsi="Times New Roman" w:cs="Times New Roman"/>
                <w:noProof/>
                <w:sz w:val="28"/>
                <w:szCs w:val="24"/>
              </w:rPr>
              <w:t>–Qũy đầu tư dạng công ty</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_Toc50580926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5</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3"/>
            <w:tabs>
              <w:tab w:val="right" w:leader="dot" w:pos="9350"/>
            </w:tabs>
            <w:rPr>
              <w:rFonts w:ascii="Times New Roman" w:eastAsiaTheme="minorEastAsia" w:hAnsi="Times New Roman" w:cs="Times New Roman"/>
              <w:noProof/>
              <w:sz w:val="28"/>
              <w:szCs w:val="24"/>
            </w:rPr>
          </w:pPr>
          <w:hyperlink w:anchor="_Toc50580927" w:history="1">
            <w:r w:rsidRPr="00E83877">
              <w:rPr>
                <w:rStyle w:val="Hyperlink"/>
                <w:rFonts w:ascii="Times New Roman" w:hAnsi="Times New Roman" w:cs="Times New Roman"/>
                <w:noProof/>
                <w:sz w:val="28"/>
                <w:szCs w:val="24"/>
              </w:rPr>
              <w:t>Qũy đầu tư dạng Tín thác\Hợp đồng</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_Toc50580927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5</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2"/>
            <w:tabs>
              <w:tab w:val="right" w:leader="dot" w:pos="9350"/>
            </w:tabs>
            <w:rPr>
              <w:rFonts w:ascii="Times New Roman" w:eastAsiaTheme="minorEastAsia" w:hAnsi="Times New Roman" w:cs="Times New Roman"/>
              <w:noProof/>
              <w:sz w:val="28"/>
              <w:szCs w:val="24"/>
            </w:rPr>
          </w:pPr>
          <w:hyperlink w:anchor="_Toc50580928" w:history="1">
            <w:r w:rsidRPr="00E83877">
              <w:rPr>
                <w:rStyle w:val="Hyperlink"/>
                <w:rFonts w:ascii="Times New Roman" w:hAnsi="Times New Roman" w:cs="Times New Roman"/>
                <w:noProof/>
                <w:sz w:val="28"/>
                <w:szCs w:val="24"/>
              </w:rPr>
              <w:t>Căn cứ vào nguồn vốn huy động</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_Toc50580928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5</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3"/>
            <w:tabs>
              <w:tab w:val="right" w:leader="dot" w:pos="9350"/>
            </w:tabs>
            <w:rPr>
              <w:rFonts w:ascii="Times New Roman" w:eastAsiaTheme="minorEastAsia" w:hAnsi="Times New Roman" w:cs="Times New Roman"/>
              <w:noProof/>
              <w:sz w:val="28"/>
              <w:szCs w:val="24"/>
            </w:rPr>
          </w:pPr>
          <w:hyperlink w:anchor="_Toc50580929" w:history="1">
            <w:r w:rsidRPr="00E83877">
              <w:rPr>
                <w:rStyle w:val="Hyperlink"/>
                <w:rFonts w:ascii="Times New Roman" w:hAnsi="Times New Roman" w:cs="Times New Roman"/>
                <w:noProof/>
                <w:sz w:val="28"/>
                <w:szCs w:val="24"/>
              </w:rPr>
              <w:t>Quỹ đầu tư tập thể (Qũy công chúng)</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_Toc50580929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6</w:t>
            </w:r>
            <w:r w:rsidRPr="00E83877">
              <w:rPr>
                <w:rFonts w:ascii="Times New Roman" w:hAnsi="Times New Roman" w:cs="Times New Roman"/>
                <w:noProof/>
                <w:webHidden/>
                <w:sz w:val="28"/>
                <w:szCs w:val="24"/>
              </w:rPr>
              <w:fldChar w:fldCharType="end"/>
            </w:r>
          </w:hyperlink>
        </w:p>
        <w:p w:rsidR="00FE16E1" w:rsidRPr="00E83877" w:rsidRDefault="00FE16E1" w:rsidP="00E968CD">
          <w:pPr>
            <w:pStyle w:val="TOC3"/>
            <w:tabs>
              <w:tab w:val="right" w:leader="dot" w:pos="9350"/>
            </w:tabs>
            <w:rPr>
              <w:rFonts w:ascii="Times New Roman" w:eastAsiaTheme="minorEastAsia" w:hAnsi="Times New Roman" w:cs="Times New Roman"/>
              <w:noProof/>
              <w:sz w:val="28"/>
              <w:szCs w:val="24"/>
            </w:rPr>
          </w:pPr>
          <w:hyperlink w:anchor="_Toc50580930" w:history="1">
            <w:r w:rsidRPr="00E83877">
              <w:rPr>
                <w:rStyle w:val="Hyperlink"/>
                <w:rFonts w:ascii="Times New Roman" w:hAnsi="Times New Roman" w:cs="Times New Roman"/>
                <w:noProof/>
                <w:sz w:val="28"/>
                <w:szCs w:val="24"/>
                <w:shd w:val="clear" w:color="auto" w:fill="F8F8F8"/>
              </w:rPr>
              <w:t>-Quỹ đầu tư tư nhân (Quỹ thành viên )</w:t>
            </w:r>
            <w:r w:rsidRPr="00E83877">
              <w:rPr>
                <w:rFonts w:ascii="Times New Roman" w:hAnsi="Times New Roman" w:cs="Times New Roman"/>
                <w:noProof/>
                <w:webHidden/>
                <w:sz w:val="28"/>
                <w:szCs w:val="24"/>
              </w:rPr>
              <w:tab/>
            </w:r>
            <w:r w:rsidRPr="00E83877">
              <w:rPr>
                <w:rFonts w:ascii="Times New Roman" w:hAnsi="Times New Roman" w:cs="Times New Roman"/>
                <w:noProof/>
                <w:webHidden/>
                <w:sz w:val="28"/>
                <w:szCs w:val="24"/>
              </w:rPr>
              <w:fldChar w:fldCharType="begin"/>
            </w:r>
            <w:r w:rsidRPr="00E83877">
              <w:rPr>
                <w:rFonts w:ascii="Times New Roman" w:hAnsi="Times New Roman" w:cs="Times New Roman"/>
                <w:noProof/>
                <w:webHidden/>
                <w:sz w:val="28"/>
                <w:szCs w:val="24"/>
              </w:rPr>
              <w:instrText xml:space="preserve"> PAGEREF _Toc50580930 \h </w:instrText>
            </w:r>
            <w:r w:rsidRPr="00E83877">
              <w:rPr>
                <w:rFonts w:ascii="Times New Roman" w:hAnsi="Times New Roman" w:cs="Times New Roman"/>
                <w:noProof/>
                <w:webHidden/>
                <w:sz w:val="28"/>
                <w:szCs w:val="24"/>
              </w:rPr>
            </w:r>
            <w:r w:rsidRPr="00E83877">
              <w:rPr>
                <w:rFonts w:ascii="Times New Roman" w:hAnsi="Times New Roman" w:cs="Times New Roman"/>
                <w:noProof/>
                <w:webHidden/>
                <w:sz w:val="28"/>
                <w:szCs w:val="24"/>
              </w:rPr>
              <w:fldChar w:fldCharType="separate"/>
            </w:r>
            <w:r w:rsidRPr="00E83877">
              <w:rPr>
                <w:rFonts w:ascii="Times New Roman" w:hAnsi="Times New Roman" w:cs="Times New Roman"/>
                <w:noProof/>
                <w:webHidden/>
                <w:sz w:val="28"/>
                <w:szCs w:val="24"/>
              </w:rPr>
              <w:t>6</w:t>
            </w:r>
            <w:r w:rsidRPr="00E83877">
              <w:rPr>
                <w:rFonts w:ascii="Times New Roman" w:hAnsi="Times New Roman" w:cs="Times New Roman"/>
                <w:noProof/>
                <w:webHidden/>
                <w:sz w:val="28"/>
                <w:szCs w:val="24"/>
              </w:rPr>
              <w:fldChar w:fldCharType="end"/>
            </w:r>
          </w:hyperlink>
        </w:p>
        <w:p w:rsidR="00062604" w:rsidRPr="00E83877" w:rsidRDefault="00062604" w:rsidP="00E968CD">
          <w:pPr>
            <w:rPr>
              <w:rFonts w:ascii="Times New Roman" w:hAnsi="Times New Roman" w:cs="Times New Roman"/>
              <w:sz w:val="28"/>
              <w:szCs w:val="24"/>
            </w:rPr>
          </w:pPr>
          <w:r w:rsidRPr="00E83877">
            <w:rPr>
              <w:rFonts w:ascii="Times New Roman" w:hAnsi="Times New Roman" w:cs="Times New Roman"/>
              <w:bCs/>
              <w:noProof/>
              <w:sz w:val="28"/>
              <w:szCs w:val="24"/>
            </w:rPr>
            <w:fldChar w:fldCharType="end"/>
          </w:r>
        </w:p>
      </w:sdtContent>
    </w:sdt>
    <w:p w:rsidR="00A06967" w:rsidRPr="00E83877" w:rsidRDefault="00062604" w:rsidP="00E968CD">
      <w:pPr>
        <w:pStyle w:val="Heading2"/>
        <w:rPr>
          <w:b w:val="0"/>
          <w:bCs w:val="0"/>
          <w:color w:val="000000"/>
          <w:sz w:val="28"/>
          <w:szCs w:val="24"/>
        </w:rPr>
      </w:pPr>
      <w:r w:rsidRPr="00E83877">
        <w:rPr>
          <w:b w:val="0"/>
          <w:bCs w:val="0"/>
          <w:color w:val="000000"/>
          <w:sz w:val="28"/>
          <w:szCs w:val="24"/>
        </w:rPr>
        <w:br/>
      </w:r>
      <w:r w:rsidR="00335206" w:rsidRPr="00E83877">
        <w:rPr>
          <w:b w:val="0"/>
          <w:bCs w:val="0"/>
          <w:color w:val="000000"/>
          <w:sz w:val="28"/>
          <w:szCs w:val="24"/>
        </w:rPr>
        <w:br/>
      </w:r>
      <w:bookmarkStart w:id="2" w:name="_Toc50580918"/>
      <w:proofErr w:type="gramStart"/>
      <w:r w:rsidR="00A06967" w:rsidRPr="00E83877">
        <w:rPr>
          <w:b w:val="0"/>
          <w:color w:val="000000"/>
          <w:sz w:val="28"/>
          <w:szCs w:val="24"/>
        </w:rPr>
        <w:t>Qũy đầu tư ra đời như thế nào?</w:t>
      </w:r>
      <w:bookmarkEnd w:id="2"/>
      <w:proofErr w:type="gramEnd"/>
    </w:p>
    <w:p w:rsidR="00A06967" w:rsidRPr="00E83877" w:rsidRDefault="00A06967" w:rsidP="00E968CD">
      <w:pPr>
        <w:shd w:val="clear" w:color="auto" w:fill="FFFFFF"/>
        <w:spacing w:after="0" w:line="240" w:lineRule="auto"/>
        <w:textAlignment w:val="baseline"/>
        <w:rPr>
          <w:rFonts w:ascii="Times New Roman" w:eastAsia="Times New Roman" w:hAnsi="Times New Roman" w:cs="Times New Roman"/>
          <w:bCs/>
          <w:color w:val="313131"/>
          <w:sz w:val="28"/>
          <w:szCs w:val="24"/>
          <w:bdr w:val="none" w:sz="0" w:space="0" w:color="auto" w:frame="1"/>
        </w:rPr>
      </w:pPr>
      <w:r w:rsidRPr="00E83877">
        <w:rPr>
          <w:rFonts w:ascii="Times New Roman" w:eastAsia="Times New Roman" w:hAnsi="Times New Roman" w:cs="Times New Roman"/>
          <w:bCs/>
          <w:color w:val="313131"/>
          <w:sz w:val="28"/>
          <w:szCs w:val="24"/>
          <w:bdr w:val="none" w:sz="0" w:space="0" w:color="auto" w:frame="1"/>
        </w:rPr>
        <w:t>Lịch sử hình thành</w:t>
      </w:r>
    </w:p>
    <w:p w:rsidR="00F4392D" w:rsidRPr="00E83877" w:rsidRDefault="00F4392D" w:rsidP="00E968CD">
      <w:pPr>
        <w:shd w:val="clear" w:color="auto" w:fill="FFFFFF"/>
        <w:spacing w:after="0" w:line="240" w:lineRule="auto"/>
        <w:textAlignment w:val="baseline"/>
        <w:rPr>
          <w:rFonts w:ascii="Times New Roman" w:eastAsia="Times New Roman" w:hAnsi="Times New Roman" w:cs="Times New Roman"/>
          <w:color w:val="313131"/>
          <w:sz w:val="28"/>
          <w:szCs w:val="24"/>
        </w:rPr>
      </w:pPr>
    </w:p>
    <w:p w:rsidR="00A06967" w:rsidRPr="00E83877" w:rsidRDefault="00A06967" w:rsidP="00E968CD">
      <w:pPr>
        <w:shd w:val="clear" w:color="auto" w:fill="FFFFFF"/>
        <w:spacing w:after="0" w:line="240" w:lineRule="auto"/>
        <w:textAlignment w:val="baseline"/>
        <w:rPr>
          <w:rFonts w:ascii="Times New Roman" w:eastAsia="Times New Roman" w:hAnsi="Times New Roman" w:cs="Times New Roman"/>
          <w:color w:val="313131"/>
          <w:sz w:val="28"/>
          <w:szCs w:val="24"/>
        </w:rPr>
      </w:pPr>
      <w:r w:rsidRPr="00E83877">
        <w:rPr>
          <w:rFonts w:ascii="Times New Roman" w:eastAsia="Times New Roman" w:hAnsi="Times New Roman" w:cs="Times New Roman"/>
          <w:bCs/>
          <w:color w:val="313131"/>
          <w:sz w:val="28"/>
          <w:szCs w:val="24"/>
          <w:bdr w:val="none" w:sz="0" w:space="0" w:color="auto" w:frame="1"/>
        </w:rPr>
        <w:t>Nguyên nhân hình thành mô hình “Qũy đầu tư”</w:t>
      </w:r>
    </w:p>
    <w:p w:rsidR="00A06967" w:rsidRPr="00E83877" w:rsidRDefault="00A06967" w:rsidP="00E968CD">
      <w:pPr>
        <w:shd w:val="clear" w:color="auto" w:fill="FFFFFF"/>
        <w:spacing w:before="450" w:after="300" w:line="240" w:lineRule="auto"/>
        <w:textAlignment w:val="baseline"/>
        <w:outlineLvl w:val="1"/>
        <w:rPr>
          <w:rFonts w:ascii="Times New Roman" w:eastAsia="Times New Roman" w:hAnsi="Times New Roman" w:cs="Times New Roman"/>
          <w:bCs/>
          <w:color w:val="000000"/>
          <w:sz w:val="28"/>
          <w:szCs w:val="24"/>
        </w:rPr>
      </w:pPr>
      <w:bookmarkStart w:id="3" w:name="_Toc50580919"/>
      <w:r w:rsidRPr="00E83877">
        <w:rPr>
          <w:rFonts w:ascii="Times New Roman" w:eastAsia="Times New Roman" w:hAnsi="Times New Roman" w:cs="Times New Roman"/>
          <w:bCs/>
          <w:color w:val="000000"/>
          <w:sz w:val="28"/>
          <w:szCs w:val="24"/>
        </w:rPr>
        <w:lastRenderedPageBreak/>
        <w:t>Thực trạng quỹ đầu tư tại Việt Nam</w:t>
      </w:r>
      <w:bookmarkEnd w:id="3"/>
    </w:p>
    <w:p w:rsidR="00A06967" w:rsidRPr="00E83877"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4"/>
        </w:rPr>
      </w:pPr>
      <w:r w:rsidRPr="00E83877">
        <w:rPr>
          <w:rFonts w:ascii="Times New Roman" w:eastAsia="Times New Roman" w:hAnsi="Times New Roman" w:cs="Times New Roman"/>
          <w:color w:val="313131"/>
          <w:sz w:val="28"/>
          <w:szCs w:val="24"/>
        </w:rPr>
        <w:t>Quỹ đầu tư gia tăng về số lượng và đa dạng về loại hình.</w:t>
      </w:r>
    </w:p>
    <w:p w:rsidR="00A06967" w:rsidRPr="00E83877"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4"/>
        </w:rPr>
      </w:pPr>
      <w:r w:rsidRPr="00E83877">
        <w:rPr>
          <w:rFonts w:ascii="Times New Roman" w:eastAsia="Times New Roman" w:hAnsi="Times New Roman" w:cs="Times New Roman"/>
          <w:noProof/>
          <w:color w:val="313131"/>
          <w:sz w:val="28"/>
          <w:szCs w:val="24"/>
        </w:rPr>
        <w:drawing>
          <wp:inline distT="0" distB="0" distL="0" distR="0" wp14:anchorId="0E93A7E4" wp14:editId="519C9358">
            <wp:extent cx="5715000" cy="2457450"/>
            <wp:effectExtent l="0" t="0" r="0" b="0"/>
            <wp:docPr id="1" name="Picture 1" descr="Thực trạng quỹ đầu tư tại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ực trạng quỹ đầu tư tại việt 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A06967" w:rsidRPr="00E83877"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4"/>
        </w:rPr>
      </w:pPr>
      <w:r w:rsidRPr="00E83877">
        <w:rPr>
          <w:rFonts w:ascii="Times New Roman" w:eastAsia="Times New Roman" w:hAnsi="Times New Roman" w:cs="Times New Roman"/>
          <w:color w:val="313131"/>
          <w:sz w:val="28"/>
          <w:szCs w:val="24"/>
        </w:rPr>
        <w:t xml:space="preserve">Quỹ đầu tư tại Việt Nam đã hình thành và nhanh chóng trở thành một trong những kênh đầu tư hấp đẫn cho các nhà đầu </w:t>
      </w:r>
      <w:proofErr w:type="gramStart"/>
      <w:r w:rsidRPr="00E83877">
        <w:rPr>
          <w:rFonts w:ascii="Times New Roman" w:eastAsia="Times New Roman" w:hAnsi="Times New Roman" w:cs="Times New Roman"/>
          <w:color w:val="313131"/>
          <w:sz w:val="28"/>
          <w:szCs w:val="24"/>
        </w:rPr>
        <w:t>tư</w:t>
      </w:r>
      <w:proofErr w:type="gramEnd"/>
      <w:r w:rsidRPr="00E83877">
        <w:rPr>
          <w:rFonts w:ascii="Times New Roman" w:eastAsia="Times New Roman" w:hAnsi="Times New Roman" w:cs="Times New Roman"/>
          <w:color w:val="313131"/>
          <w:sz w:val="28"/>
          <w:szCs w:val="24"/>
        </w:rPr>
        <w:t>. Khởi đầu năm 2003 với một công ty quản lý quỹ đầu tiên và năm 2004 hình thành quỹ đầu tư đầu tiên thì sau 13 năm, hiện nay số lượng quỹ và các loại quỹ tại Việt Nam cũng tăng lên nhanh chóng, đáp ứng nhu cầu đầu tư từ thị trường.</w:t>
      </w:r>
    </w:p>
    <w:p w:rsidR="00A06967" w:rsidRPr="00E83877"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4"/>
        </w:rPr>
      </w:pPr>
      <w:proofErr w:type="gramStart"/>
      <w:r w:rsidRPr="00E83877">
        <w:rPr>
          <w:rFonts w:ascii="Times New Roman" w:eastAsia="Times New Roman" w:hAnsi="Times New Roman" w:cs="Times New Roman"/>
          <w:color w:val="313131"/>
          <w:sz w:val="28"/>
          <w:szCs w:val="24"/>
        </w:rPr>
        <w:t>Tính đến 30/9/2016, tổng giá trị tài sản quản lý lên tới 7,171 tỷ đồng.</w:t>
      </w:r>
      <w:proofErr w:type="gramEnd"/>
      <w:r w:rsidRPr="00E83877">
        <w:rPr>
          <w:rFonts w:ascii="Times New Roman" w:eastAsia="Times New Roman" w:hAnsi="Times New Roman" w:cs="Times New Roman"/>
          <w:color w:val="313131"/>
          <w:sz w:val="28"/>
          <w:szCs w:val="24"/>
        </w:rPr>
        <w:t xml:space="preserve"> Hầu hết các quỹ đều có mức tăng trưởng NAV (giá trị tài sản ròng) khá ổn định. </w:t>
      </w:r>
      <w:proofErr w:type="gramStart"/>
      <w:r w:rsidRPr="00E83877">
        <w:rPr>
          <w:rFonts w:ascii="Times New Roman" w:eastAsia="Times New Roman" w:hAnsi="Times New Roman" w:cs="Times New Roman"/>
          <w:color w:val="313131"/>
          <w:sz w:val="28"/>
          <w:szCs w:val="24"/>
        </w:rPr>
        <w:t>Trong 9 tháng đầu năm 2016, tổng NAV của các quỹ tăng khoảng 2.6 tỷ đồng.</w:t>
      </w:r>
      <w:proofErr w:type="gramEnd"/>
    </w:p>
    <w:p w:rsidR="00A06967" w:rsidRPr="00E83877"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4"/>
        </w:rPr>
      </w:pPr>
      <w:r w:rsidRPr="00E83877">
        <w:rPr>
          <w:rFonts w:ascii="Times New Roman" w:eastAsia="Times New Roman" w:hAnsi="Times New Roman" w:cs="Times New Roman"/>
          <w:color w:val="313131"/>
          <w:sz w:val="28"/>
          <w:szCs w:val="24"/>
        </w:rPr>
        <w:t>Quỹ mở dần chiếm ưu thế và thay thế quỹ đóng do bản chất của quỹ đóng là không thực hiện mua lại chứng chỉ quỹ của nhà đầu tư đến khi đóng quỹ, thời gian rút vốn dài từ 3-7 năm, chính vì thế các nhà đầu tư có nhu cầu rút vốn sẽ phải niêm yết chứng chỉ quỹ và bán trên thị trường thứ cấp.</w:t>
      </w:r>
    </w:p>
    <w:p w:rsidR="00A06967" w:rsidRPr="00E83877"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4"/>
        </w:rPr>
      </w:pPr>
      <w:bookmarkStart w:id="4" w:name="_Toc50580920"/>
      <w:r w:rsidRPr="00E83877">
        <w:rPr>
          <w:rStyle w:val="Heading1Char"/>
          <w:rFonts w:ascii="Times New Roman" w:hAnsi="Times New Roman" w:cs="Times New Roman"/>
          <w:b w:val="0"/>
          <w:szCs w:val="24"/>
        </w:rPr>
        <w:t>- Định nghĩa</w:t>
      </w:r>
      <w:bookmarkEnd w:id="4"/>
      <w:r w:rsidRPr="00E83877">
        <w:rPr>
          <w:rFonts w:ascii="Times New Roman" w:eastAsia="Times New Roman" w:hAnsi="Times New Roman" w:cs="Times New Roman"/>
          <w:color w:val="313131"/>
          <w:sz w:val="28"/>
          <w:szCs w:val="24"/>
        </w:rPr>
        <w:br/>
        <w:t>Qũy đầu tư là một tổ chức đầu tư chuyên nghiệp do các nhà đầu tư cùng góp vốn. Từ những khoản tiền tiết kiệm, nhàn rỗi phân tán trong dân chúng được tập trung lại thành các nguồn vốn lớn cho các nhà chuyên nghiệp sử dụng trong lĩnh vực đầu tư kiếm lời và phân chia cổ tức cho các cổ đông góp vốn.</w:t>
      </w:r>
    </w:p>
    <w:p w:rsidR="00A06967" w:rsidRPr="00E83877"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4"/>
        </w:rPr>
      </w:pPr>
    </w:p>
    <w:p w:rsidR="00A06967" w:rsidRPr="00E83877" w:rsidRDefault="00FE16E1" w:rsidP="00E968CD">
      <w:pPr>
        <w:pStyle w:val="Heading1"/>
        <w:rPr>
          <w:rFonts w:ascii="Times New Roman" w:eastAsia="Times New Roman" w:hAnsi="Times New Roman" w:cs="Times New Roman"/>
          <w:b w:val="0"/>
          <w:szCs w:val="24"/>
        </w:rPr>
      </w:pPr>
      <w:bookmarkStart w:id="5" w:name="_Toc50580921"/>
      <w:r w:rsidRPr="00E83877">
        <w:rPr>
          <w:rFonts w:ascii="Times New Roman" w:eastAsia="Times New Roman" w:hAnsi="Times New Roman" w:cs="Times New Roman"/>
          <w:b w:val="0"/>
          <w:szCs w:val="24"/>
        </w:rPr>
        <w:lastRenderedPageBreak/>
        <w:t xml:space="preserve"> </w:t>
      </w:r>
      <w:r w:rsidR="00A06967" w:rsidRPr="00E83877">
        <w:rPr>
          <w:rFonts w:ascii="Times New Roman" w:eastAsia="Times New Roman" w:hAnsi="Times New Roman" w:cs="Times New Roman"/>
          <w:b w:val="0"/>
          <w:szCs w:val="24"/>
        </w:rPr>
        <w:t>Phân loại</w:t>
      </w:r>
      <w:r w:rsidR="00F956D8" w:rsidRPr="00E83877">
        <w:rPr>
          <w:rFonts w:ascii="Times New Roman" w:eastAsia="Times New Roman" w:hAnsi="Times New Roman" w:cs="Times New Roman"/>
          <w:b w:val="0"/>
          <w:szCs w:val="24"/>
        </w:rPr>
        <w:t xml:space="preserve"> </w:t>
      </w:r>
      <w:proofErr w:type="gramStart"/>
      <w:r w:rsidR="00F956D8" w:rsidRPr="00E83877">
        <w:rPr>
          <w:rFonts w:ascii="Times New Roman" w:eastAsia="Times New Roman" w:hAnsi="Times New Roman" w:cs="Times New Roman"/>
          <w:b w:val="0"/>
          <w:szCs w:val="24"/>
        </w:rPr>
        <w:t>theo</w:t>
      </w:r>
      <w:proofErr w:type="gramEnd"/>
      <w:r w:rsidR="00F956D8" w:rsidRPr="00E83877">
        <w:rPr>
          <w:rFonts w:ascii="Times New Roman" w:eastAsia="Times New Roman" w:hAnsi="Times New Roman" w:cs="Times New Roman"/>
          <w:b w:val="0"/>
          <w:szCs w:val="24"/>
        </w:rPr>
        <w:t xml:space="preserve"> tiêu chí:</w:t>
      </w:r>
      <w:bookmarkEnd w:id="5"/>
    </w:p>
    <w:p w:rsidR="00062604" w:rsidRPr="00E83877" w:rsidRDefault="00062604" w:rsidP="00E968CD">
      <w:pPr>
        <w:rPr>
          <w:rFonts w:ascii="Times New Roman" w:hAnsi="Times New Roman" w:cs="Times New Roman"/>
          <w:sz w:val="28"/>
          <w:szCs w:val="24"/>
        </w:rPr>
      </w:pPr>
    </w:p>
    <w:p w:rsidR="00062604" w:rsidRPr="00E83877" w:rsidRDefault="00A06967" w:rsidP="00E968CD">
      <w:pPr>
        <w:pStyle w:val="Heading2"/>
        <w:rPr>
          <w:b w:val="0"/>
          <w:color w:val="333333"/>
          <w:sz w:val="28"/>
          <w:szCs w:val="24"/>
          <w:shd w:val="clear" w:color="auto" w:fill="F8F8F8"/>
        </w:rPr>
      </w:pPr>
      <w:bookmarkStart w:id="6" w:name="_Toc50580922"/>
      <w:r w:rsidRPr="00E83877">
        <w:rPr>
          <w:rStyle w:val="Heading2Char"/>
          <w:sz w:val="28"/>
          <w:szCs w:val="24"/>
        </w:rPr>
        <w:t>Căn cứ vào quy mô, cách thức và tính chất góp vốn</w:t>
      </w:r>
      <w:bookmarkEnd w:id="6"/>
      <w:r w:rsidRPr="00E83877">
        <w:rPr>
          <w:b w:val="0"/>
          <w:color w:val="333333"/>
          <w:sz w:val="28"/>
          <w:szCs w:val="24"/>
          <w:shd w:val="clear" w:color="auto" w:fill="F8F8F8"/>
        </w:rPr>
        <w:t xml:space="preserve"> </w:t>
      </w:r>
    </w:p>
    <w:p w:rsidR="00F4392D" w:rsidRPr="00E83877" w:rsidRDefault="00A06967" w:rsidP="00E968CD">
      <w:pPr>
        <w:pStyle w:val="Heading3"/>
        <w:rPr>
          <w:rStyle w:val="Heading3Char"/>
          <w:rFonts w:ascii="Times New Roman" w:hAnsi="Times New Roman" w:cs="Times New Roman"/>
          <w:sz w:val="28"/>
          <w:szCs w:val="24"/>
        </w:rPr>
      </w:pPr>
      <w:r w:rsidRPr="00E83877">
        <w:rPr>
          <w:rFonts w:ascii="Times New Roman" w:hAnsi="Times New Roman" w:cs="Times New Roman"/>
          <w:b w:val="0"/>
          <w:color w:val="333333"/>
          <w:sz w:val="28"/>
          <w:szCs w:val="24"/>
          <w:shd w:val="clear" w:color="auto" w:fill="F8F8F8"/>
        </w:rPr>
        <w:br/>
      </w:r>
      <w:bookmarkStart w:id="7" w:name="_Toc50580923"/>
      <w:r w:rsidRPr="00E83877">
        <w:rPr>
          <w:rFonts w:ascii="Times New Roman" w:hAnsi="Times New Roman" w:cs="Times New Roman"/>
          <w:b w:val="0"/>
          <w:sz w:val="28"/>
          <w:szCs w:val="24"/>
        </w:rPr>
        <w:t>-Qũy đầu tư dạng đóng (Closed – end funds)</w:t>
      </w:r>
      <w:bookmarkEnd w:id="7"/>
      <w:r w:rsidRPr="00E83877">
        <w:rPr>
          <w:rStyle w:val="Heading3Char"/>
          <w:rFonts w:ascii="Times New Roman" w:hAnsi="Times New Roman" w:cs="Times New Roman"/>
          <w:sz w:val="28"/>
          <w:szCs w:val="24"/>
        </w:rPr>
        <w:t xml:space="preserve"> </w:t>
      </w:r>
    </w:p>
    <w:p w:rsidR="00F4392D" w:rsidRPr="00E83877" w:rsidRDefault="00F4392D" w:rsidP="00E968CD">
      <w:pPr>
        <w:shd w:val="clear" w:color="auto" w:fill="FFFFFF"/>
        <w:spacing w:after="300" w:line="240" w:lineRule="auto"/>
        <w:textAlignment w:val="baseline"/>
        <w:rPr>
          <w:rFonts w:ascii="Times New Roman" w:hAnsi="Times New Roman" w:cs="Times New Roman"/>
          <w:color w:val="FF0000"/>
          <w:sz w:val="28"/>
          <w:szCs w:val="24"/>
          <w:shd w:val="clear" w:color="auto" w:fill="F8F8F8"/>
        </w:rPr>
      </w:pPr>
      <w:r w:rsidRPr="00E83877">
        <w:rPr>
          <w:rFonts w:ascii="Times New Roman" w:hAnsi="Times New Roman" w:cs="Times New Roman"/>
          <w:color w:val="FF0000"/>
          <w:sz w:val="28"/>
          <w:szCs w:val="24"/>
          <w:shd w:val="clear" w:color="auto" w:fill="F8F8F8"/>
        </w:rPr>
        <w:t xml:space="preserve">Một quỹ đóng </w:t>
      </w:r>
      <w:proofErr w:type="gramStart"/>
      <w:r w:rsidRPr="00E83877">
        <w:rPr>
          <w:rFonts w:ascii="Times New Roman" w:hAnsi="Times New Roman" w:cs="Times New Roman"/>
          <w:color w:val="FF0000"/>
          <w:sz w:val="28"/>
          <w:szCs w:val="24"/>
          <w:shd w:val="clear" w:color="auto" w:fill="F8F8F8"/>
        </w:rPr>
        <w:t>( CEF</w:t>
      </w:r>
      <w:proofErr w:type="gramEnd"/>
      <w:r w:rsidRPr="00E83877">
        <w:rPr>
          <w:rFonts w:ascii="Times New Roman" w:hAnsi="Times New Roman" w:cs="Times New Roman"/>
          <w:color w:val="FF0000"/>
          <w:sz w:val="28"/>
          <w:szCs w:val="24"/>
          <w:shd w:val="clear" w:color="auto" w:fill="F8F8F8"/>
        </w:rPr>
        <w:t xml:space="preserve"> ) hoặc quỹ đóng kết thúc là một </w:t>
      </w:r>
      <w:r w:rsidR="00F2543D" w:rsidRPr="00E83877">
        <w:rPr>
          <w:rFonts w:ascii="Times New Roman" w:hAnsi="Times New Roman" w:cs="Times New Roman"/>
          <w:color w:val="FF0000"/>
          <w:sz w:val="28"/>
          <w:szCs w:val="24"/>
          <w:shd w:val="clear" w:color="auto" w:fill="F8F8F8"/>
        </w:rPr>
        <w:t>loại</w:t>
      </w:r>
      <w:r w:rsidRPr="00E83877">
        <w:rPr>
          <w:rFonts w:ascii="Times New Roman" w:hAnsi="Times New Roman" w:cs="Times New Roman"/>
          <w:color w:val="FF0000"/>
          <w:sz w:val="28"/>
          <w:szCs w:val="24"/>
          <w:shd w:val="clear" w:color="auto" w:fill="F8F8F8"/>
        </w:rPr>
        <w:t xml:space="preserve"> hình đầu tư tập thể dựa trên việc ban hành một số cố định của cổ phiếu mà không phải là quy đổi từ quỹ</w:t>
      </w:r>
      <w:r w:rsidRPr="00E83877">
        <w:rPr>
          <w:rFonts w:ascii="Times New Roman" w:hAnsi="Times New Roman" w:cs="Times New Roman"/>
          <w:color w:val="FF0000"/>
          <w:sz w:val="28"/>
          <w:szCs w:val="24"/>
          <w:shd w:val="clear" w:color="auto" w:fill="F8F8F8"/>
        </w:rPr>
        <w:t>. C</w:t>
      </w:r>
      <w:r w:rsidRPr="00E83877">
        <w:rPr>
          <w:rFonts w:ascii="Times New Roman" w:hAnsi="Times New Roman" w:cs="Times New Roman"/>
          <w:color w:val="FF0000"/>
          <w:sz w:val="28"/>
          <w:szCs w:val="24"/>
          <w:shd w:val="clear" w:color="auto" w:fill="F8F8F8"/>
        </w:rPr>
        <w:t xml:space="preserve">ổ phiếu mới trong quỹ đóng </w:t>
      </w:r>
      <w:r w:rsidR="00335206" w:rsidRPr="00E83877">
        <w:rPr>
          <w:rFonts w:ascii="Times New Roman" w:hAnsi="Times New Roman" w:cs="Times New Roman"/>
          <w:color w:val="FF0000"/>
          <w:sz w:val="28"/>
          <w:szCs w:val="24"/>
          <w:shd w:val="clear" w:color="auto" w:fill="F8F8F8"/>
        </w:rPr>
        <w:t xml:space="preserve">sẽ </w:t>
      </w:r>
      <w:r w:rsidRPr="00E83877">
        <w:rPr>
          <w:rFonts w:ascii="Times New Roman" w:hAnsi="Times New Roman" w:cs="Times New Roman"/>
          <w:color w:val="FF0000"/>
          <w:sz w:val="28"/>
          <w:szCs w:val="24"/>
          <w:shd w:val="clear" w:color="auto" w:fill="F8F8F8"/>
        </w:rPr>
        <w:t xml:space="preserve">không được các nhà quản lý tạo ra </w:t>
      </w:r>
      <w:r w:rsidR="00335206" w:rsidRPr="00E83877">
        <w:rPr>
          <w:rFonts w:ascii="Times New Roman" w:hAnsi="Times New Roman" w:cs="Times New Roman"/>
          <w:color w:val="FF0000"/>
          <w:sz w:val="28"/>
          <w:szCs w:val="24"/>
          <w:shd w:val="clear" w:color="auto" w:fill="F8F8F8"/>
        </w:rPr>
        <w:t xml:space="preserve">cho việc </w:t>
      </w:r>
      <w:r w:rsidRPr="00E83877">
        <w:rPr>
          <w:rFonts w:ascii="Times New Roman" w:hAnsi="Times New Roman" w:cs="Times New Roman"/>
          <w:color w:val="FF0000"/>
          <w:sz w:val="28"/>
          <w:szCs w:val="24"/>
          <w:shd w:val="clear" w:color="auto" w:fill="F8F8F8"/>
        </w:rPr>
        <w:t xml:space="preserve">đáp ứng nhu cầu từ các nhà đầu </w:t>
      </w:r>
      <w:proofErr w:type="gramStart"/>
      <w:r w:rsidRPr="00E83877">
        <w:rPr>
          <w:rFonts w:ascii="Times New Roman" w:hAnsi="Times New Roman" w:cs="Times New Roman"/>
          <w:color w:val="FF0000"/>
          <w:sz w:val="28"/>
          <w:szCs w:val="24"/>
          <w:shd w:val="clear" w:color="auto" w:fill="F8F8F8"/>
        </w:rPr>
        <w:t>tư</w:t>
      </w:r>
      <w:proofErr w:type="gramEnd"/>
      <w:r w:rsidRPr="00E83877">
        <w:rPr>
          <w:rFonts w:ascii="Times New Roman" w:hAnsi="Times New Roman" w:cs="Times New Roman"/>
          <w:color w:val="FF0000"/>
          <w:sz w:val="28"/>
          <w:szCs w:val="24"/>
          <w:shd w:val="clear" w:color="auto" w:fill="F8F8F8"/>
        </w:rPr>
        <w:t xml:space="preserve">. </w:t>
      </w:r>
      <w:r w:rsidRPr="00E83877">
        <w:rPr>
          <w:rFonts w:ascii="Times New Roman" w:hAnsi="Times New Roman" w:cs="Times New Roman"/>
          <w:color w:val="FF0000"/>
          <w:sz w:val="28"/>
          <w:szCs w:val="24"/>
          <w:shd w:val="clear" w:color="auto" w:fill="F8F8F8"/>
        </w:rPr>
        <w:t>Cổ</w:t>
      </w:r>
      <w:r w:rsidRPr="00E83877">
        <w:rPr>
          <w:rFonts w:ascii="Times New Roman" w:hAnsi="Times New Roman" w:cs="Times New Roman"/>
          <w:color w:val="FF0000"/>
          <w:sz w:val="28"/>
          <w:szCs w:val="24"/>
          <w:shd w:val="clear" w:color="auto" w:fill="F8F8F8"/>
        </w:rPr>
        <w:t xml:space="preserve"> phiếu </w:t>
      </w:r>
      <w:r w:rsidRPr="00E83877">
        <w:rPr>
          <w:rFonts w:ascii="Times New Roman" w:hAnsi="Times New Roman" w:cs="Times New Roman"/>
          <w:color w:val="FF0000"/>
          <w:sz w:val="28"/>
          <w:szCs w:val="24"/>
          <w:shd w:val="clear" w:color="auto" w:fill="F8F8F8"/>
        </w:rPr>
        <w:t xml:space="preserve">trong quỹ đóng </w:t>
      </w:r>
      <w:r w:rsidRPr="00E83877">
        <w:rPr>
          <w:rFonts w:ascii="Times New Roman" w:hAnsi="Times New Roman" w:cs="Times New Roman"/>
          <w:color w:val="FF0000"/>
          <w:sz w:val="28"/>
          <w:szCs w:val="24"/>
          <w:shd w:val="clear" w:color="auto" w:fill="F8F8F8"/>
        </w:rPr>
        <w:t xml:space="preserve">chỉ có thể được mua và bán trên thị trường, đây là thiết kế ban đầu của quỹ tương </w:t>
      </w:r>
      <w:proofErr w:type="gramStart"/>
      <w:r w:rsidRPr="00E83877">
        <w:rPr>
          <w:rFonts w:ascii="Times New Roman" w:hAnsi="Times New Roman" w:cs="Times New Roman"/>
          <w:color w:val="FF0000"/>
          <w:sz w:val="28"/>
          <w:szCs w:val="24"/>
          <w:shd w:val="clear" w:color="auto" w:fill="F8F8F8"/>
        </w:rPr>
        <w:t>hỗ ,</w:t>
      </w:r>
      <w:proofErr w:type="gramEnd"/>
      <w:r w:rsidRPr="00E83877">
        <w:rPr>
          <w:rFonts w:ascii="Times New Roman" w:hAnsi="Times New Roman" w:cs="Times New Roman"/>
          <w:color w:val="FF0000"/>
          <w:sz w:val="28"/>
          <w:szCs w:val="24"/>
          <w:shd w:val="clear" w:color="auto" w:fill="F8F8F8"/>
        </w:rPr>
        <w:t xml:space="preserve"> có trước quỹ tương hỗ mở nhưng cung cấp các khoản đầu tư gộp chung được quản lý tích cự</w:t>
      </w:r>
      <w:r w:rsidR="00335206" w:rsidRPr="00E83877">
        <w:rPr>
          <w:rFonts w:ascii="Times New Roman" w:hAnsi="Times New Roman" w:cs="Times New Roman"/>
          <w:color w:val="FF0000"/>
          <w:sz w:val="28"/>
          <w:szCs w:val="24"/>
          <w:shd w:val="clear" w:color="auto" w:fill="F8F8F8"/>
        </w:rPr>
        <w:t>c.</w:t>
      </w:r>
    </w:p>
    <w:p w:rsidR="00F4392D" w:rsidRPr="00E83877" w:rsidRDefault="00F2543D" w:rsidP="00E968CD">
      <w:pPr>
        <w:shd w:val="clear" w:color="auto" w:fill="FFFFFF"/>
        <w:spacing w:after="300" w:line="240" w:lineRule="auto"/>
        <w:textAlignment w:val="baseline"/>
        <w:rPr>
          <w:rFonts w:ascii="Times New Roman" w:hAnsi="Times New Roman" w:cs="Times New Roman"/>
          <w:color w:val="FF0000"/>
          <w:sz w:val="28"/>
          <w:szCs w:val="24"/>
          <w:shd w:val="clear" w:color="auto" w:fill="F8F8F8"/>
        </w:rPr>
      </w:pPr>
      <w:proofErr w:type="gramStart"/>
      <w:r w:rsidRPr="00E83877">
        <w:rPr>
          <w:rFonts w:ascii="Times New Roman" w:hAnsi="Times New Roman" w:cs="Times New Roman"/>
          <w:color w:val="000000"/>
          <w:spacing w:val="2"/>
          <w:sz w:val="28"/>
          <w:szCs w:val="24"/>
          <w:shd w:val="clear" w:color="auto" w:fill="FFFFFF"/>
        </w:rPr>
        <w:t xml:space="preserve">Các quỹ đóng </w:t>
      </w:r>
      <w:r w:rsidR="00F4392D" w:rsidRPr="00E83877">
        <w:rPr>
          <w:rFonts w:ascii="Times New Roman" w:hAnsi="Times New Roman" w:cs="Times New Roman"/>
          <w:color w:val="FF0000"/>
          <w:sz w:val="28"/>
          <w:szCs w:val="24"/>
          <w:shd w:val="clear" w:color="auto" w:fill="F8F8F8"/>
        </w:rPr>
        <w:t>được niêm yết trên một sàn giao dịch chứng khoán được công nhận và có thể được mua và bán trên sàn giao dịch đó.</w:t>
      </w:r>
      <w:proofErr w:type="gramEnd"/>
      <w:r w:rsidR="00F4392D" w:rsidRPr="00E83877">
        <w:rPr>
          <w:rFonts w:ascii="Times New Roman" w:hAnsi="Times New Roman" w:cs="Times New Roman"/>
          <w:color w:val="FF0000"/>
          <w:sz w:val="28"/>
          <w:szCs w:val="24"/>
          <w:shd w:val="clear" w:color="auto" w:fill="F8F8F8"/>
        </w:rPr>
        <w:t xml:space="preserve"> </w:t>
      </w:r>
      <w:proofErr w:type="gramStart"/>
      <w:r w:rsidR="00F4392D" w:rsidRPr="00E83877">
        <w:rPr>
          <w:rFonts w:ascii="Times New Roman" w:hAnsi="Times New Roman" w:cs="Times New Roman"/>
          <w:color w:val="FF0000"/>
          <w:sz w:val="28"/>
          <w:szCs w:val="24"/>
          <w:shd w:val="clear" w:color="auto" w:fill="F8F8F8"/>
        </w:rPr>
        <w:t>Giá mỗi cổ phiếu được xác định bởi thị trường và thường khác với giá trị cơ bản hoặc giá trị tài sản ròng (NAV) trên mỗi cổ phiếu của các khoản đầu tư mà quỹ nắm giữ.</w:t>
      </w:r>
      <w:proofErr w:type="gramEnd"/>
      <w:r w:rsidR="00F4392D" w:rsidRPr="00E83877">
        <w:rPr>
          <w:rFonts w:ascii="Times New Roman" w:hAnsi="Times New Roman" w:cs="Times New Roman"/>
          <w:color w:val="FF0000"/>
          <w:sz w:val="28"/>
          <w:szCs w:val="24"/>
          <w:shd w:val="clear" w:color="auto" w:fill="F8F8F8"/>
        </w:rPr>
        <w:t xml:space="preserve"> </w:t>
      </w:r>
      <w:proofErr w:type="gramStart"/>
      <w:r w:rsidR="00F4392D" w:rsidRPr="00E83877">
        <w:rPr>
          <w:rFonts w:ascii="Times New Roman" w:hAnsi="Times New Roman" w:cs="Times New Roman"/>
          <w:color w:val="FF0000"/>
          <w:sz w:val="28"/>
          <w:szCs w:val="24"/>
          <w:shd w:val="clear" w:color="auto" w:fill="F8F8F8"/>
        </w:rPr>
        <w:t>Giá được cho là chiết khấu hoặc cao hơn NAV khi nó thấp hơn hoặc cao hơn NAV tương ứng.</w:t>
      </w:r>
      <w:proofErr w:type="gramEnd"/>
    </w:p>
    <w:p w:rsidR="00F4392D" w:rsidRPr="00E83877" w:rsidRDefault="00F2543D" w:rsidP="00E968CD">
      <w:pPr>
        <w:shd w:val="clear" w:color="auto" w:fill="FFFFFF"/>
        <w:spacing w:after="300" w:line="240" w:lineRule="auto"/>
        <w:textAlignment w:val="baseline"/>
        <w:rPr>
          <w:rFonts w:ascii="Times New Roman" w:hAnsi="Times New Roman" w:cs="Times New Roman"/>
          <w:color w:val="FF0000"/>
          <w:sz w:val="28"/>
          <w:szCs w:val="24"/>
          <w:shd w:val="clear" w:color="auto" w:fill="F8F8F8"/>
        </w:rPr>
      </w:pPr>
      <w:r w:rsidRPr="00E83877">
        <w:rPr>
          <w:rFonts w:ascii="Times New Roman" w:hAnsi="Times New Roman" w:cs="Times New Roman"/>
          <w:color w:val="000000"/>
          <w:spacing w:val="2"/>
          <w:sz w:val="28"/>
          <w:szCs w:val="24"/>
          <w:shd w:val="clear" w:color="auto" w:fill="FFFFFF"/>
        </w:rPr>
        <w:t xml:space="preserve">Các quỹ </w:t>
      </w:r>
      <w:proofErr w:type="gramStart"/>
      <w:r w:rsidRPr="00E83877">
        <w:rPr>
          <w:rFonts w:ascii="Times New Roman" w:hAnsi="Times New Roman" w:cs="Times New Roman"/>
          <w:color w:val="000000"/>
          <w:spacing w:val="2"/>
          <w:sz w:val="28"/>
          <w:szCs w:val="24"/>
          <w:shd w:val="clear" w:color="auto" w:fill="FFFFFF"/>
        </w:rPr>
        <w:t xml:space="preserve">này </w:t>
      </w:r>
      <w:r w:rsidRPr="00E83877">
        <w:rPr>
          <w:rFonts w:ascii="Times New Roman" w:hAnsi="Times New Roman" w:cs="Times New Roman"/>
          <w:color w:val="000000"/>
          <w:spacing w:val="2"/>
          <w:sz w:val="28"/>
          <w:szCs w:val="24"/>
          <w:shd w:val="clear" w:color="auto" w:fill="FFFFFF"/>
        </w:rPr>
        <w:t xml:space="preserve"> đặc</w:t>
      </w:r>
      <w:proofErr w:type="gramEnd"/>
      <w:r w:rsidRPr="00E83877">
        <w:rPr>
          <w:rFonts w:ascii="Times New Roman" w:hAnsi="Times New Roman" w:cs="Times New Roman"/>
          <w:color w:val="000000"/>
          <w:spacing w:val="2"/>
          <w:sz w:val="28"/>
          <w:szCs w:val="24"/>
          <w:shd w:val="clear" w:color="auto" w:fill="FFFFFF"/>
        </w:rPr>
        <w:t xml:space="preserve"> biệt ở chỗ chúng thường được quản lý tích cực, điều này không xảy ra với các quỹ mở. </w:t>
      </w:r>
      <w:proofErr w:type="gramStart"/>
      <w:r w:rsidRPr="00E83877">
        <w:rPr>
          <w:rFonts w:ascii="Times New Roman" w:hAnsi="Times New Roman" w:cs="Times New Roman"/>
          <w:color w:val="000000"/>
          <w:spacing w:val="2"/>
          <w:sz w:val="28"/>
          <w:szCs w:val="24"/>
          <w:shd w:val="clear" w:color="auto" w:fill="FFFFFF"/>
        </w:rPr>
        <w:t>Các quỹ đóng không tính phí bán hàng dưới bất kỳ hình thức nào, nhưng các nhà đầu tư phải trả hoa hồng để mua hoặc bán chúng, giống như cổ phiếu hoặc các chứng khoán khác.</w:t>
      </w:r>
      <w:proofErr w:type="gramEnd"/>
    </w:p>
    <w:p w:rsidR="00335206" w:rsidRPr="00E83877" w:rsidRDefault="00A06967" w:rsidP="00E968CD">
      <w:pPr>
        <w:pStyle w:val="Heading3"/>
        <w:rPr>
          <w:rFonts w:ascii="Times New Roman" w:hAnsi="Times New Roman" w:cs="Times New Roman"/>
          <w:b w:val="0"/>
          <w:sz w:val="28"/>
          <w:szCs w:val="24"/>
          <w:shd w:val="clear" w:color="auto" w:fill="F8F8F8"/>
        </w:rPr>
      </w:pPr>
      <w:bookmarkStart w:id="8" w:name="_Toc50580924"/>
      <w:r w:rsidRPr="00E83877">
        <w:rPr>
          <w:rFonts w:ascii="Times New Roman" w:hAnsi="Times New Roman" w:cs="Times New Roman"/>
          <w:b w:val="0"/>
          <w:sz w:val="28"/>
          <w:szCs w:val="24"/>
          <w:shd w:val="clear" w:color="auto" w:fill="F8F8F8"/>
        </w:rPr>
        <w:t>-Qũy đầu tư dạng mở (Open end funds).</w:t>
      </w:r>
      <w:bookmarkEnd w:id="8"/>
    </w:p>
    <w:p w:rsidR="00E968CD" w:rsidRPr="00E83877" w:rsidRDefault="00E968CD" w:rsidP="00E968CD">
      <w:pPr>
        <w:rPr>
          <w:rFonts w:ascii="Times New Roman" w:hAnsi="Times New Roman" w:cs="Times New Roman"/>
          <w:sz w:val="28"/>
          <w:szCs w:val="24"/>
        </w:rPr>
      </w:pPr>
    </w:p>
    <w:p w:rsidR="00E968CD" w:rsidRPr="00E83877" w:rsidRDefault="00E968CD" w:rsidP="00E968CD">
      <w:pPr>
        <w:rPr>
          <w:rFonts w:ascii="Times New Roman" w:hAnsi="Times New Roman" w:cs="Times New Roman"/>
          <w:sz w:val="28"/>
          <w:szCs w:val="24"/>
        </w:rPr>
      </w:pPr>
      <w:r w:rsidRPr="00E83877">
        <w:rPr>
          <w:rFonts w:ascii="Times New Roman" w:hAnsi="Times New Roman" w:cs="Times New Roman"/>
          <w:sz w:val="28"/>
          <w:szCs w:val="24"/>
        </w:rPr>
        <w:t xml:space="preserve">-Quỹ mở là các công ty đầu tư bán cổ phiếu trên cơ sở liên tục. </w:t>
      </w:r>
      <w:proofErr w:type="gramStart"/>
      <w:r w:rsidRPr="00E83877">
        <w:rPr>
          <w:rFonts w:ascii="Times New Roman" w:hAnsi="Times New Roman" w:cs="Times New Roman"/>
          <w:sz w:val="28"/>
          <w:szCs w:val="24"/>
        </w:rPr>
        <w:t>Cổ phiếu quỹ tương hỗ được mua ua trực tiếp từ quỹ hoặc từ người môi giới cho quỹ.</w:t>
      </w:r>
      <w:proofErr w:type="gramEnd"/>
      <w:r w:rsidRPr="00E83877">
        <w:rPr>
          <w:rFonts w:ascii="Times New Roman" w:hAnsi="Times New Roman" w:cs="Times New Roman"/>
          <w:sz w:val="28"/>
          <w:szCs w:val="24"/>
        </w:rPr>
        <w:t xml:space="preserve"> </w:t>
      </w:r>
      <w:proofErr w:type="gramStart"/>
      <w:r w:rsidRPr="00E83877">
        <w:rPr>
          <w:rFonts w:ascii="Times New Roman" w:hAnsi="Times New Roman" w:cs="Times New Roman"/>
          <w:sz w:val="28"/>
          <w:szCs w:val="24"/>
        </w:rPr>
        <w:t>Giá mua bằng giá trị tài sản ròng của quỹ trên mỗi cổ phiếu, cộng với mọi khoản phí bán hàng hoặc phí trả trước khác.</w:t>
      </w:r>
      <w:proofErr w:type="gramEnd"/>
    </w:p>
    <w:p w:rsidR="00E968CD" w:rsidRPr="00E83877" w:rsidRDefault="00E968CD" w:rsidP="00E968CD">
      <w:pPr>
        <w:rPr>
          <w:rFonts w:ascii="Times New Roman" w:hAnsi="Times New Roman" w:cs="Times New Roman"/>
          <w:sz w:val="28"/>
          <w:szCs w:val="24"/>
        </w:rPr>
      </w:pPr>
      <w:r w:rsidRPr="00E83877">
        <w:rPr>
          <w:rFonts w:ascii="Times New Roman" w:hAnsi="Times New Roman" w:cs="Times New Roman"/>
          <w:sz w:val="28"/>
          <w:szCs w:val="24"/>
        </w:rPr>
        <w:t>-Quỹ mở là quỹ mở có nghĩa là không có thời hạn đầu tư cố định hoặc số lượng nhà đầu tư cố định.</w:t>
      </w:r>
    </w:p>
    <w:p w:rsidR="00E968CD" w:rsidRPr="00E83877" w:rsidRDefault="00E968CD" w:rsidP="00E968CD">
      <w:pPr>
        <w:rPr>
          <w:rFonts w:ascii="Times New Roman" w:hAnsi="Times New Roman" w:cs="Times New Roman"/>
          <w:sz w:val="28"/>
          <w:szCs w:val="24"/>
        </w:rPr>
      </w:pPr>
      <w:r w:rsidRPr="00E83877">
        <w:rPr>
          <w:rFonts w:ascii="Times New Roman" w:hAnsi="Times New Roman" w:cs="Times New Roman"/>
          <w:sz w:val="28"/>
          <w:szCs w:val="24"/>
        </w:rPr>
        <w:t xml:space="preserve">- </w:t>
      </w:r>
      <w:r w:rsidRPr="00E83877">
        <w:rPr>
          <w:rFonts w:ascii="Times New Roman" w:hAnsi="Times New Roman" w:cs="Times New Roman"/>
          <w:sz w:val="28"/>
          <w:szCs w:val="24"/>
        </w:rPr>
        <w:t xml:space="preserve">Quỹ mở là một quỹ tương hỗ, có nghĩa là nó là một tập hợp các tài sản được đóng góp bởi nhiều nhà đầu tư </w:t>
      </w:r>
      <w:proofErr w:type="gramStart"/>
      <w:r w:rsidRPr="00E83877">
        <w:rPr>
          <w:rFonts w:ascii="Times New Roman" w:hAnsi="Times New Roman" w:cs="Times New Roman"/>
          <w:sz w:val="28"/>
          <w:szCs w:val="24"/>
        </w:rPr>
        <w:t>theo</w:t>
      </w:r>
      <w:proofErr w:type="gramEnd"/>
      <w:r w:rsidRPr="00E83877">
        <w:rPr>
          <w:rFonts w:ascii="Times New Roman" w:hAnsi="Times New Roman" w:cs="Times New Roman"/>
          <w:sz w:val="28"/>
          <w:szCs w:val="24"/>
        </w:rPr>
        <w:t xml:space="preserve"> cùng một mục tiêu đầu tư chung.</w:t>
      </w:r>
    </w:p>
    <w:p w:rsidR="00E968CD" w:rsidRPr="00E83877" w:rsidRDefault="00E968CD" w:rsidP="00E968CD">
      <w:pPr>
        <w:rPr>
          <w:rFonts w:ascii="Times New Roman" w:hAnsi="Times New Roman" w:cs="Times New Roman"/>
          <w:sz w:val="28"/>
          <w:szCs w:val="24"/>
        </w:rPr>
      </w:pPr>
      <w:r w:rsidRPr="00E83877">
        <w:rPr>
          <w:rFonts w:ascii="Times New Roman" w:hAnsi="Times New Roman" w:cs="Times New Roman"/>
          <w:sz w:val="28"/>
          <w:szCs w:val="24"/>
        </w:rPr>
        <w:lastRenderedPageBreak/>
        <w:t>-</w:t>
      </w:r>
      <w:r w:rsidRPr="00E83877">
        <w:rPr>
          <w:rFonts w:ascii="Times New Roman" w:hAnsi="Times New Roman" w:cs="Times New Roman"/>
        </w:rPr>
        <w:t xml:space="preserve"> </w:t>
      </w:r>
      <w:r w:rsidRPr="00E83877">
        <w:rPr>
          <w:rFonts w:ascii="Times New Roman" w:hAnsi="Times New Roman" w:cs="Times New Roman"/>
          <w:sz w:val="28"/>
          <w:szCs w:val="24"/>
        </w:rPr>
        <w:t xml:space="preserve">Các nhà đầu tư thanh lý các khoản đầu tư của họ vào một quỹ tương hỗ bằng cách bán lại cổ phần của họ cho quỹ. </w:t>
      </w:r>
      <w:proofErr w:type="gramStart"/>
      <w:r w:rsidRPr="00E83877">
        <w:rPr>
          <w:rFonts w:ascii="Times New Roman" w:hAnsi="Times New Roman" w:cs="Times New Roman"/>
          <w:sz w:val="28"/>
          <w:szCs w:val="24"/>
        </w:rPr>
        <w:t>Giá bán bằng giá trị tài sản ròng của quỹ trên mỗi cổ phiếu, trừ đi mọi khoản phí mua lại hoặc các khoản phí khác.</w:t>
      </w:r>
      <w:proofErr w:type="gramEnd"/>
    </w:p>
    <w:p w:rsidR="00E968CD" w:rsidRPr="00E83877" w:rsidRDefault="00E968CD" w:rsidP="00E968CD">
      <w:pPr>
        <w:rPr>
          <w:rFonts w:ascii="Times New Roman" w:hAnsi="Times New Roman" w:cs="Times New Roman"/>
          <w:sz w:val="28"/>
          <w:szCs w:val="24"/>
        </w:rPr>
      </w:pPr>
      <w:r w:rsidRPr="00E83877">
        <w:rPr>
          <w:rFonts w:ascii="Times New Roman" w:hAnsi="Times New Roman" w:cs="Times New Roman"/>
          <w:sz w:val="28"/>
          <w:szCs w:val="24"/>
        </w:rPr>
        <w:t xml:space="preserve">Các quỹ tương hỗ </w:t>
      </w:r>
      <w:proofErr w:type="gramStart"/>
      <w:r w:rsidRPr="00E83877">
        <w:rPr>
          <w:rFonts w:ascii="Times New Roman" w:hAnsi="Times New Roman" w:cs="Times New Roman"/>
          <w:sz w:val="28"/>
          <w:szCs w:val="24"/>
        </w:rPr>
        <w:t>theo</w:t>
      </w:r>
      <w:proofErr w:type="gramEnd"/>
      <w:r w:rsidRPr="00E83877">
        <w:rPr>
          <w:rFonts w:ascii="Times New Roman" w:hAnsi="Times New Roman" w:cs="Times New Roman"/>
          <w:sz w:val="28"/>
          <w:szCs w:val="24"/>
        </w:rPr>
        <w:t xml:space="preserve"> đuổi nhiều chiến lược đầu tư khác nhau. </w:t>
      </w:r>
      <w:proofErr w:type="gramStart"/>
      <w:r w:rsidRPr="00E83877">
        <w:rPr>
          <w:rFonts w:ascii="Times New Roman" w:hAnsi="Times New Roman" w:cs="Times New Roman"/>
          <w:sz w:val="28"/>
          <w:szCs w:val="24"/>
        </w:rPr>
        <w:t>Các quỹ cổ phiếu, quỹ trái phiếu, quỹ chỉ số, quỹ thị trường tiền tệ và quỹ ETF đều có thể được tổ chức thành quỹ tương hỗ.</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9510"/>
      </w:tblGrid>
      <w:tr w:rsidR="00335206" w:rsidRPr="00E83877" w:rsidTr="00335206">
        <w:tc>
          <w:tcPr>
            <w:tcW w:w="0" w:type="auto"/>
            <w:tcMar>
              <w:top w:w="150" w:type="dxa"/>
              <w:left w:w="75" w:type="dxa"/>
              <w:bottom w:w="150" w:type="dxa"/>
              <w:right w:w="75" w:type="dxa"/>
            </w:tcMar>
            <w:vAlign w:val="center"/>
            <w:hideMark/>
          </w:tcPr>
          <w:tbl>
            <w:tblPr>
              <w:tblpPr w:leftFromText="180" w:rightFromText="180" w:vertAnchor="text" w:horzAnchor="margin" w:tblpY="21"/>
              <w:tblW w:w="8984" w:type="dxa"/>
              <w:tblCellMar>
                <w:top w:w="15" w:type="dxa"/>
                <w:left w:w="15" w:type="dxa"/>
                <w:bottom w:w="15" w:type="dxa"/>
                <w:right w:w="15" w:type="dxa"/>
              </w:tblCellMar>
              <w:tblLook w:val="04A0" w:firstRow="1" w:lastRow="0" w:firstColumn="1" w:lastColumn="0" w:noHBand="0" w:noVBand="1"/>
            </w:tblPr>
            <w:tblGrid>
              <w:gridCol w:w="8984"/>
            </w:tblGrid>
            <w:tr w:rsidR="00FE16E1" w:rsidRPr="00E83877" w:rsidTr="00E968CD">
              <w:trPr>
                <w:trHeight w:val="551"/>
              </w:trPr>
              <w:tc>
                <w:tcPr>
                  <w:tcW w:w="0" w:type="auto"/>
                  <w:tcMar>
                    <w:top w:w="150" w:type="dxa"/>
                    <w:left w:w="75" w:type="dxa"/>
                    <w:bottom w:w="150" w:type="dxa"/>
                    <w:right w:w="75" w:type="dxa"/>
                  </w:tcMar>
                  <w:vAlign w:val="center"/>
                  <w:hideMark/>
                </w:tcPr>
                <w:p w:rsidR="00FE16E1" w:rsidRPr="00E83877" w:rsidRDefault="00FE16E1" w:rsidP="00E968CD">
                  <w:pPr>
                    <w:rPr>
                      <w:rFonts w:ascii="Times New Roman" w:hAnsi="Times New Roman" w:cs="Times New Roman"/>
                      <w:sz w:val="28"/>
                      <w:szCs w:val="24"/>
                    </w:rPr>
                  </w:pPr>
                  <w:r w:rsidRPr="00E83877">
                    <w:rPr>
                      <w:rFonts w:ascii="Times New Roman" w:hAnsi="Times New Roman" w:cs="Times New Roman"/>
                      <w:sz w:val="28"/>
                      <w:szCs w:val="24"/>
                    </w:rPr>
                    <w:t>Quỹ mở là quỹ mở có nghĩa là không có thời hạn đầu tư cố định hoặc số lượng nhà đầu tư cố định.</w:t>
                  </w:r>
                </w:p>
              </w:tc>
            </w:tr>
            <w:tr w:rsidR="00FE16E1" w:rsidRPr="00E83877" w:rsidTr="00E968CD">
              <w:trPr>
                <w:trHeight w:val="1508"/>
              </w:trPr>
              <w:tc>
                <w:tcPr>
                  <w:tcW w:w="0" w:type="auto"/>
                  <w:tcMar>
                    <w:top w:w="150" w:type="dxa"/>
                    <w:left w:w="75" w:type="dxa"/>
                    <w:bottom w:w="150" w:type="dxa"/>
                    <w:right w:w="75" w:type="dxa"/>
                  </w:tcMar>
                  <w:vAlign w:val="center"/>
                </w:tcPr>
                <w:p w:rsidR="00FE16E1" w:rsidRPr="00E83877" w:rsidRDefault="00FE16E1" w:rsidP="00E968CD">
                  <w:pPr>
                    <w:rPr>
                      <w:rFonts w:ascii="Times New Roman" w:hAnsi="Times New Roman" w:cs="Times New Roman"/>
                      <w:sz w:val="28"/>
                      <w:szCs w:val="24"/>
                    </w:rPr>
                  </w:pPr>
                </w:p>
              </w:tc>
            </w:tr>
            <w:tr w:rsidR="00FE16E1" w:rsidRPr="00E83877" w:rsidTr="00E968CD">
              <w:trPr>
                <w:trHeight w:val="1232"/>
              </w:trPr>
              <w:tc>
                <w:tcPr>
                  <w:tcW w:w="0" w:type="auto"/>
                  <w:tcMar>
                    <w:top w:w="150" w:type="dxa"/>
                    <w:left w:w="75" w:type="dxa"/>
                    <w:bottom w:w="150" w:type="dxa"/>
                    <w:right w:w="75" w:type="dxa"/>
                  </w:tcMar>
                  <w:vAlign w:val="center"/>
                </w:tcPr>
                <w:p w:rsidR="00FE16E1" w:rsidRPr="00E83877" w:rsidRDefault="00FE16E1" w:rsidP="00E968CD">
                  <w:pPr>
                    <w:rPr>
                      <w:rFonts w:ascii="Times New Roman" w:hAnsi="Times New Roman" w:cs="Times New Roman"/>
                      <w:sz w:val="28"/>
                      <w:szCs w:val="24"/>
                    </w:rPr>
                  </w:pPr>
                </w:p>
              </w:tc>
            </w:tr>
          </w:tbl>
          <w:p w:rsidR="00335206" w:rsidRPr="00E83877" w:rsidRDefault="00335206" w:rsidP="00E968CD">
            <w:pPr>
              <w:rPr>
                <w:rFonts w:ascii="Times New Roman" w:hAnsi="Times New Roman" w:cs="Times New Roman"/>
                <w:sz w:val="28"/>
                <w:szCs w:val="24"/>
              </w:rPr>
            </w:pPr>
          </w:p>
        </w:tc>
      </w:tr>
      <w:tr w:rsidR="00335206" w:rsidRPr="00E83877" w:rsidTr="00335206">
        <w:tc>
          <w:tcPr>
            <w:tcW w:w="0" w:type="auto"/>
            <w:tcMar>
              <w:top w:w="150" w:type="dxa"/>
              <w:left w:w="75" w:type="dxa"/>
              <w:bottom w:w="150" w:type="dxa"/>
              <w:right w:w="75" w:type="dxa"/>
            </w:tcMar>
            <w:vAlign w:val="center"/>
            <w:hideMark/>
          </w:tcPr>
          <w:p w:rsidR="00335206" w:rsidRPr="00E83877" w:rsidRDefault="00335206" w:rsidP="00E968CD">
            <w:pPr>
              <w:rPr>
                <w:rFonts w:ascii="Times New Roman" w:hAnsi="Times New Roman" w:cs="Times New Roman"/>
                <w:sz w:val="28"/>
                <w:szCs w:val="24"/>
              </w:rPr>
            </w:pPr>
            <w:r w:rsidRPr="00E83877">
              <w:rPr>
                <w:rFonts w:ascii="Times New Roman" w:hAnsi="Times New Roman" w:cs="Times New Roman"/>
                <w:sz w:val="28"/>
                <w:szCs w:val="24"/>
              </w:rPr>
              <w:t>Quỹ mở là một quỹ tương hỗ, có nghĩa là nó là một tập hợp các tài sản được đóng góp bởi nhiều nhà đầu tư theo cùng một mục tiêu đầu tư chung.</w:t>
            </w:r>
          </w:p>
        </w:tc>
      </w:tr>
      <w:tr w:rsidR="00335206" w:rsidRPr="00E83877" w:rsidTr="00335206">
        <w:tc>
          <w:tcPr>
            <w:tcW w:w="0" w:type="auto"/>
            <w:tcMar>
              <w:top w:w="150" w:type="dxa"/>
              <w:left w:w="75" w:type="dxa"/>
              <w:bottom w:w="150" w:type="dxa"/>
              <w:right w:w="75" w:type="dxa"/>
            </w:tcMar>
            <w:vAlign w:val="center"/>
            <w:hideMark/>
          </w:tcPr>
          <w:p w:rsidR="00335206" w:rsidRPr="00E83877" w:rsidRDefault="00335206" w:rsidP="00E968CD">
            <w:pPr>
              <w:rPr>
                <w:rFonts w:ascii="Times New Roman" w:hAnsi="Times New Roman" w:cs="Times New Roman"/>
                <w:sz w:val="28"/>
                <w:szCs w:val="24"/>
              </w:rPr>
            </w:pPr>
          </w:p>
        </w:tc>
      </w:tr>
      <w:tr w:rsidR="00335206" w:rsidRPr="00E83877" w:rsidTr="00335206">
        <w:tc>
          <w:tcPr>
            <w:tcW w:w="0" w:type="auto"/>
            <w:tcMar>
              <w:top w:w="150" w:type="dxa"/>
              <w:left w:w="75" w:type="dxa"/>
              <w:bottom w:w="150" w:type="dxa"/>
              <w:right w:w="75" w:type="dxa"/>
            </w:tcMar>
            <w:vAlign w:val="center"/>
            <w:hideMark/>
          </w:tcPr>
          <w:p w:rsidR="00335206" w:rsidRPr="00E83877" w:rsidRDefault="00335206" w:rsidP="00E968CD">
            <w:pPr>
              <w:rPr>
                <w:rFonts w:ascii="Times New Roman" w:hAnsi="Times New Roman" w:cs="Times New Roman"/>
                <w:sz w:val="28"/>
                <w:szCs w:val="24"/>
              </w:rPr>
            </w:pPr>
            <w:r w:rsidRPr="00E83877">
              <w:rPr>
                <w:rFonts w:ascii="Times New Roman" w:hAnsi="Times New Roman" w:cs="Times New Roman"/>
                <w:sz w:val="28"/>
                <w:szCs w:val="24"/>
              </w:rPr>
              <w:t>Quỹ mở được quản lý bởi các công ty quản lý quỹ chuyên nghiệp và được quy định bởi các luật đặc biệt để đảm bảo rằng các nhà đầu tư bình thường có thể hưởng lợi từ việc gộp tiền tiết kiệm của họ với các nhà đầu tư khác.</w:t>
            </w:r>
          </w:p>
        </w:tc>
      </w:tr>
    </w:tbl>
    <w:p w:rsidR="00335206" w:rsidRPr="00E83877" w:rsidRDefault="00335206" w:rsidP="00E968CD">
      <w:pPr>
        <w:shd w:val="clear" w:color="auto" w:fill="FFFFFF"/>
        <w:textAlignment w:val="top"/>
        <w:rPr>
          <w:rFonts w:ascii="Times New Roman" w:hAnsi="Times New Roman" w:cs="Times New Roman"/>
          <w:vanish/>
          <w:color w:val="010101"/>
          <w:sz w:val="28"/>
          <w:szCs w:val="24"/>
        </w:rPr>
      </w:pPr>
    </w:p>
    <w:p w:rsidR="00E968CD" w:rsidRPr="00E83877" w:rsidRDefault="00E968CD" w:rsidP="00E968CD">
      <w:pPr>
        <w:pStyle w:val="NormalWeb"/>
        <w:shd w:val="clear" w:color="auto" w:fill="FFFFFF"/>
        <w:rPr>
          <w:color w:val="333333"/>
          <w:sz w:val="28"/>
        </w:rPr>
      </w:pPr>
      <w:r w:rsidRPr="00E83877">
        <w:rPr>
          <w:color w:val="333333"/>
          <w:sz w:val="28"/>
        </w:rPr>
        <w:t>.</w:t>
      </w:r>
    </w:p>
    <w:p w:rsidR="00E968CD" w:rsidRPr="00E968CD" w:rsidRDefault="00E968CD" w:rsidP="00E968CD">
      <w:pPr>
        <w:shd w:val="clear" w:color="auto" w:fill="FFFFFF"/>
        <w:spacing w:before="100" w:beforeAutospacing="1" w:after="100" w:afterAutospacing="1" w:line="240" w:lineRule="auto"/>
        <w:rPr>
          <w:rFonts w:ascii="Times New Roman" w:eastAsia="Times New Roman" w:hAnsi="Times New Roman" w:cs="Times New Roman"/>
          <w:color w:val="333333"/>
          <w:sz w:val="28"/>
          <w:szCs w:val="24"/>
        </w:rPr>
      </w:pPr>
      <w:proofErr w:type="gramStart"/>
      <w:r w:rsidRPr="00E968CD">
        <w:rPr>
          <w:rFonts w:ascii="Times New Roman" w:eastAsia="Times New Roman" w:hAnsi="Times New Roman" w:cs="Times New Roman"/>
          <w:color w:val="333333"/>
          <w:sz w:val="28"/>
          <w:szCs w:val="24"/>
        </w:rPr>
        <w:t>Các nhà đầu tư thanh lý các khoản đầu tư của họ vào một quỹ tương hỗ bằng cách bán lại cổ phần của họ cho quỹ.</w:t>
      </w:r>
      <w:proofErr w:type="gramEnd"/>
      <w:r w:rsidRPr="00E968CD">
        <w:rPr>
          <w:rFonts w:ascii="Times New Roman" w:eastAsia="Times New Roman" w:hAnsi="Times New Roman" w:cs="Times New Roman"/>
          <w:color w:val="333333"/>
          <w:sz w:val="28"/>
          <w:szCs w:val="24"/>
        </w:rPr>
        <w:t> </w:t>
      </w:r>
      <w:proofErr w:type="gramStart"/>
      <w:r w:rsidRPr="00E968CD">
        <w:rPr>
          <w:rFonts w:ascii="Times New Roman" w:eastAsia="Times New Roman" w:hAnsi="Times New Roman" w:cs="Times New Roman"/>
          <w:color w:val="333333"/>
          <w:sz w:val="28"/>
          <w:szCs w:val="24"/>
        </w:rPr>
        <w:t>Giá bán bằng giá trị tài sản ròng của quỹ trên mỗi cổ phiếu, trừ đi mọi khoản phí mua lại hoặc các khoản phí khác.</w:t>
      </w:r>
      <w:proofErr w:type="gramEnd"/>
    </w:p>
    <w:p w:rsidR="00E968CD" w:rsidRPr="00E968CD" w:rsidRDefault="00E968CD" w:rsidP="00E968CD">
      <w:pPr>
        <w:shd w:val="clear" w:color="auto" w:fill="FFFFFF"/>
        <w:spacing w:before="100" w:beforeAutospacing="1" w:after="100" w:afterAutospacing="1" w:line="240" w:lineRule="auto"/>
        <w:rPr>
          <w:rFonts w:ascii="Times New Roman" w:eastAsia="Times New Roman" w:hAnsi="Times New Roman" w:cs="Times New Roman"/>
          <w:color w:val="333333"/>
          <w:sz w:val="28"/>
          <w:szCs w:val="24"/>
        </w:rPr>
      </w:pPr>
      <w:r w:rsidRPr="00E968CD">
        <w:rPr>
          <w:rFonts w:ascii="Times New Roman" w:eastAsia="Times New Roman" w:hAnsi="Times New Roman" w:cs="Times New Roman"/>
          <w:color w:val="333333"/>
          <w:sz w:val="28"/>
          <w:szCs w:val="24"/>
        </w:rPr>
        <w:lastRenderedPageBreak/>
        <w:t xml:space="preserve">Các quỹ tương hỗ </w:t>
      </w:r>
      <w:proofErr w:type="gramStart"/>
      <w:r w:rsidRPr="00E968CD">
        <w:rPr>
          <w:rFonts w:ascii="Times New Roman" w:eastAsia="Times New Roman" w:hAnsi="Times New Roman" w:cs="Times New Roman"/>
          <w:color w:val="333333"/>
          <w:sz w:val="28"/>
          <w:szCs w:val="24"/>
        </w:rPr>
        <w:t>theo</w:t>
      </w:r>
      <w:proofErr w:type="gramEnd"/>
      <w:r w:rsidRPr="00E968CD">
        <w:rPr>
          <w:rFonts w:ascii="Times New Roman" w:eastAsia="Times New Roman" w:hAnsi="Times New Roman" w:cs="Times New Roman"/>
          <w:color w:val="333333"/>
          <w:sz w:val="28"/>
          <w:szCs w:val="24"/>
        </w:rPr>
        <w:t xml:space="preserve"> đuổi nhiều chiến lược đầu tư khác nhau. </w:t>
      </w:r>
      <w:proofErr w:type="gramStart"/>
      <w:r w:rsidRPr="00E968CD">
        <w:rPr>
          <w:rFonts w:ascii="Times New Roman" w:eastAsia="Times New Roman" w:hAnsi="Times New Roman" w:cs="Times New Roman"/>
          <w:color w:val="333333"/>
          <w:sz w:val="28"/>
          <w:szCs w:val="24"/>
        </w:rPr>
        <w:t>Các quỹ cổ phiếu, quỹ trái phiếu, quỹ chỉ số, quỹ thị trường tiền tệ và quỹ ETF đều có thể được tổ chức thành quỹ tương hỗ.</w:t>
      </w:r>
      <w:proofErr w:type="gramEnd"/>
    </w:p>
    <w:p w:rsidR="00062604" w:rsidRPr="00E83877" w:rsidRDefault="00062604" w:rsidP="00E968CD">
      <w:pPr>
        <w:pStyle w:val="NormalWeb"/>
        <w:shd w:val="clear" w:color="auto" w:fill="FFFFFF"/>
        <w:spacing w:before="0" w:beforeAutospacing="0"/>
        <w:rPr>
          <w:bCs/>
          <w:color w:val="010101"/>
          <w:sz w:val="28"/>
        </w:rPr>
      </w:pPr>
    </w:p>
    <w:p w:rsidR="00335206" w:rsidRPr="00E83877" w:rsidRDefault="00335206" w:rsidP="00E968CD">
      <w:pPr>
        <w:pStyle w:val="NormalWeb"/>
        <w:shd w:val="clear" w:color="auto" w:fill="FFFFFF"/>
        <w:spacing w:before="0" w:beforeAutospacing="0"/>
        <w:rPr>
          <w:color w:val="010101"/>
          <w:sz w:val="28"/>
        </w:rPr>
      </w:pPr>
    </w:p>
    <w:p w:rsidR="00335206" w:rsidRPr="00E83877" w:rsidRDefault="00335206" w:rsidP="00E968CD">
      <w:pPr>
        <w:pStyle w:val="NormalWeb"/>
        <w:shd w:val="clear" w:color="auto" w:fill="FFFFFF"/>
        <w:spacing w:before="0" w:beforeAutospacing="0"/>
        <w:rPr>
          <w:color w:val="010101"/>
          <w:sz w:val="28"/>
        </w:rPr>
      </w:pPr>
      <w:r w:rsidRPr="00E83877">
        <w:rPr>
          <w:color w:val="010101"/>
          <w:sz w:val="28"/>
        </w:rPr>
        <w:t> </w:t>
      </w:r>
    </w:p>
    <w:p w:rsidR="00062604" w:rsidRPr="00E83877" w:rsidRDefault="00062604" w:rsidP="00E968CD">
      <w:pPr>
        <w:pStyle w:val="NormalWeb"/>
        <w:shd w:val="clear" w:color="auto" w:fill="FFFFFF"/>
        <w:rPr>
          <w:color w:val="010101"/>
          <w:sz w:val="28"/>
        </w:rPr>
      </w:pPr>
      <w:r w:rsidRPr="00E83877">
        <w:rPr>
          <w:rStyle w:val="Strong"/>
          <w:b w:val="0"/>
          <w:color w:val="005C95"/>
          <w:sz w:val="28"/>
        </w:rPr>
        <w:t>-</w:t>
      </w:r>
      <w:r w:rsidR="00335206" w:rsidRPr="00E83877">
        <w:rPr>
          <w:color w:val="010101"/>
          <w:sz w:val="28"/>
        </w:rPr>
        <w:t> </w:t>
      </w:r>
      <w:r w:rsidRPr="00E83877">
        <w:rPr>
          <w:color w:val="010101"/>
          <w:sz w:val="28"/>
        </w:rPr>
        <w:t>Nhóm quỹ do tất cả các nhà đầu tư đóng góp trong quỹ mở được đầu tư bởi các chuyên gia đầu tư có kinh nghiệm quản lý quỹ bằng chứng khoán của các công ty</w:t>
      </w:r>
      <w:r w:rsidR="00E968CD" w:rsidRPr="00E83877">
        <w:rPr>
          <w:color w:val="010101"/>
          <w:sz w:val="28"/>
        </w:rPr>
        <w:t xml:space="preserve">, </w:t>
      </w:r>
      <w:r w:rsidR="00E968CD" w:rsidRPr="00E83877">
        <w:rPr>
          <w:sz w:val="28"/>
        </w:rPr>
        <w:t>được quy định bởi các luật đặc biệt để đảm bảo rằng các nhà đầu tư bình thường có thể hưởng lợi từ việc gộp tiền tiết kiệm của họ với các nhà đầu tư khác.</w:t>
      </w:r>
      <w:r w:rsidRPr="00E83877">
        <w:rPr>
          <w:color w:val="010101"/>
          <w:sz w:val="28"/>
        </w:rPr>
        <w:t xml:space="preserve"> </w:t>
      </w:r>
      <w:proofErr w:type="gramStart"/>
      <w:r w:rsidRPr="00E83877">
        <w:rPr>
          <w:color w:val="010101"/>
          <w:sz w:val="28"/>
        </w:rPr>
        <w:t>thường</w:t>
      </w:r>
      <w:proofErr w:type="gramEnd"/>
      <w:r w:rsidRPr="00E83877">
        <w:rPr>
          <w:color w:val="010101"/>
          <w:sz w:val="28"/>
        </w:rPr>
        <w:t xml:space="preserve"> là trái phiếu và cổ phiếu. </w:t>
      </w:r>
      <w:proofErr w:type="gramStart"/>
      <w:r w:rsidRPr="00E83877">
        <w:rPr>
          <w:color w:val="010101"/>
          <w:sz w:val="28"/>
        </w:rPr>
        <w:t>Như vậy, đầu tư vào quỹ mở là một hình thức đầu tư gián tiếp vào chứng khoán.</w:t>
      </w:r>
      <w:proofErr w:type="gramEnd"/>
      <w:r w:rsidRPr="00E83877">
        <w:rPr>
          <w:color w:val="010101"/>
          <w:sz w:val="28"/>
        </w:rPr>
        <w:t xml:space="preserve"> </w:t>
      </w:r>
      <w:proofErr w:type="gramStart"/>
      <w:r w:rsidRPr="00E83877">
        <w:rPr>
          <w:color w:val="010101"/>
          <w:sz w:val="28"/>
        </w:rPr>
        <w:t>Thay vì nhận cổ phiếu hoặc trái phiếu của một công ty trực tiếp như thể nhà đầu tư đã đầu tư trực tiếp vào một công ty, nhà đầu tư vào quỹ mở sẽ nhận được các đơn vị trong quỹ.</w:t>
      </w:r>
      <w:proofErr w:type="gramEnd"/>
      <w:r w:rsidRPr="00E83877">
        <w:rPr>
          <w:color w:val="010101"/>
          <w:sz w:val="28"/>
        </w:rPr>
        <w:t xml:space="preserve"> Các đơn vị này là phần sở hữu của nhà đầu tư đối với khối tài sản của quỹ. Nếu quỹ mở hoạt động tốt, tài sản do quỹ quản lý sẽ tăng giá trị, có nghĩa là giá trị của đơn vị cũng tăng đối với tất cả các nhà đầu tư.</w:t>
      </w:r>
    </w:p>
    <w:p w:rsidR="00335206" w:rsidRPr="00E83877" w:rsidRDefault="00062604" w:rsidP="00E968CD">
      <w:pPr>
        <w:pStyle w:val="NormalWeb"/>
        <w:shd w:val="clear" w:color="auto" w:fill="FFFFFF"/>
        <w:spacing w:before="0" w:beforeAutospacing="0"/>
        <w:rPr>
          <w:color w:val="010101"/>
          <w:sz w:val="28"/>
        </w:rPr>
      </w:pPr>
      <w:r w:rsidRPr="00E83877">
        <w:rPr>
          <w:color w:val="010101"/>
          <w:sz w:val="28"/>
        </w:rPr>
        <w:t xml:space="preserve"> </w:t>
      </w:r>
      <w:r w:rsidRPr="00E83877">
        <w:rPr>
          <w:color w:val="010101"/>
          <w:sz w:val="28"/>
        </w:rPr>
        <w:sym w:font="Wingdings" w:char="F0E0"/>
      </w:r>
      <w:r w:rsidRPr="00E83877">
        <w:rPr>
          <w:color w:val="010101"/>
          <w:sz w:val="28"/>
        </w:rPr>
        <w:t>Do đó, quỹ mở có thể mang lại lợi nhuận cao cho nhà đầu tư trong dài hạn.</w:t>
      </w:r>
    </w:p>
    <w:p w:rsidR="00335206" w:rsidRPr="00E83877" w:rsidRDefault="00335206" w:rsidP="00E968CD">
      <w:pPr>
        <w:pStyle w:val="Heading5"/>
        <w:shd w:val="clear" w:color="auto" w:fill="FFFFFF"/>
        <w:spacing w:before="0"/>
        <w:rPr>
          <w:rFonts w:ascii="Times New Roman" w:hAnsi="Times New Roman" w:cs="Times New Roman"/>
          <w:color w:val="010101"/>
          <w:sz w:val="28"/>
          <w:szCs w:val="24"/>
        </w:rPr>
      </w:pPr>
      <w:r w:rsidRPr="00E83877">
        <w:rPr>
          <w:rFonts w:ascii="Times New Roman" w:hAnsi="Times New Roman" w:cs="Times New Roman"/>
          <w:noProof/>
          <w:color w:val="010101"/>
          <w:sz w:val="28"/>
          <w:szCs w:val="24"/>
        </w:rPr>
        <w:drawing>
          <wp:inline distT="0" distB="0" distL="0" distR="0" wp14:anchorId="7ECD75AD" wp14:editId="2B285E77">
            <wp:extent cx="190500" cy="190500"/>
            <wp:effectExtent l="0" t="0" r="0" b="0"/>
            <wp:docPr id="13" name="Picture 13" descr="https://www.vcbf.com/images/icon-ttbv-mu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cbf.com/images/icon-ttbv-mu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gramStart"/>
      <w:r w:rsidRPr="00E83877">
        <w:rPr>
          <w:rStyle w:val="Strong"/>
          <w:rFonts w:ascii="Times New Roman" w:hAnsi="Times New Roman" w:cs="Times New Roman"/>
          <w:b w:val="0"/>
          <w:bCs w:val="0"/>
          <w:color w:val="E25626"/>
          <w:sz w:val="28"/>
          <w:szCs w:val="24"/>
        </w:rPr>
        <w:t>Thích hợp cho ai?</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156"/>
      </w:tblGrid>
      <w:tr w:rsidR="00335206" w:rsidRPr="00E83877" w:rsidTr="00335206">
        <w:tc>
          <w:tcPr>
            <w:tcW w:w="1800" w:type="dxa"/>
            <w:shd w:val="clear" w:color="auto" w:fill="FFFFFF"/>
            <w:tcMar>
              <w:top w:w="150" w:type="dxa"/>
              <w:left w:w="75" w:type="dxa"/>
              <w:bottom w:w="150" w:type="dxa"/>
              <w:right w:w="75" w:type="dxa"/>
            </w:tcMar>
            <w:vAlign w:val="center"/>
            <w:hideMark/>
          </w:tcPr>
          <w:p w:rsidR="00335206" w:rsidRPr="00E83877" w:rsidRDefault="00335206" w:rsidP="00E968CD">
            <w:pPr>
              <w:rPr>
                <w:rFonts w:ascii="Times New Roman" w:hAnsi="Times New Roman" w:cs="Times New Roman"/>
                <w:color w:val="010101"/>
                <w:sz w:val="28"/>
                <w:szCs w:val="24"/>
              </w:rPr>
            </w:pPr>
          </w:p>
        </w:tc>
        <w:tc>
          <w:tcPr>
            <w:tcW w:w="0" w:type="auto"/>
            <w:shd w:val="clear" w:color="auto" w:fill="FFFFFF"/>
            <w:tcMar>
              <w:top w:w="150" w:type="dxa"/>
              <w:left w:w="75" w:type="dxa"/>
              <w:bottom w:w="150" w:type="dxa"/>
              <w:right w:w="75" w:type="dxa"/>
            </w:tcMar>
            <w:vAlign w:val="center"/>
            <w:hideMark/>
          </w:tcPr>
          <w:p w:rsidR="00335206" w:rsidRPr="00E83877" w:rsidRDefault="00335206" w:rsidP="00E968CD">
            <w:pPr>
              <w:rPr>
                <w:rFonts w:ascii="Times New Roman" w:hAnsi="Times New Roman" w:cs="Times New Roman"/>
                <w:color w:val="010101"/>
                <w:sz w:val="28"/>
                <w:szCs w:val="24"/>
              </w:rPr>
            </w:pPr>
          </w:p>
        </w:tc>
      </w:tr>
    </w:tbl>
    <w:p w:rsidR="00335206" w:rsidRPr="00E83877" w:rsidRDefault="00062604" w:rsidP="00E968CD">
      <w:pPr>
        <w:pStyle w:val="NormalWeb"/>
        <w:shd w:val="clear" w:color="auto" w:fill="FFFFFF"/>
        <w:spacing w:before="0" w:beforeAutospacing="0"/>
        <w:rPr>
          <w:color w:val="010101"/>
          <w:sz w:val="28"/>
        </w:rPr>
      </w:pPr>
      <w:r w:rsidRPr="00E83877">
        <w:rPr>
          <w:color w:val="010101"/>
          <w:sz w:val="28"/>
        </w:rPr>
        <w:t>Nhà đầu tư không có kiến ​​thức chuyên môn về tài chính</w:t>
      </w:r>
      <w:r w:rsidRPr="00E83877">
        <w:rPr>
          <w:color w:val="010101"/>
          <w:sz w:val="28"/>
        </w:rPr>
        <w:br/>
        <w:t>Nhà đầu tư bận rộn và không có thời gian phân tích thị trường hàng ngày</w:t>
      </w:r>
      <w:r w:rsidRPr="00E83877">
        <w:rPr>
          <w:color w:val="010101"/>
          <w:sz w:val="28"/>
        </w:rPr>
        <w:br/>
        <w:t>Nhà đầu tư muốn đầu tư dài hạn</w:t>
      </w:r>
      <w:r w:rsidRPr="00E83877">
        <w:rPr>
          <w:color w:val="010101"/>
          <w:sz w:val="28"/>
        </w:rPr>
        <w:br/>
        <w:t>Nhà đầu tư thích tính kỷ luật và tiện lợi</w:t>
      </w:r>
      <w:r w:rsidRPr="00E83877">
        <w:rPr>
          <w:color w:val="010101"/>
          <w:sz w:val="28"/>
        </w:rPr>
        <w:br/>
        <w:t>Nhà đầu tư muốn đa dạng hóa đầu tư</w:t>
      </w:r>
    </w:p>
    <w:p w:rsidR="00335206" w:rsidRPr="00E83877" w:rsidRDefault="00335206" w:rsidP="00E968CD">
      <w:pPr>
        <w:pStyle w:val="Heading5"/>
        <w:shd w:val="clear" w:color="auto" w:fill="FFFFFF"/>
        <w:spacing w:before="0"/>
        <w:rPr>
          <w:rFonts w:ascii="Times New Roman" w:hAnsi="Times New Roman" w:cs="Times New Roman"/>
          <w:color w:val="010101"/>
          <w:sz w:val="28"/>
          <w:szCs w:val="24"/>
        </w:rPr>
      </w:pPr>
      <w:r w:rsidRPr="00E83877">
        <w:rPr>
          <w:rFonts w:ascii="Times New Roman" w:hAnsi="Times New Roman" w:cs="Times New Roman"/>
          <w:noProof/>
          <w:color w:val="010101"/>
          <w:sz w:val="28"/>
          <w:szCs w:val="24"/>
        </w:rPr>
        <w:drawing>
          <wp:inline distT="0" distB="0" distL="0" distR="0" wp14:anchorId="46BCD55E" wp14:editId="555264B1">
            <wp:extent cx="190500" cy="190500"/>
            <wp:effectExtent l="0" t="0" r="0" b="0"/>
            <wp:docPr id="6" name="Picture 6" descr="https://www.vcbf.com/images/icon-ttbv-mu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vcbf.com/images/icon-ttbv-mu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83877">
        <w:rPr>
          <w:rStyle w:val="Strong"/>
          <w:rFonts w:ascii="Times New Roman" w:hAnsi="Times New Roman" w:cs="Times New Roman"/>
          <w:b w:val="0"/>
          <w:bCs w:val="0"/>
          <w:color w:val="E25626"/>
          <w:sz w:val="28"/>
          <w:szCs w:val="24"/>
        </w:rPr>
        <w:t>Các loại quỹ mở</w:t>
      </w:r>
    </w:p>
    <w:p w:rsidR="00335206" w:rsidRPr="00E83877" w:rsidRDefault="00FE16E1" w:rsidP="00E968CD">
      <w:pPr>
        <w:pStyle w:val="NormalWeb"/>
        <w:shd w:val="clear" w:color="auto" w:fill="FFFFFF"/>
        <w:spacing w:before="0" w:beforeAutospacing="0"/>
        <w:rPr>
          <w:color w:val="010101"/>
          <w:sz w:val="28"/>
        </w:rPr>
      </w:pPr>
      <w:r w:rsidRPr="00E83877">
        <w:rPr>
          <w:color w:val="010101"/>
          <w:sz w:val="28"/>
        </w:rPr>
        <w:t>H</w:t>
      </w:r>
      <w:r w:rsidRPr="00E83877">
        <w:rPr>
          <w:color w:val="010101"/>
          <w:sz w:val="28"/>
        </w:rPr>
        <w:t>ai loại quỹ mở phổ biến</w:t>
      </w:r>
      <w:r w:rsidRPr="00E83877">
        <w:rPr>
          <w:color w:val="010101"/>
          <w:sz w:val="28"/>
        </w:rPr>
        <w:t xml:space="preserve"> là </w:t>
      </w:r>
      <w:r w:rsidR="00062604" w:rsidRPr="00E83877">
        <w:rPr>
          <w:color w:val="010101"/>
          <w:sz w:val="28"/>
        </w:rPr>
        <w:t xml:space="preserve">vốn chủ sở hữu </w:t>
      </w:r>
      <w:r w:rsidRPr="00E83877">
        <w:rPr>
          <w:color w:val="010101"/>
          <w:sz w:val="28"/>
        </w:rPr>
        <w:t>và trái phiếu</w:t>
      </w:r>
      <w:r w:rsidR="00062604" w:rsidRPr="00E83877">
        <w:rPr>
          <w:color w:val="010101"/>
          <w:sz w:val="28"/>
        </w:rPr>
        <w:br/>
      </w:r>
      <w:r w:rsidRPr="00E83877">
        <w:rPr>
          <w:color w:val="010101"/>
          <w:sz w:val="28"/>
        </w:rPr>
        <w:t xml:space="preserve">Ngoài ra còn có nhiều loại quỹ mở khác nhau, </w:t>
      </w:r>
      <w:r w:rsidR="00062604" w:rsidRPr="00E83877">
        <w:rPr>
          <w:color w:val="010101"/>
          <w:sz w:val="28"/>
        </w:rPr>
        <w:t xml:space="preserve">thay đổi tùy </w:t>
      </w:r>
      <w:proofErr w:type="gramStart"/>
      <w:r w:rsidR="00062604" w:rsidRPr="00E83877">
        <w:rPr>
          <w:color w:val="010101"/>
          <w:sz w:val="28"/>
        </w:rPr>
        <w:t>theo</w:t>
      </w:r>
      <w:proofErr w:type="gramEnd"/>
      <w:r w:rsidR="00062604" w:rsidRPr="00E83877">
        <w:rPr>
          <w:color w:val="010101"/>
          <w:sz w:val="28"/>
        </w:rPr>
        <w:t xml:space="preserve"> chứng khoán và thị trường mà họ đầu tư vào.</w:t>
      </w:r>
      <w:r w:rsidR="00335206" w:rsidRPr="00E83877">
        <w:rPr>
          <w:color w:val="010101"/>
          <w:sz w:val="28"/>
        </w:rPr>
        <w:t> </w:t>
      </w:r>
    </w:p>
    <w:p w:rsidR="00335206" w:rsidRPr="00E83877" w:rsidRDefault="00335206" w:rsidP="00E968CD">
      <w:pPr>
        <w:pStyle w:val="NormalWeb"/>
        <w:shd w:val="clear" w:color="auto" w:fill="FFFFFF"/>
        <w:spacing w:before="0" w:beforeAutospacing="0"/>
        <w:rPr>
          <w:color w:val="010101"/>
          <w:sz w:val="28"/>
        </w:rPr>
      </w:pPr>
      <w:r w:rsidRPr="00E83877">
        <w:rPr>
          <w:color w:val="010101"/>
          <w:sz w:val="28"/>
        </w:rPr>
        <w:t> </w:t>
      </w:r>
    </w:p>
    <w:p w:rsidR="00335206" w:rsidRPr="00E83877" w:rsidRDefault="00335206" w:rsidP="00E968CD">
      <w:pPr>
        <w:pStyle w:val="Heading5"/>
        <w:shd w:val="clear" w:color="auto" w:fill="FFFFFF"/>
        <w:spacing w:before="0"/>
        <w:rPr>
          <w:rFonts w:ascii="Times New Roman" w:hAnsi="Times New Roman" w:cs="Times New Roman"/>
          <w:color w:val="010101"/>
          <w:sz w:val="28"/>
          <w:szCs w:val="24"/>
        </w:rPr>
      </w:pPr>
      <w:r w:rsidRPr="00E83877">
        <w:rPr>
          <w:rFonts w:ascii="Times New Roman" w:hAnsi="Times New Roman" w:cs="Times New Roman"/>
          <w:noProof/>
          <w:color w:val="010101"/>
          <w:sz w:val="28"/>
          <w:szCs w:val="24"/>
        </w:rPr>
        <w:lastRenderedPageBreak/>
        <w:drawing>
          <wp:inline distT="0" distB="0" distL="0" distR="0" wp14:anchorId="54EDC991" wp14:editId="415AB5C3">
            <wp:extent cx="190500" cy="190500"/>
            <wp:effectExtent l="0" t="0" r="0" b="0"/>
            <wp:docPr id="3" name="Picture 3" descr="https://www.vcbf.com/images/icon-ttbv-mu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vcbf.com/images/icon-ttbv-mu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83877">
        <w:rPr>
          <w:rStyle w:val="Strong"/>
          <w:rFonts w:ascii="Times New Roman" w:hAnsi="Times New Roman" w:cs="Times New Roman"/>
          <w:b w:val="0"/>
          <w:bCs w:val="0"/>
          <w:color w:val="E25626"/>
          <w:sz w:val="28"/>
          <w:szCs w:val="24"/>
        </w:rPr>
        <w:t>Các quỹ mở trên toàn thế giới</w:t>
      </w:r>
    </w:p>
    <w:p w:rsidR="00335206" w:rsidRPr="00E83877" w:rsidRDefault="00335206" w:rsidP="00E968CD">
      <w:pPr>
        <w:pStyle w:val="NormalWeb"/>
        <w:shd w:val="clear" w:color="auto" w:fill="FFFFFF"/>
        <w:spacing w:before="0" w:beforeAutospacing="0"/>
        <w:rPr>
          <w:color w:val="010101"/>
          <w:sz w:val="28"/>
        </w:rPr>
      </w:pPr>
      <w:proofErr w:type="gramStart"/>
      <w:r w:rsidRPr="00E83877">
        <w:rPr>
          <w:color w:val="010101"/>
          <w:sz w:val="28"/>
        </w:rPr>
        <w:t>Quỹ mở khá mới ở Việt Nam, nhưng đã tồn tại ở các thị trường khác trong nhiều năm.</w:t>
      </w:r>
      <w:proofErr w:type="gramEnd"/>
      <w:r w:rsidRPr="00E83877">
        <w:rPr>
          <w:color w:val="010101"/>
          <w:sz w:val="28"/>
        </w:rPr>
        <w:t> </w:t>
      </w:r>
      <w:proofErr w:type="gramStart"/>
      <w:r w:rsidRPr="00E83877">
        <w:rPr>
          <w:color w:val="010101"/>
          <w:sz w:val="28"/>
        </w:rPr>
        <w:t>Ở Mỹ, khoảng một nửa số hộ gia đình đang đầu tư vào quỹ mở.</w:t>
      </w:r>
      <w:proofErr w:type="gramEnd"/>
    </w:p>
    <w:p w:rsidR="00335206" w:rsidRPr="00E83877" w:rsidRDefault="00335206" w:rsidP="00E968CD">
      <w:pPr>
        <w:shd w:val="clear" w:color="auto" w:fill="FFFFFF"/>
        <w:rPr>
          <w:rFonts w:ascii="Times New Roman" w:hAnsi="Times New Roman" w:cs="Times New Roman"/>
          <w:color w:val="010101"/>
          <w:sz w:val="28"/>
          <w:szCs w:val="24"/>
        </w:rPr>
      </w:pPr>
      <w:r w:rsidRPr="00E83877">
        <w:rPr>
          <w:rFonts w:ascii="Times New Roman" w:hAnsi="Times New Roman" w:cs="Times New Roman"/>
          <w:noProof/>
          <w:color w:val="010101"/>
          <w:sz w:val="28"/>
          <w:szCs w:val="24"/>
        </w:rPr>
        <w:drawing>
          <wp:inline distT="0" distB="0" distL="0" distR="0" wp14:anchorId="4FFBDDDE" wp14:editId="0C7B7A4C">
            <wp:extent cx="6477000" cy="1057275"/>
            <wp:effectExtent l="0" t="0" r="0" b="9525"/>
            <wp:docPr id="2" name="Picture 2" descr="https://www.vcbf.com/images/pollanball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vcbf.com/images/pollanball_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1057275"/>
                    </a:xfrm>
                    <a:prstGeom prst="rect">
                      <a:avLst/>
                    </a:prstGeom>
                    <a:noFill/>
                    <a:ln>
                      <a:noFill/>
                    </a:ln>
                  </pic:spPr>
                </pic:pic>
              </a:graphicData>
            </a:graphic>
          </wp:inline>
        </w:drawing>
      </w:r>
    </w:p>
    <w:p w:rsidR="00A06967" w:rsidRPr="00E83877" w:rsidRDefault="00A06967" w:rsidP="00E968CD">
      <w:pPr>
        <w:pStyle w:val="Heading2"/>
        <w:rPr>
          <w:b w:val="0"/>
          <w:sz w:val="28"/>
          <w:szCs w:val="24"/>
          <w:shd w:val="clear" w:color="auto" w:fill="F8F8F8"/>
        </w:rPr>
      </w:pPr>
      <w:r w:rsidRPr="00E83877">
        <w:rPr>
          <w:b w:val="0"/>
          <w:sz w:val="28"/>
          <w:szCs w:val="24"/>
          <w:shd w:val="clear" w:color="auto" w:fill="F8F8F8"/>
        </w:rPr>
        <w:br/>
      </w:r>
      <w:bookmarkStart w:id="9" w:name="_Toc50580925"/>
      <w:r w:rsidRPr="00E83877">
        <w:rPr>
          <w:b w:val="0"/>
          <w:sz w:val="28"/>
          <w:szCs w:val="24"/>
          <w:shd w:val="clear" w:color="auto" w:fill="F8F8F8"/>
        </w:rPr>
        <w:t>Căn cứ vào cơ cầu tổ chức</w:t>
      </w:r>
      <w:r w:rsidR="00F956D8" w:rsidRPr="00E83877">
        <w:rPr>
          <w:b w:val="0"/>
          <w:sz w:val="28"/>
          <w:szCs w:val="24"/>
          <w:shd w:val="clear" w:color="auto" w:fill="F8F8F8"/>
        </w:rPr>
        <w:t xml:space="preserve"> và hoạt động của quỹ:</w:t>
      </w:r>
      <w:bookmarkEnd w:id="9"/>
    </w:p>
    <w:p w:rsidR="00062604" w:rsidRPr="00E83877" w:rsidRDefault="00A06967" w:rsidP="00E968CD">
      <w:pPr>
        <w:pStyle w:val="Heading3"/>
        <w:rPr>
          <w:rFonts w:ascii="Times New Roman" w:hAnsi="Times New Roman" w:cs="Times New Roman"/>
          <w:b w:val="0"/>
          <w:sz w:val="28"/>
          <w:szCs w:val="24"/>
        </w:rPr>
      </w:pPr>
      <w:r w:rsidRPr="00E83877">
        <w:rPr>
          <w:rFonts w:ascii="Times New Roman" w:hAnsi="Times New Roman" w:cs="Times New Roman"/>
          <w:b w:val="0"/>
          <w:sz w:val="28"/>
          <w:szCs w:val="24"/>
        </w:rPr>
        <w:t xml:space="preserve"> </w:t>
      </w:r>
      <w:bookmarkStart w:id="10" w:name="_Toc50580926"/>
      <w:r w:rsidRPr="00E83877">
        <w:rPr>
          <w:rFonts w:ascii="Times New Roman" w:hAnsi="Times New Roman" w:cs="Times New Roman"/>
          <w:b w:val="0"/>
          <w:sz w:val="28"/>
          <w:szCs w:val="24"/>
        </w:rPr>
        <w:t>–Qũy đầu tư dạng công ty</w:t>
      </w:r>
      <w:bookmarkEnd w:id="10"/>
      <w:r w:rsidRPr="00E83877">
        <w:rPr>
          <w:rFonts w:ascii="Times New Roman" w:hAnsi="Times New Roman" w:cs="Times New Roman"/>
          <w:b w:val="0"/>
          <w:sz w:val="28"/>
          <w:szCs w:val="24"/>
        </w:rPr>
        <w:t xml:space="preserve"> </w:t>
      </w:r>
    </w:p>
    <w:p w:rsidR="00062604" w:rsidRPr="00E83877" w:rsidRDefault="00F956D8" w:rsidP="00E968CD">
      <w:pPr>
        <w:pStyle w:val="Heading3"/>
        <w:rPr>
          <w:rFonts w:ascii="Times New Roman" w:hAnsi="Times New Roman" w:cs="Times New Roman"/>
          <w:b w:val="0"/>
          <w:sz w:val="28"/>
          <w:szCs w:val="24"/>
        </w:rPr>
      </w:pPr>
      <w:bookmarkStart w:id="11" w:name="_Toc50580927"/>
      <w:bookmarkStart w:id="12" w:name="_GoBack"/>
      <w:r w:rsidRPr="00E83877">
        <w:rPr>
          <w:rStyle w:val="Heading3Char"/>
          <w:rFonts w:ascii="Times New Roman" w:hAnsi="Times New Roman" w:cs="Times New Roman"/>
          <w:bCs/>
          <w:sz w:val="28"/>
          <w:szCs w:val="24"/>
        </w:rPr>
        <w:t>Qũy đầu tư dạng Tín thác\Hợp đồng</w:t>
      </w:r>
      <w:bookmarkEnd w:id="11"/>
    </w:p>
    <w:p w:rsidR="00A06967" w:rsidRPr="00E83877" w:rsidRDefault="00A06967" w:rsidP="00E968CD">
      <w:pPr>
        <w:pStyle w:val="Heading2"/>
        <w:rPr>
          <w:b w:val="0"/>
          <w:color w:val="4F81BD" w:themeColor="accent1"/>
          <w:sz w:val="28"/>
          <w:szCs w:val="24"/>
        </w:rPr>
      </w:pPr>
      <w:bookmarkStart w:id="13" w:name="_Toc50580928"/>
      <w:bookmarkEnd w:id="12"/>
      <w:r w:rsidRPr="00E83877">
        <w:rPr>
          <w:rStyle w:val="Heading2Char"/>
          <w:sz w:val="28"/>
          <w:szCs w:val="24"/>
        </w:rPr>
        <w:t>Căn cứ vào nguồn vốn huy động</w:t>
      </w:r>
      <w:bookmarkEnd w:id="13"/>
      <w:r w:rsidRPr="00E83877">
        <w:rPr>
          <w:b w:val="0"/>
          <w:color w:val="333333"/>
          <w:sz w:val="28"/>
          <w:szCs w:val="24"/>
          <w:shd w:val="clear" w:color="auto" w:fill="F8F8F8"/>
        </w:rPr>
        <w:t xml:space="preserve"> </w:t>
      </w:r>
    </w:p>
    <w:p w:rsidR="00A06967" w:rsidRPr="00E83877" w:rsidRDefault="00A06967" w:rsidP="00E968CD">
      <w:pPr>
        <w:pStyle w:val="Heading3"/>
        <w:rPr>
          <w:rFonts w:ascii="Times New Roman" w:hAnsi="Times New Roman" w:cs="Times New Roman"/>
          <w:b w:val="0"/>
          <w:sz w:val="28"/>
          <w:szCs w:val="24"/>
        </w:rPr>
      </w:pPr>
      <w:bookmarkStart w:id="14" w:name="_Toc50580929"/>
      <w:r w:rsidRPr="00E83877">
        <w:rPr>
          <w:rStyle w:val="Heading2Char"/>
          <w:rFonts w:eastAsiaTheme="majorEastAsia"/>
          <w:bCs/>
          <w:sz w:val="28"/>
          <w:szCs w:val="24"/>
        </w:rPr>
        <w:t>Quỹ đầu tư tập thể (Qũy công chúng)</w:t>
      </w:r>
      <w:bookmarkEnd w:id="14"/>
      <w:r w:rsidRPr="00E83877">
        <w:rPr>
          <w:rFonts w:ascii="Times New Roman" w:hAnsi="Times New Roman" w:cs="Times New Roman"/>
          <w:b w:val="0"/>
          <w:sz w:val="28"/>
          <w:szCs w:val="24"/>
        </w:rPr>
        <w:t xml:space="preserve"> </w:t>
      </w:r>
    </w:p>
    <w:p w:rsidR="00E83877" w:rsidRDefault="00E83877" w:rsidP="00E83877">
      <w:pPr>
        <w:rPr>
          <w:rFonts w:ascii="Times New Roman" w:hAnsi="Times New Roman" w:cs="Times New Roman"/>
        </w:rPr>
      </w:pPr>
      <w:r w:rsidRPr="00E83877">
        <w:rPr>
          <w:rFonts w:ascii="Times New Roman" w:hAnsi="Times New Roman" w:cs="Times New Roman"/>
        </w:rPr>
        <w:t xml:space="preserve">Quỹ đầu tư tập thể (CIF) là một quỹ tín thác do ngân hàng quản lý, nắm giữ các tài sản đi kèm đáp ứng các tiêu chí cụ thể được thiết lập bởi 12 CFR 9.18. </w:t>
      </w:r>
      <w:proofErr w:type="gramStart"/>
      <w:r w:rsidRPr="00E83877">
        <w:rPr>
          <w:rFonts w:ascii="Times New Roman" w:hAnsi="Times New Roman" w:cs="Times New Roman"/>
        </w:rPr>
        <w:t>Ngân hàng đóng vai trò là người ủy thác cho CIF và giữ quyền hợp pháp đối với tài sản của quỹ.</w:t>
      </w:r>
      <w:proofErr w:type="gramEnd"/>
      <w:r w:rsidRPr="00E83877">
        <w:rPr>
          <w:rFonts w:ascii="Times New Roman" w:hAnsi="Times New Roman" w:cs="Times New Roman"/>
        </w:rPr>
        <w:t xml:space="preserve"> </w:t>
      </w:r>
      <w:proofErr w:type="gramStart"/>
      <w:r w:rsidRPr="00E83877">
        <w:rPr>
          <w:rFonts w:ascii="Times New Roman" w:hAnsi="Times New Roman" w:cs="Times New Roman"/>
        </w:rPr>
        <w:t>CIF cho phép các ngân hàng tránh mua các khoản đầu tư lô nhỏ tốn kém cho các tài khoản ủy thác nhỏ hơn của họ.</w:t>
      </w:r>
      <w:proofErr w:type="gramEnd"/>
    </w:p>
    <w:p w:rsidR="00E83877" w:rsidRPr="00E83877" w:rsidRDefault="00E83877" w:rsidP="00E83877">
      <w:pPr>
        <w:rPr>
          <w:rFonts w:ascii="Times New Roman" w:hAnsi="Times New Roman" w:cs="Times New Roman"/>
        </w:rPr>
      </w:pPr>
    </w:p>
    <w:p w:rsidR="00E968CD" w:rsidRPr="00E83877" w:rsidRDefault="00A06967" w:rsidP="00E968CD">
      <w:pPr>
        <w:pStyle w:val="Heading3"/>
        <w:rPr>
          <w:rFonts w:ascii="Times New Roman" w:eastAsia="Times New Roman" w:hAnsi="Times New Roman" w:cs="Times New Roman"/>
          <w:b w:val="0"/>
          <w:color w:val="313131"/>
          <w:sz w:val="28"/>
          <w:szCs w:val="24"/>
        </w:rPr>
      </w:pPr>
      <w:bookmarkStart w:id="15" w:name="_Toc50580930"/>
      <w:r w:rsidRPr="00E83877">
        <w:rPr>
          <w:rFonts w:ascii="Times New Roman" w:hAnsi="Times New Roman" w:cs="Times New Roman"/>
          <w:b w:val="0"/>
          <w:sz w:val="28"/>
          <w:szCs w:val="24"/>
          <w:shd w:val="clear" w:color="auto" w:fill="F8F8F8"/>
        </w:rPr>
        <w:lastRenderedPageBreak/>
        <w:t xml:space="preserve">-Quỹ đầu tư tư nhân (Quỹ thành </w:t>
      </w:r>
      <w:proofErr w:type="gramStart"/>
      <w:r w:rsidRPr="00E83877">
        <w:rPr>
          <w:rFonts w:ascii="Times New Roman" w:hAnsi="Times New Roman" w:cs="Times New Roman"/>
          <w:b w:val="0"/>
          <w:sz w:val="28"/>
          <w:szCs w:val="24"/>
          <w:shd w:val="clear" w:color="auto" w:fill="F8F8F8"/>
        </w:rPr>
        <w:t>viên )</w:t>
      </w:r>
      <w:bookmarkEnd w:id="15"/>
      <w:proofErr w:type="gramEnd"/>
      <w:r w:rsidRPr="00E83877">
        <w:rPr>
          <w:rFonts w:ascii="Times New Roman" w:hAnsi="Times New Roman" w:cs="Times New Roman"/>
          <w:b w:val="0"/>
          <w:sz w:val="28"/>
          <w:szCs w:val="24"/>
          <w:shd w:val="clear" w:color="auto" w:fill="F8F8F8"/>
        </w:rPr>
        <w:t xml:space="preserve"> </w:t>
      </w:r>
      <w:r w:rsidRPr="00E83877">
        <w:rPr>
          <w:rFonts w:ascii="Times New Roman" w:hAnsi="Times New Roman" w:cs="Times New Roman"/>
          <w:b w:val="0"/>
          <w:sz w:val="28"/>
          <w:szCs w:val="24"/>
        </w:rPr>
        <w:br/>
      </w:r>
      <w:r w:rsidRPr="00E83877">
        <w:rPr>
          <w:rFonts w:ascii="Times New Roman" w:hAnsi="Times New Roman" w:cs="Times New Roman"/>
          <w:b w:val="0"/>
          <w:sz w:val="28"/>
          <w:szCs w:val="24"/>
        </w:rPr>
        <w:br/>
      </w:r>
      <w:r w:rsidR="00E968CD" w:rsidRPr="00E83877">
        <w:rPr>
          <w:rFonts w:ascii="Times New Roman" w:eastAsia="Times New Roman" w:hAnsi="Times New Roman" w:cs="Times New Roman"/>
          <w:b w:val="0"/>
          <w:color w:val="313131"/>
          <w:sz w:val="28"/>
          <w:szCs w:val="24"/>
        </w:rPr>
        <w:t xml:space="preserve">Các quỹ tư nhân khác với các công ty đầu tư đã đăng ký ở chỗ chúng chỉ được cung cấp cho một số giới hạn các nhà đầu tư sành sỏi về tài chính hơn là cho công chúng. Điều này cho phép các quỹ tư nhân tránh đăng ký làm công ty đầu tư </w:t>
      </w:r>
      <w:proofErr w:type="gramStart"/>
      <w:r w:rsidR="00E968CD" w:rsidRPr="00E83877">
        <w:rPr>
          <w:rFonts w:ascii="Times New Roman" w:eastAsia="Times New Roman" w:hAnsi="Times New Roman" w:cs="Times New Roman"/>
          <w:b w:val="0"/>
          <w:color w:val="313131"/>
          <w:sz w:val="28"/>
          <w:szCs w:val="24"/>
        </w:rPr>
        <w:t>theo</w:t>
      </w:r>
      <w:proofErr w:type="gramEnd"/>
      <w:r w:rsidR="00E968CD" w:rsidRPr="00E83877">
        <w:rPr>
          <w:rFonts w:ascii="Times New Roman" w:eastAsia="Times New Roman" w:hAnsi="Times New Roman" w:cs="Times New Roman"/>
          <w:b w:val="0"/>
          <w:color w:val="313131"/>
          <w:sz w:val="28"/>
          <w:szCs w:val="24"/>
        </w:rPr>
        <w:t xml:space="preserve"> Đạo luật 1940 hoặc đăng ký chứng khoán của họ theo Đạo luật 1933. Do đó, các quỹ tư nhân tránh được nhiều nghĩa vụ báo cáo và tuân thủ liên tục áp đặt đối với các công ty đầu tư đã đăng ký. </w:t>
      </w:r>
      <w:proofErr w:type="gramStart"/>
      <w:r w:rsidR="00E968CD" w:rsidRPr="00E83877">
        <w:rPr>
          <w:rFonts w:ascii="Times New Roman" w:eastAsia="Times New Roman" w:hAnsi="Times New Roman" w:cs="Times New Roman"/>
          <w:b w:val="0"/>
          <w:color w:val="313131"/>
          <w:sz w:val="28"/>
          <w:szCs w:val="24"/>
        </w:rPr>
        <w:t>Các loại quỹ tư nhân phổ biến bao gồm quỹ đầu cơ, quỹ cổ phần tư nhân và quỹ tương lai được quản lý (còn được gọi là “nhóm hàng hóa”).</w:t>
      </w:r>
      <w:proofErr w:type="gramEnd"/>
    </w:p>
    <w:p w:rsidR="00E968CD" w:rsidRPr="00E83877" w:rsidRDefault="00E968CD" w:rsidP="00E968CD">
      <w:pPr>
        <w:pStyle w:val="Heading3"/>
        <w:rPr>
          <w:rFonts w:ascii="Times New Roman" w:eastAsia="Times New Roman" w:hAnsi="Times New Roman" w:cs="Times New Roman"/>
          <w:b w:val="0"/>
          <w:color w:val="313131"/>
          <w:sz w:val="28"/>
          <w:szCs w:val="24"/>
        </w:rPr>
      </w:pPr>
    </w:p>
    <w:p w:rsidR="00A06967" w:rsidRPr="00E83877" w:rsidRDefault="00E968CD" w:rsidP="00E968CD">
      <w:pPr>
        <w:pStyle w:val="Heading3"/>
        <w:rPr>
          <w:rFonts w:ascii="Times New Roman" w:eastAsia="Times New Roman" w:hAnsi="Times New Roman" w:cs="Times New Roman"/>
          <w:b w:val="0"/>
          <w:color w:val="313131"/>
          <w:sz w:val="28"/>
          <w:szCs w:val="24"/>
        </w:rPr>
      </w:pPr>
      <w:r w:rsidRPr="00E83877">
        <w:rPr>
          <w:rFonts w:ascii="Times New Roman" w:eastAsia="Times New Roman" w:hAnsi="Times New Roman" w:cs="Times New Roman"/>
          <w:b w:val="0"/>
          <w:color w:val="313131"/>
          <w:sz w:val="28"/>
          <w:szCs w:val="24"/>
        </w:rPr>
        <w:t>Trái ngược với các công ty đầu tư đã đăng ký, luôn phải được tổ chức tại Hoa Kỳ, các quỹ tư nhân thường được tổ chức ở các khu vực pháp lý nước ngoài vì các lý do về thuế, quy định và tiếp thị.</w:t>
      </w:r>
    </w:p>
    <w:p w:rsidR="00A06967" w:rsidRPr="00E83877" w:rsidRDefault="00A06967" w:rsidP="00E968CD">
      <w:pPr>
        <w:shd w:val="clear" w:color="auto" w:fill="FFFFFF"/>
        <w:spacing w:after="300" w:line="240" w:lineRule="auto"/>
        <w:textAlignment w:val="baseline"/>
        <w:rPr>
          <w:rFonts w:ascii="Times New Roman" w:eastAsia="Times New Roman" w:hAnsi="Times New Roman" w:cs="Times New Roman"/>
          <w:color w:val="313131"/>
          <w:sz w:val="28"/>
          <w:szCs w:val="24"/>
        </w:rPr>
      </w:pPr>
      <w:r w:rsidRPr="00E83877">
        <w:rPr>
          <w:rFonts w:ascii="Times New Roman" w:eastAsia="Times New Roman" w:hAnsi="Times New Roman" w:cs="Times New Roman"/>
          <w:color w:val="313131"/>
          <w:sz w:val="28"/>
          <w:szCs w:val="24"/>
        </w:rPr>
        <w:br/>
        <w:t>-Các giai đoạn hình thành và phát triển, tình hình hoạt động của từng giai đoạn</w:t>
      </w:r>
    </w:p>
    <w:p w:rsidR="00A06967" w:rsidRPr="00E83877" w:rsidRDefault="00A06967" w:rsidP="00E968CD">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Nửa đầu những thập kỷ 90</w:t>
      </w:r>
    </w:p>
    <w:p w:rsidR="00A06967" w:rsidRPr="00E83877" w:rsidRDefault="00A06967" w:rsidP="00E968CD">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 xml:space="preserve"> Giai đoạn 2002 – 2005</w:t>
      </w:r>
    </w:p>
    <w:p w:rsidR="00A06967" w:rsidRPr="00E83877" w:rsidRDefault="00A06967" w:rsidP="00E968CD">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Giai đoạn 2006 – 2007</w:t>
      </w:r>
    </w:p>
    <w:p w:rsidR="00A06967" w:rsidRPr="00E83877" w:rsidRDefault="00A06967" w:rsidP="00E968CD">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Giai đoạn 2008 – 2009</w:t>
      </w:r>
    </w:p>
    <w:p w:rsidR="00A06967" w:rsidRPr="00E83877" w:rsidRDefault="00A06967" w:rsidP="00E968CD">
      <w:pPr>
        <w:rPr>
          <w:rFonts w:ascii="Times New Roman" w:hAnsi="Times New Roman" w:cs="Times New Roman"/>
          <w:color w:val="333333"/>
          <w:sz w:val="28"/>
          <w:szCs w:val="24"/>
          <w:shd w:val="clear" w:color="auto" w:fill="F8F8F8"/>
        </w:rPr>
      </w:pPr>
      <w:r w:rsidRPr="00E83877">
        <w:rPr>
          <w:rFonts w:ascii="Times New Roman" w:hAnsi="Times New Roman" w:cs="Times New Roman"/>
          <w:color w:val="333333"/>
          <w:sz w:val="28"/>
          <w:szCs w:val="24"/>
          <w:shd w:val="clear" w:color="auto" w:fill="F8F8F8"/>
        </w:rPr>
        <w:t xml:space="preserve"> Giai đoạn 2010 đến nay</w:t>
      </w:r>
    </w:p>
    <w:p w:rsidR="005C7120" w:rsidRPr="00E83877" w:rsidRDefault="00A06967" w:rsidP="00E968CD">
      <w:pPr>
        <w:rPr>
          <w:rFonts w:ascii="Times New Roman" w:hAnsi="Times New Roman" w:cs="Times New Roman"/>
          <w:sz w:val="28"/>
          <w:szCs w:val="24"/>
        </w:rPr>
      </w:pPr>
      <w:r w:rsidRPr="00E83877">
        <w:rPr>
          <w:rFonts w:ascii="Times New Roman" w:hAnsi="Times New Roman" w:cs="Times New Roman"/>
          <w:color w:val="333333"/>
          <w:sz w:val="28"/>
          <w:szCs w:val="24"/>
        </w:rPr>
        <w:br/>
      </w:r>
      <w:r w:rsidRPr="00E83877">
        <w:rPr>
          <w:rFonts w:ascii="Times New Roman" w:hAnsi="Times New Roman" w:cs="Times New Roman"/>
          <w:color w:val="333333"/>
          <w:sz w:val="28"/>
          <w:szCs w:val="24"/>
        </w:rPr>
        <w:br/>
      </w:r>
    </w:p>
    <w:sectPr w:rsidR="005C7120" w:rsidRPr="00E8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34858"/>
    <w:multiLevelType w:val="hybridMultilevel"/>
    <w:tmpl w:val="18DC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67"/>
    <w:rsid w:val="00062604"/>
    <w:rsid w:val="000E046C"/>
    <w:rsid w:val="00335206"/>
    <w:rsid w:val="005C7120"/>
    <w:rsid w:val="00A06967"/>
    <w:rsid w:val="00E83877"/>
    <w:rsid w:val="00E968CD"/>
    <w:rsid w:val="00F2543D"/>
    <w:rsid w:val="00F4392D"/>
    <w:rsid w:val="00F956D8"/>
    <w:rsid w:val="00FE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CD"/>
  </w:style>
  <w:style w:type="paragraph" w:styleId="Heading1">
    <w:name w:val="heading 1"/>
    <w:basedOn w:val="Normal"/>
    <w:next w:val="Normal"/>
    <w:link w:val="Heading1Char"/>
    <w:uiPriority w:val="9"/>
    <w:qFormat/>
    <w:rsid w:val="00335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6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520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352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967"/>
    <w:rPr>
      <w:rFonts w:ascii="Times New Roman" w:eastAsia="Times New Roman" w:hAnsi="Times New Roman" w:cs="Times New Roman"/>
      <w:b/>
      <w:bCs/>
      <w:sz w:val="36"/>
      <w:szCs w:val="36"/>
    </w:rPr>
  </w:style>
  <w:style w:type="paragraph" w:styleId="NormalWeb">
    <w:name w:val="Normal (Web)"/>
    <w:basedOn w:val="Normal"/>
    <w:uiPriority w:val="99"/>
    <w:unhideWhenUsed/>
    <w:rsid w:val="00A06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967"/>
    <w:rPr>
      <w:b/>
      <w:bCs/>
    </w:rPr>
  </w:style>
  <w:style w:type="paragraph" w:styleId="BalloonText">
    <w:name w:val="Balloon Text"/>
    <w:basedOn w:val="Normal"/>
    <w:link w:val="BalloonTextChar"/>
    <w:uiPriority w:val="99"/>
    <w:semiHidden/>
    <w:unhideWhenUsed/>
    <w:rsid w:val="00A0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67"/>
    <w:rPr>
      <w:rFonts w:ascii="Tahoma" w:hAnsi="Tahoma" w:cs="Tahoma"/>
      <w:sz w:val="16"/>
      <w:szCs w:val="16"/>
    </w:rPr>
  </w:style>
  <w:style w:type="character" w:styleId="Hyperlink">
    <w:name w:val="Hyperlink"/>
    <w:basedOn w:val="DefaultParagraphFont"/>
    <w:uiPriority w:val="99"/>
    <w:unhideWhenUsed/>
    <w:rsid w:val="00A06967"/>
    <w:rPr>
      <w:color w:val="0000FF"/>
      <w:u w:val="single"/>
    </w:rPr>
  </w:style>
  <w:style w:type="character" w:customStyle="1" w:styleId="Heading5Char">
    <w:name w:val="Heading 5 Char"/>
    <w:basedOn w:val="DefaultParagraphFont"/>
    <w:link w:val="Heading5"/>
    <w:uiPriority w:val="9"/>
    <w:semiHidden/>
    <w:rsid w:val="0033520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3520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352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62604"/>
    <w:pPr>
      <w:outlineLvl w:val="9"/>
    </w:pPr>
    <w:rPr>
      <w:lang w:eastAsia="ja-JP"/>
    </w:rPr>
  </w:style>
  <w:style w:type="paragraph" w:styleId="TOC2">
    <w:name w:val="toc 2"/>
    <w:basedOn w:val="Normal"/>
    <w:next w:val="Normal"/>
    <w:autoRedefine/>
    <w:uiPriority w:val="39"/>
    <w:unhideWhenUsed/>
    <w:rsid w:val="00062604"/>
    <w:pPr>
      <w:spacing w:after="100"/>
      <w:ind w:left="220"/>
    </w:pPr>
  </w:style>
  <w:style w:type="paragraph" w:styleId="TOC1">
    <w:name w:val="toc 1"/>
    <w:basedOn w:val="Normal"/>
    <w:next w:val="Normal"/>
    <w:autoRedefine/>
    <w:uiPriority w:val="39"/>
    <w:unhideWhenUsed/>
    <w:rsid w:val="00062604"/>
    <w:pPr>
      <w:spacing w:after="100"/>
    </w:pPr>
  </w:style>
  <w:style w:type="paragraph" w:styleId="TOC3">
    <w:name w:val="toc 3"/>
    <w:basedOn w:val="Normal"/>
    <w:next w:val="Normal"/>
    <w:autoRedefine/>
    <w:uiPriority w:val="39"/>
    <w:unhideWhenUsed/>
    <w:rsid w:val="00062604"/>
    <w:pPr>
      <w:spacing w:after="100"/>
      <w:ind w:left="440"/>
    </w:pPr>
  </w:style>
  <w:style w:type="paragraph" w:styleId="NoSpacing">
    <w:name w:val="No Spacing"/>
    <w:uiPriority w:val="1"/>
    <w:qFormat/>
    <w:rsid w:val="000626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CD"/>
  </w:style>
  <w:style w:type="paragraph" w:styleId="Heading1">
    <w:name w:val="heading 1"/>
    <w:basedOn w:val="Normal"/>
    <w:next w:val="Normal"/>
    <w:link w:val="Heading1Char"/>
    <w:uiPriority w:val="9"/>
    <w:qFormat/>
    <w:rsid w:val="00335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6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520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3520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967"/>
    <w:rPr>
      <w:rFonts w:ascii="Times New Roman" w:eastAsia="Times New Roman" w:hAnsi="Times New Roman" w:cs="Times New Roman"/>
      <w:b/>
      <w:bCs/>
      <w:sz w:val="36"/>
      <w:szCs w:val="36"/>
    </w:rPr>
  </w:style>
  <w:style w:type="paragraph" w:styleId="NormalWeb">
    <w:name w:val="Normal (Web)"/>
    <w:basedOn w:val="Normal"/>
    <w:uiPriority w:val="99"/>
    <w:unhideWhenUsed/>
    <w:rsid w:val="00A06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967"/>
    <w:rPr>
      <w:b/>
      <w:bCs/>
    </w:rPr>
  </w:style>
  <w:style w:type="paragraph" w:styleId="BalloonText">
    <w:name w:val="Balloon Text"/>
    <w:basedOn w:val="Normal"/>
    <w:link w:val="BalloonTextChar"/>
    <w:uiPriority w:val="99"/>
    <w:semiHidden/>
    <w:unhideWhenUsed/>
    <w:rsid w:val="00A0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67"/>
    <w:rPr>
      <w:rFonts w:ascii="Tahoma" w:hAnsi="Tahoma" w:cs="Tahoma"/>
      <w:sz w:val="16"/>
      <w:szCs w:val="16"/>
    </w:rPr>
  </w:style>
  <w:style w:type="character" w:styleId="Hyperlink">
    <w:name w:val="Hyperlink"/>
    <w:basedOn w:val="DefaultParagraphFont"/>
    <w:uiPriority w:val="99"/>
    <w:unhideWhenUsed/>
    <w:rsid w:val="00A06967"/>
    <w:rPr>
      <w:color w:val="0000FF"/>
      <w:u w:val="single"/>
    </w:rPr>
  </w:style>
  <w:style w:type="character" w:customStyle="1" w:styleId="Heading5Char">
    <w:name w:val="Heading 5 Char"/>
    <w:basedOn w:val="DefaultParagraphFont"/>
    <w:link w:val="Heading5"/>
    <w:uiPriority w:val="9"/>
    <w:semiHidden/>
    <w:rsid w:val="0033520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33520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3520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62604"/>
    <w:pPr>
      <w:outlineLvl w:val="9"/>
    </w:pPr>
    <w:rPr>
      <w:lang w:eastAsia="ja-JP"/>
    </w:rPr>
  </w:style>
  <w:style w:type="paragraph" w:styleId="TOC2">
    <w:name w:val="toc 2"/>
    <w:basedOn w:val="Normal"/>
    <w:next w:val="Normal"/>
    <w:autoRedefine/>
    <w:uiPriority w:val="39"/>
    <w:unhideWhenUsed/>
    <w:rsid w:val="00062604"/>
    <w:pPr>
      <w:spacing w:after="100"/>
      <w:ind w:left="220"/>
    </w:pPr>
  </w:style>
  <w:style w:type="paragraph" w:styleId="TOC1">
    <w:name w:val="toc 1"/>
    <w:basedOn w:val="Normal"/>
    <w:next w:val="Normal"/>
    <w:autoRedefine/>
    <w:uiPriority w:val="39"/>
    <w:unhideWhenUsed/>
    <w:rsid w:val="00062604"/>
    <w:pPr>
      <w:spacing w:after="100"/>
    </w:pPr>
  </w:style>
  <w:style w:type="paragraph" w:styleId="TOC3">
    <w:name w:val="toc 3"/>
    <w:basedOn w:val="Normal"/>
    <w:next w:val="Normal"/>
    <w:autoRedefine/>
    <w:uiPriority w:val="39"/>
    <w:unhideWhenUsed/>
    <w:rsid w:val="00062604"/>
    <w:pPr>
      <w:spacing w:after="100"/>
      <w:ind w:left="440"/>
    </w:pPr>
  </w:style>
  <w:style w:type="paragraph" w:styleId="NoSpacing">
    <w:name w:val="No Spacing"/>
    <w:uiPriority w:val="1"/>
    <w:qFormat/>
    <w:rsid w:val="000626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606174">
      <w:bodyDiv w:val="1"/>
      <w:marLeft w:val="0"/>
      <w:marRight w:val="0"/>
      <w:marTop w:val="0"/>
      <w:marBottom w:val="0"/>
      <w:divBdr>
        <w:top w:val="none" w:sz="0" w:space="0" w:color="auto"/>
        <w:left w:val="none" w:sz="0" w:space="0" w:color="auto"/>
        <w:bottom w:val="none" w:sz="0" w:space="0" w:color="auto"/>
        <w:right w:val="none" w:sz="0" w:space="0" w:color="auto"/>
      </w:divBdr>
    </w:div>
    <w:div w:id="971599208">
      <w:bodyDiv w:val="1"/>
      <w:marLeft w:val="0"/>
      <w:marRight w:val="0"/>
      <w:marTop w:val="0"/>
      <w:marBottom w:val="0"/>
      <w:divBdr>
        <w:top w:val="none" w:sz="0" w:space="0" w:color="auto"/>
        <w:left w:val="none" w:sz="0" w:space="0" w:color="auto"/>
        <w:bottom w:val="none" w:sz="0" w:space="0" w:color="auto"/>
        <w:right w:val="none" w:sz="0" w:space="0" w:color="auto"/>
      </w:divBdr>
    </w:div>
    <w:div w:id="1216088510">
      <w:bodyDiv w:val="1"/>
      <w:marLeft w:val="0"/>
      <w:marRight w:val="0"/>
      <w:marTop w:val="0"/>
      <w:marBottom w:val="0"/>
      <w:divBdr>
        <w:top w:val="none" w:sz="0" w:space="0" w:color="auto"/>
        <w:left w:val="none" w:sz="0" w:space="0" w:color="auto"/>
        <w:bottom w:val="none" w:sz="0" w:space="0" w:color="auto"/>
        <w:right w:val="none" w:sz="0" w:space="0" w:color="auto"/>
      </w:divBdr>
      <w:divsChild>
        <w:div w:id="252008230">
          <w:marLeft w:val="0"/>
          <w:marRight w:val="0"/>
          <w:marTop w:val="0"/>
          <w:marBottom w:val="300"/>
          <w:divBdr>
            <w:top w:val="none" w:sz="0" w:space="0" w:color="auto"/>
            <w:left w:val="none" w:sz="0" w:space="0" w:color="auto"/>
            <w:bottom w:val="none" w:sz="0" w:space="0" w:color="auto"/>
            <w:right w:val="none" w:sz="0" w:space="0" w:color="auto"/>
          </w:divBdr>
        </w:div>
        <w:div w:id="930627441">
          <w:marLeft w:val="0"/>
          <w:marRight w:val="0"/>
          <w:marTop w:val="0"/>
          <w:marBottom w:val="300"/>
          <w:divBdr>
            <w:top w:val="none" w:sz="0" w:space="0" w:color="auto"/>
            <w:left w:val="none" w:sz="0" w:space="0" w:color="auto"/>
            <w:bottom w:val="none" w:sz="0" w:space="0" w:color="auto"/>
            <w:right w:val="none" w:sz="0" w:space="0" w:color="auto"/>
          </w:divBdr>
        </w:div>
      </w:divsChild>
    </w:div>
    <w:div w:id="1315186149">
      <w:bodyDiv w:val="1"/>
      <w:marLeft w:val="0"/>
      <w:marRight w:val="0"/>
      <w:marTop w:val="0"/>
      <w:marBottom w:val="0"/>
      <w:divBdr>
        <w:top w:val="none" w:sz="0" w:space="0" w:color="auto"/>
        <w:left w:val="none" w:sz="0" w:space="0" w:color="auto"/>
        <w:bottom w:val="none" w:sz="0" w:space="0" w:color="auto"/>
        <w:right w:val="none" w:sz="0" w:space="0" w:color="auto"/>
      </w:divBdr>
    </w:div>
    <w:div w:id="16896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9B640-F618-4BB9-8942-78E784E4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2020-09-08T02:55:00Z</dcterms:created>
  <dcterms:modified xsi:type="dcterms:W3CDTF">2020-09-09T16:22:00Z</dcterms:modified>
</cp:coreProperties>
</file>