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AD3F" w14:textId="1554A071" w:rsidR="00F4390D" w:rsidRDefault="00F4390D" w:rsidP="00F4390D">
      <w:r>
        <w:t>Edits to Clean Version of Report</w:t>
      </w:r>
    </w:p>
    <w:p w14:paraId="003B7DF9" w14:textId="77777777" w:rsidR="00F4390D" w:rsidRDefault="00F4390D" w:rsidP="00F4390D"/>
    <w:p w14:paraId="1537DC9F" w14:textId="61AA3EEF" w:rsidR="00F4390D" w:rsidRDefault="00F4390D" w:rsidP="00F4390D">
      <w:r>
        <w:t>Id numbers switch</w:t>
      </w:r>
      <w:r>
        <w:t xml:space="preserve"> – Kelvin Amaadi Baani-Anoff ID has been switched with Kevin Kogo</w:t>
      </w:r>
    </w:p>
    <w:p w14:paraId="1B177FD4" w14:textId="7DCDD283" w:rsidR="00F4390D" w:rsidRDefault="00F4390D" w:rsidP="00F4390D">
      <w:r>
        <w:t xml:space="preserve">Paragraph 1.1      Our research question aims to </w:t>
      </w:r>
      <w:r w:rsidRPr="00F4390D">
        <w:rPr>
          <w:highlight w:val="yellow"/>
        </w:rPr>
        <w:t>question</w:t>
      </w:r>
      <w:r>
        <w:t>.</w:t>
      </w:r>
      <w:r>
        <w:t xml:space="preserve"> We should change the second question to </w:t>
      </w:r>
      <w:r w:rsidRPr="00F4390D">
        <w:rPr>
          <w:highlight w:val="yellow"/>
        </w:rPr>
        <w:t>interrogate.</w:t>
      </w:r>
    </w:p>
    <w:p w14:paraId="6F8FA71A" w14:textId="6390C291" w:rsidR="00F4390D" w:rsidRDefault="00F4390D" w:rsidP="00F4390D">
      <w:r>
        <w:t xml:space="preserve">Paragraph 1.3     less productive ones, </w:t>
      </w:r>
      <w:r w:rsidRPr="00F4390D">
        <w:rPr>
          <w:highlight w:val="yellow"/>
        </w:rPr>
        <w:t>the</w:t>
      </w:r>
      <w:r>
        <w:t xml:space="preserve"> after </w:t>
      </w:r>
      <w:r>
        <w:t xml:space="preserve">the comma should be small.  Low performing economies. should have a full stop. </w:t>
      </w:r>
    </w:p>
    <w:p w14:paraId="2216B6BA" w14:textId="7F9A6042" w:rsidR="006A3FD6" w:rsidRDefault="00A52C3A" w:rsidP="00F4390D">
      <w:r>
        <w:t>Paragraph 4.2   should read “productivity l</w:t>
      </w:r>
      <w:r w:rsidR="00F4390D">
        <w:t>evels</w:t>
      </w:r>
      <w:r>
        <w:t xml:space="preserve">; </w:t>
      </w:r>
      <w:r w:rsidR="00F4390D">
        <w:t>given</w:t>
      </w:r>
      <w:r>
        <w:t xml:space="preserve">………” or “productivity levels, given;” what’s there currently is not grammatically right. </w:t>
      </w:r>
    </w:p>
    <w:p w14:paraId="16F72BF4" w14:textId="4DE223AE" w:rsidR="00A52C3A" w:rsidRDefault="00A52C3A" w:rsidP="00A52C3A">
      <w:r>
        <w:t xml:space="preserve">Paragraph 5.5. I think we should add the below even if it will slightly affect the </w:t>
      </w:r>
      <w:r w:rsidRPr="00A52C3A">
        <w:t>Word Count</w:t>
      </w:r>
      <w:r>
        <w:t xml:space="preserve"> because that’s what the guidance/template suggest. </w:t>
      </w:r>
      <w:r w:rsidR="002219AF">
        <w:t>Also,</w:t>
      </w:r>
      <w:r>
        <w:t xml:space="preserve"> all word counts are usually </w:t>
      </w:r>
      <w:r w:rsidR="002219AF">
        <w:t>+10% -10% so should be ok.</w:t>
      </w:r>
    </w:p>
    <w:p w14:paraId="7E99F19D" w14:textId="77777777" w:rsidR="002219AF" w:rsidRDefault="002219AF" w:rsidP="002219AF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I have added the report file for working</w:t>
      </w:r>
      <w:r>
        <w:rPr>
          <w:rFonts w:ascii="Times New Roman" w:eastAsia="Times New Roman" w:hAnsi="Times New Roman" w:cs="Times New Roman"/>
          <w:i/>
          <w:iCs/>
        </w:rPr>
        <w:t xml:space="preserve">; The culminating of all the work was going to be done here. </w:t>
      </w:r>
    </w:p>
    <w:p w14:paraId="72D7223F" w14:textId="77777777" w:rsidR="002219AF" w:rsidRDefault="002219AF" w:rsidP="002219AF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Made all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</w:rPr>
        <w:t>visualisations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have uniform graduation</w:t>
      </w:r>
      <w:r>
        <w:rPr>
          <w:rFonts w:ascii="Times New Roman" w:eastAsia="Times New Roman" w:hAnsi="Times New Roman" w:cs="Times New Roman"/>
          <w:i/>
          <w:iCs/>
        </w:rPr>
        <w:t>; Visualization is evidence of analysis. Final production was reassuring.</w:t>
      </w:r>
    </w:p>
    <w:p w14:paraId="4249C1CC" w14:textId="77777777" w:rsidR="002219AF" w:rsidRDefault="002219AF" w:rsidP="002219AF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Added Chapter 5: Evaluation section with group experience analysis</w:t>
      </w:r>
      <w:r>
        <w:rPr>
          <w:rFonts w:ascii="Times New Roman" w:eastAsia="Times New Roman" w:hAnsi="Times New Roman" w:cs="Times New Roman"/>
          <w:i/>
          <w:iCs/>
        </w:rPr>
        <w:t xml:space="preserve">; This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catalysed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the population of the final report.</w:t>
      </w:r>
    </w:p>
    <w:p w14:paraId="26F420C5" w14:textId="77777777" w:rsidR="002219AF" w:rsidRDefault="002219AF" w:rsidP="00A52C3A"/>
    <w:p w14:paraId="5A097428" w14:textId="77777777" w:rsidR="00A52C3A" w:rsidRDefault="00A52C3A" w:rsidP="00A52C3A"/>
    <w:p w14:paraId="77C57B24" w14:textId="13DDE863" w:rsidR="00A52C3A" w:rsidRDefault="00EF1F67" w:rsidP="00A52C3A">
      <w:r>
        <w:t>My references for Chapter 5 are below, there should be added to whatever final software used to generate the final reference list so they can merge alphabetically.</w:t>
      </w:r>
    </w:p>
    <w:p w14:paraId="12E30C1A" w14:textId="77777777" w:rsidR="00EF1F67" w:rsidRDefault="00EF1F67" w:rsidP="00A52C3A"/>
    <w:p w14:paraId="1AE67EE5" w14:textId="77777777" w:rsidR="00EF1F67" w:rsidRPr="00DB2E09" w:rsidRDefault="00EF1F67" w:rsidP="00EF1F67">
      <w:pPr>
        <w:spacing w:after="240" w:line="360" w:lineRule="auto"/>
        <w:rPr>
          <w:rFonts w:ascii="Times New Roman" w:eastAsia="Times New Roman" w:hAnsi="Times New Roman" w:cs="Times New Roman"/>
        </w:rPr>
      </w:pPr>
      <w:r w:rsidRPr="00DB2E09">
        <w:rPr>
          <w:rFonts w:ascii="Times New Roman" w:eastAsia="Times New Roman" w:hAnsi="Times New Roman" w:cs="Times New Roman"/>
        </w:rPr>
        <w:t xml:space="preserve">Jehn, K. (1995). Administrative Science Quarterly. </w:t>
      </w:r>
      <w:r w:rsidRPr="00DB2E09">
        <w:rPr>
          <w:rFonts w:ascii="Times New Roman" w:eastAsia="Times New Roman" w:hAnsi="Times New Roman" w:cs="Times New Roman"/>
          <w:i/>
          <w:iCs/>
        </w:rPr>
        <w:t xml:space="preserve">A Multimethod Examination </w:t>
      </w:r>
      <w:proofErr w:type="gramStart"/>
      <w:r w:rsidRPr="00DB2E09">
        <w:rPr>
          <w:rFonts w:ascii="Times New Roman" w:eastAsia="Times New Roman" w:hAnsi="Times New Roman" w:cs="Times New Roman"/>
          <w:i/>
          <w:iCs/>
        </w:rPr>
        <w:t>Of</w:t>
      </w:r>
      <w:proofErr w:type="gramEnd"/>
      <w:r w:rsidRPr="00DB2E09">
        <w:rPr>
          <w:rFonts w:ascii="Times New Roman" w:eastAsia="Times New Roman" w:hAnsi="Times New Roman" w:cs="Times New Roman"/>
          <w:i/>
          <w:iCs/>
        </w:rPr>
        <w:t xml:space="preserve"> </w:t>
      </w:r>
      <w:proofErr w:type="gramStart"/>
      <w:r w:rsidRPr="00DB2E09">
        <w:rPr>
          <w:rFonts w:ascii="Times New Roman" w:eastAsia="Times New Roman" w:hAnsi="Times New Roman" w:cs="Times New Roman"/>
          <w:i/>
          <w:iCs/>
        </w:rPr>
        <w:t>The</w:t>
      </w:r>
      <w:proofErr w:type="gramEnd"/>
      <w:r w:rsidRPr="00DB2E09">
        <w:rPr>
          <w:rFonts w:ascii="Times New Roman" w:eastAsia="Times New Roman" w:hAnsi="Times New Roman" w:cs="Times New Roman"/>
          <w:i/>
          <w:iCs/>
        </w:rPr>
        <w:t xml:space="preserve"> Benefits </w:t>
      </w:r>
      <w:proofErr w:type="gramStart"/>
      <w:r w:rsidRPr="00DB2E09">
        <w:rPr>
          <w:rFonts w:ascii="Times New Roman" w:eastAsia="Times New Roman" w:hAnsi="Times New Roman" w:cs="Times New Roman"/>
          <w:i/>
          <w:iCs/>
        </w:rPr>
        <w:t>And</w:t>
      </w:r>
      <w:proofErr w:type="gramEnd"/>
      <w:r w:rsidRPr="00DB2E09">
        <w:rPr>
          <w:rFonts w:ascii="Times New Roman" w:eastAsia="Times New Roman" w:hAnsi="Times New Roman" w:cs="Times New Roman"/>
          <w:i/>
          <w:iCs/>
        </w:rPr>
        <w:t xml:space="preserve"> Detriments </w:t>
      </w:r>
      <w:proofErr w:type="gramStart"/>
      <w:r w:rsidRPr="00DB2E09">
        <w:rPr>
          <w:rFonts w:ascii="Times New Roman" w:eastAsia="Times New Roman" w:hAnsi="Times New Roman" w:cs="Times New Roman"/>
          <w:i/>
          <w:iCs/>
        </w:rPr>
        <w:t>Of</w:t>
      </w:r>
      <w:proofErr w:type="gramEnd"/>
      <w:r w:rsidRPr="00DB2E09">
        <w:rPr>
          <w:rFonts w:ascii="Times New Roman" w:eastAsia="Times New Roman" w:hAnsi="Times New Roman" w:cs="Times New Roman"/>
          <w:i/>
          <w:iCs/>
        </w:rPr>
        <w:t xml:space="preserve"> Intragroup Conflict</w:t>
      </w:r>
      <w:r w:rsidRPr="00DB2E09">
        <w:rPr>
          <w:rFonts w:ascii="Times New Roman" w:eastAsia="Times New Roman" w:hAnsi="Times New Roman" w:cs="Times New Roman"/>
        </w:rPr>
        <w:t>, [online] 40(2). Available at: https://web.mit.edu/curhan/www/docs/Articles/15341_Readings/Negotiation_and_Conflict_Management/Jehn-ASQ-1995.pdf.</w:t>
      </w:r>
    </w:p>
    <w:p w14:paraId="179ECA4C" w14:textId="77777777" w:rsidR="00EF1F67" w:rsidRPr="00DB2E09" w:rsidRDefault="00EF1F67" w:rsidP="00EF1F67">
      <w:pPr>
        <w:spacing w:after="240" w:line="360" w:lineRule="auto"/>
        <w:rPr>
          <w:rFonts w:ascii="Times New Roman" w:eastAsia="Times New Roman" w:hAnsi="Times New Roman" w:cs="Times New Roman"/>
        </w:rPr>
      </w:pPr>
      <w:r w:rsidRPr="00DB2E09">
        <w:rPr>
          <w:rFonts w:ascii="Times New Roman" w:eastAsia="Times New Roman" w:hAnsi="Times New Roman" w:cs="Times New Roman"/>
        </w:rPr>
        <w:t xml:space="preserve">Salas, E., Shuffler, M.L., Thayer, A.L., Bedwell, W.L. and Lazzara, E.H. (2015). Understanding and Improving Teamwork in Organizations: </w:t>
      </w:r>
      <w:proofErr w:type="gramStart"/>
      <w:r w:rsidRPr="00DB2E09">
        <w:rPr>
          <w:rFonts w:ascii="Times New Roman" w:eastAsia="Times New Roman" w:hAnsi="Times New Roman" w:cs="Times New Roman"/>
        </w:rPr>
        <w:t>a</w:t>
      </w:r>
      <w:proofErr w:type="gramEnd"/>
      <w:r w:rsidRPr="00DB2E09">
        <w:rPr>
          <w:rFonts w:ascii="Times New Roman" w:eastAsia="Times New Roman" w:hAnsi="Times New Roman" w:cs="Times New Roman"/>
        </w:rPr>
        <w:t xml:space="preserve"> Scientifically Based Practical Guide. </w:t>
      </w:r>
      <w:r w:rsidRPr="00DB2E09">
        <w:rPr>
          <w:rFonts w:ascii="Times New Roman" w:eastAsia="Times New Roman" w:hAnsi="Times New Roman" w:cs="Times New Roman"/>
          <w:i/>
          <w:iCs/>
        </w:rPr>
        <w:t>Human Resource Management</w:t>
      </w:r>
      <w:r w:rsidRPr="00DB2E09">
        <w:rPr>
          <w:rFonts w:ascii="Times New Roman" w:eastAsia="Times New Roman" w:hAnsi="Times New Roman" w:cs="Times New Roman"/>
        </w:rPr>
        <w:t xml:space="preserve">, 54(4), pp.599–622. </w:t>
      </w:r>
      <w:proofErr w:type="spellStart"/>
      <w:proofErr w:type="gramStart"/>
      <w:r w:rsidRPr="00DB2E09">
        <w:rPr>
          <w:rFonts w:ascii="Times New Roman" w:eastAsia="Times New Roman" w:hAnsi="Times New Roman" w:cs="Times New Roman"/>
        </w:rPr>
        <w:t>doi:https</w:t>
      </w:r>
      <w:proofErr w:type="spellEnd"/>
      <w:r w:rsidRPr="00DB2E09">
        <w:rPr>
          <w:rFonts w:ascii="Times New Roman" w:eastAsia="Times New Roman" w:hAnsi="Times New Roman" w:cs="Times New Roman"/>
        </w:rPr>
        <w:t>://doi.org/10.1002/hrm.21628</w:t>
      </w:r>
      <w:proofErr w:type="gramEnd"/>
      <w:r w:rsidRPr="00DB2E09">
        <w:rPr>
          <w:rFonts w:ascii="Times New Roman" w:eastAsia="Times New Roman" w:hAnsi="Times New Roman" w:cs="Times New Roman"/>
        </w:rPr>
        <w:t>.</w:t>
      </w:r>
    </w:p>
    <w:p w14:paraId="4F3E0F87" w14:textId="684E3B38" w:rsidR="00EF1F67" w:rsidRPr="00A52C3A" w:rsidRDefault="00EF1F67" w:rsidP="00EF1F67">
      <w:pPr>
        <w:spacing w:after="240" w:line="360" w:lineRule="auto"/>
        <w:rPr>
          <w:rFonts w:ascii="Times New Roman" w:eastAsia="Times New Roman" w:hAnsi="Times New Roman" w:cs="Times New Roman"/>
        </w:rPr>
      </w:pPr>
      <w:r w:rsidRPr="00DB2E09">
        <w:rPr>
          <w:rFonts w:ascii="Times New Roman" w:eastAsia="Times New Roman" w:hAnsi="Times New Roman" w:cs="Times New Roman"/>
        </w:rPr>
        <w:t xml:space="preserve">Tuckman, B. (1965). Developmental Sequence in Small Groups. </w:t>
      </w:r>
      <w:r w:rsidRPr="00DB2E09">
        <w:rPr>
          <w:rFonts w:ascii="Times New Roman" w:eastAsia="Times New Roman" w:hAnsi="Times New Roman" w:cs="Times New Roman"/>
          <w:i/>
          <w:iCs/>
        </w:rPr>
        <w:t>Psychological Bulletin</w:t>
      </w:r>
      <w:r w:rsidRPr="00DB2E09">
        <w:rPr>
          <w:rFonts w:ascii="Times New Roman" w:eastAsia="Times New Roman" w:hAnsi="Times New Roman" w:cs="Times New Roman"/>
        </w:rPr>
        <w:t xml:space="preserve">, 63(6), pp.384–399. </w:t>
      </w:r>
      <w:proofErr w:type="spellStart"/>
      <w:proofErr w:type="gramStart"/>
      <w:r w:rsidRPr="00DB2E09">
        <w:rPr>
          <w:rFonts w:ascii="Times New Roman" w:eastAsia="Times New Roman" w:hAnsi="Times New Roman" w:cs="Times New Roman"/>
        </w:rPr>
        <w:t>doi:https</w:t>
      </w:r>
      <w:proofErr w:type="spellEnd"/>
      <w:r w:rsidRPr="00DB2E09">
        <w:rPr>
          <w:rFonts w:ascii="Times New Roman" w:eastAsia="Times New Roman" w:hAnsi="Times New Roman" w:cs="Times New Roman"/>
        </w:rPr>
        <w:t>://doi.org/10.1037/h0022100</w:t>
      </w:r>
      <w:proofErr w:type="gramEnd"/>
      <w:r w:rsidRPr="00DB2E09">
        <w:rPr>
          <w:rFonts w:ascii="Times New Roman" w:eastAsia="Times New Roman" w:hAnsi="Times New Roman" w:cs="Times New Roman"/>
        </w:rPr>
        <w:t>.</w:t>
      </w:r>
    </w:p>
    <w:sectPr w:rsidR="00EF1F67" w:rsidRPr="00A52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9EEEE"/>
    <w:multiLevelType w:val="multilevel"/>
    <w:tmpl w:val="6989EE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502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7412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B5088"/>
    <w:rsid w:val="002219AF"/>
    <w:rsid w:val="006A3FD6"/>
    <w:rsid w:val="006B5088"/>
    <w:rsid w:val="00A52C3A"/>
    <w:rsid w:val="00E42A75"/>
    <w:rsid w:val="00EF1F67"/>
    <w:rsid w:val="00F4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7246F"/>
  <w15:chartTrackingRefBased/>
  <w15:docId w15:val="{852C89E9-2944-4945-868A-CCBC5AC2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0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0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0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0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08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0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0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0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0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0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0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0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Amaadi Baani-Anoff [Student-PECS]</dc:creator>
  <cp:keywords/>
  <dc:description/>
  <cp:lastModifiedBy>Kelvin Amaadi Baani-Anoff [Student-PECS]</cp:lastModifiedBy>
  <cp:revision>3</cp:revision>
  <dcterms:created xsi:type="dcterms:W3CDTF">2025-12-10T12:06:00Z</dcterms:created>
  <dcterms:modified xsi:type="dcterms:W3CDTF">2025-12-10T12:32:00Z</dcterms:modified>
</cp:coreProperties>
</file>