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color w:val="A6710A"/>
          <w:sz w:val="17"/>
        </w:rPr>
        <w:t>CENTRO JAVERIANO DE COMPETITIVIDAD</w:t>
      </w:r>
    </w:p>
    <w:p>
      <w:pPr>
        <w:spacing w:before="40" w:after="80"/>
      </w:pPr>
      <w:r>
        <w:rPr>
          <w:b/>
          <w:color w:val="141C26"/>
          <w:sz w:val="44"/>
        </w:rPr>
        <w:t>Preparación técnica para reuniones sectoriales</w:t>
      </w:r>
    </w:p>
    <w:p>
      <w:pPr>
        <w:spacing w:after="280"/>
      </w:pPr>
      <w:r>
        <w:rPr>
          <w:i/>
          <w:color w:val="4C5866"/>
          <w:sz w:val="25"/>
        </w:rPr>
        <w:t>Servicios sociales, educación superior y transporte de carga — Informes 01 y 02</w:t>
      </w:r>
    </w:p>
    <w:p>
      <w:pPr>
        <w:spacing w:after="120"/>
      </w:pPr>
      <w:r>
        <w:rPr>
          <w:b w:val="0"/>
          <w:i w:val="0"/>
          <w:color w:val="4C5866"/>
          <w:sz w:val="20"/>
        </w:rPr>
        <w:t>Para las reuniones con los tres gremios, esto junta lo que ya está publicado en el Informe 01 (productividad laboral por actividad económica, 2010–2025) y el Informe 02 (Productividad Total de los Factores, 2005–2025). No hay cifras nuevas ni recalculadas: todo sale de los dos informes y de las tablas de resultados que los sustentan.</w:t>
      </w:r>
    </w:p>
    <w:p>
      <w:pPr>
        <w:spacing w:after="80"/>
      </w:pPr>
      <w:r>
        <w:rPr>
          <w:b w:val="0"/>
          <w:i w:val="0"/>
          <w:color w:val="4C5866"/>
          <w:sz w:val="20"/>
        </w:rPr>
        <w:t>El DANE no clasifica la economía por gremio. La clasifica por actividad económica (CIIU). Por eso cada página trae primero una tabla con la categoría exacta del DANE y qué otras actividades quedan incluidas ahí, para saber siempre de qué estamos hablando en la reunión.</w:t>
      </w:r>
    </w:p>
    <w:p>
      <w:pPr>
        <w:pageBreakBefore/>
        <w:spacing w:before="40" w:after="40"/>
      </w:pPr>
      <w:r>
        <w:rPr>
          <w:b/>
          <w:color w:val="A6710A"/>
          <w:sz w:val="17"/>
        </w:rPr>
        <w:t>SECTOR 1 DE 3</w:t>
      </w:r>
    </w:p>
    <w:p>
      <w:pPr>
        <w:spacing w:before="120" w:after="40"/>
      </w:pPr>
      <w:r>
        <w:rPr>
          <w:b/>
          <w:color w:val="16324F"/>
          <w:sz w:val="36"/>
        </w:rPr>
        <w:t>Servicios sociales</w:t>
      </w:r>
    </w:p>
    <w:p>
      <w:pPr>
        <w:spacing w:after="160"/>
      </w:pPr>
      <w:r>
        <w:rPr>
          <w:b w:val="0"/>
          <w:i/>
          <w:color w:val="8A8F97"/>
          <w:sz w:val="19"/>
        </w:rPr>
        <w:t>Gremio de referencia: servicios sociales (salud y afines).</w:t>
      </w:r>
    </w:p>
    <w:p>
      <w:pPr>
        <w:spacing w:before="40" w:after="80"/>
      </w:pPr>
      <w:r>
        <w:rPr>
          <w:b/>
          <w:color w:val="141C26"/>
          <w:sz w:val="22"/>
        </w:rPr>
        <w:t>Qué actividades entran en este sector</w:t>
      </w:r>
    </w:p>
    <w:tbl>
      <w:tblPr>
        <w:tblW w:type="auto" w:w="0"/>
        <w:jc w:val="center"/>
        <w:tblLayout w:type="fixed"/>
        <w:tblLook w:firstColumn="1" w:firstRow="1" w:lastColumn="0" w:lastRow="0" w:noHBand="0" w:noVBand="1" w:val="04A0"/>
      </w:tblPr>
      <w:tblGrid>
        <w:gridCol w:w="3216"/>
        <w:gridCol w:w="3216"/>
        <w:gridCol w:w="3216"/>
      </w:tblGrid>
      <w:tr>
        <w:tc>
          <w:tcPr>
            <w:tcW w:type="dxa" w:w="1656"/>
            <w:shd w:val="clear" w:color="auto" w:fill="16324F"/>
          </w:tcPr>
          <w:p>
            <w:r/>
            <w:r>
              <w:rPr>
                <w:b/>
                <w:color w:val="FFFFFF"/>
                <w:sz w:val="18"/>
              </w:rPr>
              <w:t>Informe</w:t>
            </w:r>
          </w:p>
        </w:tc>
        <w:tc>
          <w:tcPr>
            <w:tcW w:type="dxa" w:w="2520"/>
            <w:shd w:val="clear" w:color="auto" w:fill="16324F"/>
          </w:tcPr>
          <w:p>
            <w:r/>
            <w:r>
              <w:rPr>
                <w:b/>
                <w:color w:val="FFFFFF"/>
                <w:sz w:val="18"/>
              </w:rPr>
              <w:t>Categoría usada</w:t>
            </w:r>
          </w:p>
        </w:tc>
        <w:tc>
          <w:tcPr>
            <w:tcW w:type="dxa" w:w="5472"/>
            <w:shd w:val="clear" w:color="auto" w:fill="16324F"/>
          </w:tcPr>
          <w:p>
            <w:r/>
            <w:r>
              <w:rPr>
                <w:b/>
                <w:color w:val="FFFFFF"/>
                <w:sz w:val="18"/>
              </w:rPr>
              <w:t>Qué incluye</w:t>
            </w:r>
          </w:p>
        </w:tc>
      </w:tr>
      <w:tr>
        <w:tc>
          <w:tcPr>
            <w:tcW w:type="dxa" w:w="1656"/>
            <w:shd w:val="clear" w:color="auto" w:fill="FFFFFF"/>
          </w:tcPr>
          <w:p>
            <w:r/>
            <w:r>
              <w:rPr>
                <w:b/>
                <w:color w:val="141C26"/>
                <w:sz w:val="18"/>
              </w:rPr>
              <w:t>Informe 01</w:t>
            </w:r>
          </w:p>
        </w:tc>
        <w:tc>
          <w:tcPr>
            <w:tcW w:type="dxa" w:w="2520"/>
            <w:shd w:val="clear" w:color="auto" w:fill="FFFFFF"/>
          </w:tcPr>
          <w:p>
            <w:r/>
            <w:r>
              <w:rPr>
                <w:color w:val="141C26"/>
                <w:sz w:val="18"/>
              </w:rPr>
              <w:t>Salud y servicios sociales</w:t>
            </w:r>
          </w:p>
        </w:tc>
        <w:tc>
          <w:tcPr>
            <w:tcW w:type="dxa" w:w="5472"/>
            <w:shd w:val="clear" w:color="auto" w:fill="FFFFFF"/>
          </w:tcPr>
          <w:p>
            <w:r/>
            <w:r>
              <w:rPr>
                <w:color w:val="141C26"/>
                <w:sz w:val="18"/>
              </w:rPr>
              <w:t>Hospitales y consultas médicas, laboratorios clínicos, asistencia social con y sin alojamiento (geriátricos, guarderías, protección social)</w:t>
            </w:r>
          </w:p>
        </w:tc>
      </w:tr>
      <w:tr>
        <w:tc>
          <w:tcPr>
            <w:tcW w:type="dxa" w:w="1656"/>
            <w:shd w:val="clear" w:color="auto" w:fill="F7F5EE"/>
          </w:tcPr>
          <w:p>
            <w:r/>
            <w:r>
              <w:rPr>
                <w:b/>
                <w:color w:val="141C26"/>
                <w:sz w:val="18"/>
              </w:rPr>
              <w:t>Informe 02 (PTF)</w:t>
            </w:r>
          </w:p>
        </w:tc>
        <w:tc>
          <w:tcPr>
            <w:tcW w:type="dxa" w:w="2520"/>
            <w:shd w:val="clear" w:color="auto" w:fill="F7F5EE"/>
          </w:tcPr>
          <w:p>
            <w:r/>
            <w:r>
              <w:rPr>
                <w:color w:val="141C26"/>
                <w:sz w:val="18"/>
              </w:rPr>
              <w:t>Servicios sociales y personales</w:t>
            </w:r>
          </w:p>
        </w:tc>
        <w:tc>
          <w:tcPr>
            <w:tcW w:type="dxa" w:w="5472"/>
            <w:shd w:val="clear" w:color="auto" w:fill="F7F5EE"/>
          </w:tcPr>
          <w:p>
            <w:r/>
            <w:r>
              <w:rPr>
                <w:color w:val="141C26"/>
                <w:sz w:val="18"/>
              </w:rPr>
              <w:t>Administración pública y defensa, educación, salud y asistencia social, artes y entretenimiento, otros servicios personales, hogares como empleadores</w:t>
            </w:r>
          </w:p>
        </w:tc>
      </w:tr>
    </w:tbl>
    <w:p>
      <w:pPr>
        <w:spacing w:after="0"/>
      </w:pPr>
      <w:r>
        <w:rPr>
          <w:sz w:val="6"/>
        </w:rPr>
      </w:r>
    </w:p>
    <w:p>
      <w:pPr>
        <w:spacing w:before="120" w:after="80"/>
      </w:pPr>
      <w:r>
        <w:rPr>
          <w:b/>
          <w:color w:val="16324F"/>
          <w:sz w:val="21"/>
        </w:rPr>
        <w:t>Informe 01 — Productividad laboral, "Salud y servicios sociales" (2010–2025)</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16324F"/>
          </w:tcPr>
          <w:p>
            <w:r/>
            <w:r>
              <w:rPr>
                <w:b/>
                <w:color w:val="FFFFFF"/>
                <w:sz w:val="18"/>
              </w:rPr>
              <w:t>Indicador</w:t>
            </w:r>
          </w:p>
        </w:tc>
        <w:tc>
          <w:tcPr>
            <w:tcW w:type="dxa" w:w="1440"/>
            <w:shd w:val="clear" w:color="auto" w:fill="16324F"/>
          </w:tcPr>
          <w:p>
            <w:r/>
            <w:r>
              <w:rPr>
                <w:b/>
                <w:color w:val="FFFFFF"/>
                <w:sz w:val="18"/>
              </w:rPr>
              <w:t>2010</w:t>
            </w:r>
          </w:p>
        </w:tc>
        <w:tc>
          <w:tcPr>
            <w:tcW w:type="dxa" w:w="1440"/>
            <w:shd w:val="clear" w:color="auto" w:fill="16324F"/>
          </w:tcPr>
          <w:p>
            <w:r/>
            <w:r>
              <w:rPr>
                <w:b/>
                <w:color w:val="FFFFFF"/>
                <w:sz w:val="18"/>
              </w:rPr>
              <w:t>2025</w:t>
            </w:r>
          </w:p>
        </w:tc>
        <w:tc>
          <w:tcPr>
            <w:tcW w:type="dxa" w:w="2160"/>
            <w:shd w:val="clear" w:color="auto" w:fill="16324F"/>
          </w:tcPr>
          <w:p>
            <w:r/>
            <w:r>
              <w:rPr>
                <w:b/>
                <w:color w:val="FFFFFF"/>
                <w:sz w:val="18"/>
              </w:rPr>
              <w:t>Crecimiento anualizado</w:t>
            </w:r>
          </w:p>
        </w:tc>
      </w:tr>
      <w:tr>
        <w:tc>
          <w:tcPr>
            <w:tcW w:type="dxa" w:w="3744"/>
            <w:shd w:val="clear" w:color="auto" w:fill="FFFFFF"/>
          </w:tcPr>
          <w:p>
            <w:r/>
            <w:r>
              <w:rPr>
                <w:b/>
                <w:color w:val="141C26"/>
                <w:sz w:val="19"/>
              </w:rPr>
              <w:t>PIB real (billones $2015)</w:t>
            </w:r>
          </w:p>
        </w:tc>
        <w:tc>
          <w:tcPr>
            <w:tcW w:type="dxa" w:w="1440"/>
            <w:shd w:val="clear" w:color="auto" w:fill="FFFFFF"/>
          </w:tcPr>
          <w:p>
            <w:r/>
            <w:r>
              <w:rPr>
                <w:color w:val="141C26"/>
                <w:sz w:val="19"/>
              </w:rPr>
              <w:t>23,57</w:t>
            </w:r>
          </w:p>
        </w:tc>
        <w:tc>
          <w:tcPr>
            <w:tcW w:type="dxa" w:w="1440"/>
            <w:shd w:val="clear" w:color="auto" w:fill="FFFFFF"/>
          </w:tcPr>
          <w:p>
            <w:r/>
            <w:r>
              <w:rPr>
                <w:color w:val="141C26"/>
                <w:sz w:val="19"/>
              </w:rPr>
              <w:t>49,79</w:t>
            </w:r>
          </w:p>
        </w:tc>
        <w:tc>
          <w:tcPr>
            <w:tcW w:type="dxa" w:w="2160"/>
            <w:shd w:val="clear" w:color="auto" w:fill="FFFFFF"/>
          </w:tcPr>
          <w:p>
            <w:r/>
            <w:r>
              <w:rPr>
                <w:color w:val="141C26"/>
                <w:sz w:val="19"/>
              </w:rPr>
              <w:t>+5,11% / año</w:t>
            </w:r>
          </w:p>
        </w:tc>
      </w:tr>
      <w:tr>
        <w:tc>
          <w:tcPr>
            <w:tcW w:type="dxa" w:w="3744"/>
            <w:shd w:val="clear" w:color="auto" w:fill="F7F5EE"/>
          </w:tcPr>
          <w:p>
            <w:r/>
            <w:r>
              <w:rPr>
                <w:b/>
                <w:color w:val="141C26"/>
                <w:sz w:val="19"/>
              </w:rPr>
              <w:t>Ocupados (millones)</w:t>
            </w:r>
          </w:p>
        </w:tc>
        <w:tc>
          <w:tcPr>
            <w:tcW w:type="dxa" w:w="1440"/>
            <w:shd w:val="clear" w:color="auto" w:fill="F7F5EE"/>
          </w:tcPr>
          <w:p>
            <w:r/>
            <w:r>
              <w:rPr>
                <w:color w:val="141C26"/>
                <w:sz w:val="19"/>
              </w:rPr>
              <w:t>0,70</w:t>
            </w:r>
          </w:p>
        </w:tc>
        <w:tc>
          <w:tcPr>
            <w:tcW w:type="dxa" w:w="1440"/>
            <w:shd w:val="clear" w:color="auto" w:fill="F7F5EE"/>
          </w:tcPr>
          <w:p>
            <w:r/>
            <w:r>
              <w:rPr>
                <w:color w:val="141C26"/>
                <w:sz w:val="19"/>
              </w:rPr>
              <w:t>1,01</w:t>
            </w:r>
          </w:p>
        </w:tc>
        <w:tc>
          <w:tcPr>
            <w:tcW w:type="dxa" w:w="2160"/>
            <w:shd w:val="clear" w:color="auto" w:fill="F7F5EE"/>
          </w:tcPr>
          <w:p>
            <w:r/>
            <w:r>
              <w:rPr>
                <w:color w:val="141C26"/>
                <w:sz w:val="19"/>
              </w:rPr>
              <w:t>+2,51% / año</w:t>
            </w:r>
          </w:p>
        </w:tc>
      </w:tr>
      <w:tr>
        <w:tc>
          <w:tcPr>
            <w:tcW w:type="dxa" w:w="3744"/>
            <w:shd w:val="clear" w:color="auto" w:fill="FFFFFF"/>
          </w:tcPr>
          <w:p>
            <w:r/>
            <w:r>
              <w:rPr>
                <w:b/>
                <w:color w:val="141C26"/>
                <w:sz w:val="19"/>
              </w:rPr>
              <w:t>PIB por hora trabajada (miles $2015)</w:t>
            </w:r>
          </w:p>
        </w:tc>
        <w:tc>
          <w:tcPr>
            <w:tcW w:type="dxa" w:w="1440"/>
            <w:shd w:val="clear" w:color="auto" w:fill="FFFFFF"/>
          </w:tcPr>
          <w:p>
            <w:r/>
            <w:r>
              <w:rPr>
                <w:color w:val="141C26"/>
                <w:sz w:val="19"/>
              </w:rPr>
              <w:t>14,74</w:t>
            </w:r>
          </w:p>
        </w:tc>
        <w:tc>
          <w:tcPr>
            <w:tcW w:type="dxa" w:w="1440"/>
            <w:shd w:val="clear" w:color="auto" w:fill="FFFFFF"/>
          </w:tcPr>
          <w:p>
            <w:r/>
            <w:r>
              <w:rPr>
                <w:color w:val="141C26"/>
                <w:sz w:val="19"/>
              </w:rPr>
              <w:t>21,26</w:t>
            </w:r>
          </w:p>
        </w:tc>
        <w:tc>
          <w:tcPr>
            <w:tcW w:type="dxa" w:w="2160"/>
            <w:shd w:val="clear" w:color="auto" w:fill="FFFFFF"/>
          </w:tcPr>
          <w:p>
            <w:r/>
            <w:r>
              <w:rPr>
                <w:color w:val="141C26"/>
                <w:sz w:val="19"/>
              </w:rPr>
              <w:t>+2,47% / año</w:t>
            </w:r>
          </w:p>
        </w:tc>
      </w:tr>
      <w:tr>
        <w:tc>
          <w:tcPr>
            <w:tcW w:type="dxa" w:w="3744"/>
            <w:shd w:val="clear" w:color="auto" w:fill="F7F5EE"/>
          </w:tcPr>
          <w:p>
            <w:r/>
            <w:r>
              <w:rPr>
                <w:b/>
                <w:color w:val="141C26"/>
                <w:sz w:val="19"/>
              </w:rPr>
              <w:t>PIB por trabajador (millones $2015)</w:t>
            </w:r>
          </w:p>
        </w:tc>
        <w:tc>
          <w:tcPr>
            <w:tcW w:type="dxa" w:w="1440"/>
            <w:shd w:val="clear" w:color="auto" w:fill="F7F5EE"/>
          </w:tcPr>
          <w:p>
            <w:r/>
            <w:r>
              <w:rPr>
                <w:color w:val="141C26"/>
                <w:sz w:val="19"/>
              </w:rPr>
              <w:t>33,72</w:t>
            </w:r>
          </w:p>
        </w:tc>
        <w:tc>
          <w:tcPr>
            <w:tcW w:type="dxa" w:w="1440"/>
            <w:shd w:val="clear" w:color="auto" w:fill="F7F5EE"/>
          </w:tcPr>
          <w:p>
            <w:r/>
            <w:r>
              <w:rPr>
                <w:color w:val="141C26"/>
                <w:sz w:val="19"/>
              </w:rPr>
              <w:t>49,13</w:t>
            </w:r>
          </w:p>
        </w:tc>
        <w:tc>
          <w:tcPr>
            <w:tcW w:type="dxa" w:w="2160"/>
            <w:shd w:val="clear" w:color="auto" w:fill="F7F5EE"/>
          </w:tcPr>
          <w:p>
            <w:r/>
            <w:r>
              <w:rPr>
                <w:color w:val="141C26"/>
                <w:sz w:val="19"/>
              </w:rPr>
              <w:t>+2,54% / año</w:t>
            </w:r>
          </w:p>
        </w:tc>
      </w:tr>
    </w:tbl>
    <w:p>
      <w:pPr>
        <w:spacing w:after="0"/>
      </w:pPr>
      <w:r>
        <w:rPr>
          <w:sz w:val="6"/>
        </w:rPr>
      </w:r>
    </w:p>
    <w:p>
      <w:pPr>
        <w:spacing w:after="120"/>
      </w:pPr>
      <w:r>
        <w:rPr>
          <w:b w:val="0"/>
          <w:i/>
          <w:color w:val="8A8F97"/>
          <w:sz w:val="18"/>
        </w:rPr>
        <w:t>Promedio nacional de crecimiento del PIB por hora, 2010–2025: +1,51% / año.</w:t>
      </w:r>
    </w:p>
    <w:p>
      <w:pPr>
        <w:spacing w:before="120" w:after="80"/>
      </w:pPr>
      <w:r>
        <w:rPr>
          <w:b/>
          <w:color w:val="16324F"/>
          <w:sz w:val="21"/>
        </w:rPr>
        <w:t>Informe 02 — PTF, "Servicios sociales y personales" (2005–2024)</w:t>
      </w:r>
    </w:p>
    <w:tbl>
      <w:tblPr>
        <w:tblW w:type="auto" w:w="0"/>
        <w:jc w:val="center"/>
        <w:tblLayout w:type="fixed"/>
        <w:tblLook w:firstColumn="1" w:firstRow="1" w:lastColumn="0" w:lastRow="0" w:noHBand="0" w:noVBand="1" w:val="04A0"/>
      </w:tblPr>
      <w:tblGrid>
        <w:gridCol w:w="4824"/>
        <w:gridCol w:w="4824"/>
      </w:tblGrid>
      <w:tr>
        <w:tc>
          <w:tcPr>
            <w:tcW w:type="dxa" w:w="5184"/>
            <w:shd w:val="clear" w:color="auto" w:fill="16324F"/>
          </w:tcPr>
          <w:p>
            <w:r/>
            <w:r>
              <w:rPr>
                <w:b/>
                <w:color w:val="FFFFFF"/>
                <w:sz w:val="18"/>
              </w:rPr>
              <w:t>Indicador</w:t>
            </w:r>
          </w:p>
        </w:tc>
        <w:tc>
          <w:tcPr>
            <w:tcW w:type="dxa" w:w="4464"/>
            <w:shd w:val="clear" w:color="auto" w:fill="16324F"/>
          </w:tcPr>
          <w:p>
            <w:r/>
            <w:r>
              <w:rPr>
                <w:b/>
                <w:color w:val="FFFFFF"/>
                <w:sz w:val="18"/>
              </w:rPr>
              <w:t>Valor</w:t>
            </w:r>
          </w:p>
        </w:tc>
      </w:tr>
      <w:tr>
        <w:tc>
          <w:tcPr>
            <w:tcW w:type="dxa" w:w="5184"/>
            <w:shd w:val="clear" w:color="auto" w:fill="FFFFFF"/>
          </w:tcPr>
          <w:p>
            <w:r/>
            <w:r>
              <w:rPr>
                <w:b/>
                <w:color w:val="141C26"/>
                <w:sz w:val="19"/>
              </w:rPr>
              <w:t>Peso en la economía</w:t>
            </w:r>
          </w:p>
        </w:tc>
        <w:tc>
          <w:tcPr>
            <w:tcW w:type="dxa" w:w="4464"/>
            <w:shd w:val="clear" w:color="auto" w:fill="FFFFFF"/>
          </w:tcPr>
          <w:p>
            <w:r/>
            <w:r>
              <w:rPr>
                <w:color w:val="141C26"/>
                <w:sz w:val="19"/>
              </w:rPr>
              <w:t>16,05%</w:t>
            </w:r>
          </w:p>
        </w:tc>
      </w:tr>
      <w:tr>
        <w:tc>
          <w:tcPr>
            <w:tcW w:type="dxa" w:w="5184"/>
            <w:shd w:val="clear" w:color="auto" w:fill="F7F5EE"/>
          </w:tcPr>
          <w:p>
            <w:r/>
            <w:r>
              <w:rPr>
                <w:b/>
                <w:color w:val="141C26"/>
                <w:sz w:val="19"/>
              </w:rPr>
              <w:t>Crecimiento acumulado de la PTF, 2005–2024</w:t>
            </w:r>
          </w:p>
        </w:tc>
        <w:tc>
          <w:tcPr>
            <w:tcW w:type="dxa" w:w="4464"/>
            <w:shd w:val="clear" w:color="auto" w:fill="F7F5EE"/>
          </w:tcPr>
          <w:p>
            <w:r/>
            <w:r>
              <w:rPr>
                <w:color w:val="141C26"/>
                <w:sz w:val="19"/>
              </w:rPr>
              <w:t>+14,16%</w:t>
            </w:r>
          </w:p>
        </w:tc>
      </w:tr>
      <w:tr>
        <w:tc>
          <w:tcPr>
            <w:tcW w:type="dxa" w:w="5184"/>
            <w:shd w:val="clear" w:color="auto" w:fill="FFFFFF"/>
          </w:tcPr>
          <w:p>
            <w:r/>
            <w:r>
              <w:rPr>
                <w:b/>
                <w:color w:val="141C26"/>
                <w:sz w:val="19"/>
              </w:rPr>
              <w:t>Tasa de crecimiento anualizada de la PTF</w:t>
            </w:r>
          </w:p>
        </w:tc>
        <w:tc>
          <w:tcPr>
            <w:tcW w:type="dxa" w:w="4464"/>
            <w:shd w:val="clear" w:color="auto" w:fill="FFFFFF"/>
          </w:tcPr>
          <w:p>
            <w:r/>
            <w:r>
              <w:rPr>
                <w:color w:val="141C26"/>
                <w:sz w:val="19"/>
              </w:rPr>
              <w:t>+0,66% / año</w:t>
            </w:r>
          </w:p>
        </w:tc>
      </w:tr>
      <w:tr>
        <w:tc>
          <w:tcPr>
            <w:tcW w:type="dxa" w:w="5184"/>
            <w:shd w:val="clear" w:color="auto" w:fill="F7F5EE"/>
          </w:tcPr>
          <w:p>
            <w:r/>
            <w:r>
              <w:rPr>
                <w:b/>
                <w:color w:val="141C26"/>
                <w:sz w:val="19"/>
              </w:rPr>
              <w:t>Contribución anual a la PTF total del país</w:t>
            </w:r>
          </w:p>
        </w:tc>
        <w:tc>
          <w:tcPr>
            <w:tcW w:type="dxa" w:w="4464"/>
            <w:shd w:val="clear" w:color="auto" w:fill="F7F5EE"/>
          </w:tcPr>
          <w:p>
            <w:r/>
            <w:r>
              <w:rPr>
                <w:color w:val="141C26"/>
                <w:sz w:val="19"/>
              </w:rPr>
              <w:t>+0,11 pp / año</w:t>
            </w:r>
          </w:p>
        </w:tc>
      </w:tr>
      <w:tr>
        <w:tc>
          <w:tcPr>
            <w:tcW w:type="dxa" w:w="5184"/>
            <w:shd w:val="clear" w:color="auto" w:fill="FFFFFF"/>
          </w:tcPr>
          <w:p>
            <w:r/>
            <w:r>
              <w:rPr>
                <w:b/>
                <w:color w:val="141C26"/>
                <w:sz w:val="19"/>
              </w:rPr>
              <w:t>Descomposición del crecimiento de la producción (pp/año)</w:t>
            </w:r>
          </w:p>
        </w:tc>
        <w:tc>
          <w:tcPr>
            <w:tcW w:type="dxa" w:w="4464"/>
            <w:shd w:val="clear" w:color="auto" w:fill="FFFFFF"/>
          </w:tcPr>
          <w:p>
            <w:r/>
            <w:r>
              <w:rPr>
                <w:color w:val="141C26"/>
                <w:sz w:val="19"/>
              </w:rPr>
              <w:t>Trabajo +1,78 · Capital +0,07 · Insumos +2,17 · PTF +0,66 = Producción +4,69%/año</w:t>
            </w:r>
          </w:p>
        </w:tc>
      </w:tr>
    </w:tbl>
    <w:p>
      <w:pPr>
        <w:spacing w:after="0"/>
      </w:pPr>
      <w:r>
        <w:rPr>
          <w:sz w:val="6"/>
        </w:rPr>
      </w:r>
    </w:p>
    <w:p>
      <w:pPr>
        <w:spacing w:before="160" w:after="80"/>
      </w:pPr>
      <w:r>
        <w:rPr>
          <w:b/>
          <w:color w:val="16324F"/>
          <w:sz w:val="21"/>
        </w:rPr>
        <w:t>Puntos clave para la conversación</w:t>
      </w:r>
    </w:p>
    <w:p>
      <w:pPr>
        <w:pStyle w:val="ListBullet"/>
        <w:spacing w:after="80"/>
      </w:pPr>
      <w:r>
        <w:rPr>
          <w:color w:val="141C26"/>
          <w:sz w:val="20"/>
        </w:rPr>
        <w:t>Sale bien parado en los dos informes. Productividad laboral muy por encima del promedio (2,47% frente a 1,51% nacional) y una de las pocas ramas con PTF positiva (0,66% anual).</w:t>
      </w:r>
    </w:p>
    <w:p>
      <w:pPr>
        <w:pStyle w:val="ListBullet"/>
        <w:spacing w:after="80"/>
      </w:pPr>
      <w:r>
        <w:rPr>
          <w:color w:val="141C26"/>
          <w:sz w:val="20"/>
        </w:rPr>
        <w:t>Le aporta 0,11 pp al año a la PTF del país. Ayuda a compensar lo que restan minería y financieras.</w:t>
      </w:r>
    </w:p>
    <w:p>
      <w:pPr>
        <w:pStyle w:val="ListBullet"/>
        <w:spacing w:after="80"/>
      </w:pPr>
      <w:r>
        <w:rPr>
          <w:color w:val="141C26"/>
          <w:sz w:val="20"/>
        </w:rPr>
        <w:t>Ojo con esto: la cifra de productividad laboral sí es propia del sector salud, pero la de PTF está mezclada con administración pública, educación, artes y otros servicios personales.</w:t>
      </w:r>
    </w:p>
    <w:p>
      <w:pPr>
        <w:pageBreakBefore/>
        <w:spacing w:before="40" w:after="40"/>
      </w:pPr>
      <w:r>
        <w:rPr>
          <w:b/>
          <w:color w:val="A6710A"/>
          <w:sz w:val="17"/>
        </w:rPr>
        <w:t>SECTOR 2 DE 3</w:t>
      </w:r>
    </w:p>
    <w:p>
      <w:pPr>
        <w:spacing w:before="120" w:after="40"/>
      </w:pPr>
      <w:r>
        <w:rPr>
          <w:b/>
          <w:color w:val="16324F"/>
          <w:sz w:val="36"/>
        </w:rPr>
        <w:t>Educación superior</w:t>
      </w:r>
    </w:p>
    <w:p>
      <w:pPr>
        <w:spacing w:after="160"/>
      </w:pPr>
      <w:r>
        <w:rPr>
          <w:b w:val="0"/>
          <w:i/>
          <w:color w:val="8A8F97"/>
          <w:sz w:val="19"/>
        </w:rPr>
        <w:t>Gremio de referencia: educación superior.</w:t>
      </w:r>
    </w:p>
    <w:p>
      <w:pPr>
        <w:spacing w:before="40" w:after="80"/>
      </w:pPr>
      <w:r>
        <w:rPr>
          <w:b/>
          <w:color w:val="141C26"/>
          <w:sz w:val="22"/>
        </w:rPr>
        <w:t>Qué actividades entran en este sector</w:t>
      </w:r>
    </w:p>
    <w:tbl>
      <w:tblPr>
        <w:tblW w:type="auto" w:w="0"/>
        <w:jc w:val="center"/>
        <w:tblLayout w:type="fixed"/>
        <w:tblLook w:firstColumn="1" w:firstRow="1" w:lastColumn="0" w:lastRow="0" w:noHBand="0" w:noVBand="1" w:val="04A0"/>
      </w:tblPr>
      <w:tblGrid>
        <w:gridCol w:w="3216"/>
        <w:gridCol w:w="3216"/>
        <w:gridCol w:w="3216"/>
      </w:tblGrid>
      <w:tr>
        <w:tc>
          <w:tcPr>
            <w:tcW w:type="dxa" w:w="1656"/>
            <w:shd w:val="clear" w:color="auto" w:fill="16324F"/>
          </w:tcPr>
          <w:p>
            <w:r/>
            <w:r>
              <w:rPr>
                <w:b/>
                <w:color w:val="FFFFFF"/>
                <w:sz w:val="18"/>
              </w:rPr>
              <w:t>Informe</w:t>
            </w:r>
          </w:p>
        </w:tc>
        <w:tc>
          <w:tcPr>
            <w:tcW w:type="dxa" w:w="2520"/>
            <w:shd w:val="clear" w:color="auto" w:fill="16324F"/>
          </w:tcPr>
          <w:p>
            <w:r/>
            <w:r>
              <w:rPr>
                <w:b/>
                <w:color w:val="FFFFFF"/>
                <w:sz w:val="18"/>
              </w:rPr>
              <w:t>Categoría usada</w:t>
            </w:r>
          </w:p>
        </w:tc>
        <w:tc>
          <w:tcPr>
            <w:tcW w:type="dxa" w:w="5472"/>
            <w:shd w:val="clear" w:color="auto" w:fill="16324F"/>
          </w:tcPr>
          <w:p>
            <w:r/>
            <w:r>
              <w:rPr>
                <w:b/>
                <w:color w:val="FFFFFF"/>
                <w:sz w:val="18"/>
              </w:rPr>
              <w:t>Qué incluye</w:t>
            </w:r>
          </w:p>
        </w:tc>
      </w:tr>
      <w:tr>
        <w:tc>
          <w:tcPr>
            <w:tcW w:type="dxa" w:w="1656"/>
            <w:shd w:val="clear" w:color="auto" w:fill="FFFFFF"/>
          </w:tcPr>
          <w:p>
            <w:r/>
            <w:r>
              <w:rPr>
                <w:b/>
                <w:color w:val="141C26"/>
                <w:sz w:val="18"/>
              </w:rPr>
              <w:t>Informe 01</w:t>
            </w:r>
          </w:p>
        </w:tc>
        <w:tc>
          <w:tcPr>
            <w:tcW w:type="dxa" w:w="2520"/>
            <w:shd w:val="clear" w:color="auto" w:fill="FFFFFF"/>
          </w:tcPr>
          <w:p>
            <w:r/>
            <w:r>
              <w:rPr>
                <w:color w:val="141C26"/>
                <w:sz w:val="18"/>
              </w:rPr>
              <w:t>Educación de mercado; Educación de no mercado</w:t>
            </w:r>
          </w:p>
        </w:tc>
        <w:tc>
          <w:tcPr>
            <w:tcW w:type="dxa" w:w="5472"/>
            <w:shd w:val="clear" w:color="auto" w:fill="FFFFFF"/>
          </w:tcPr>
          <w:p>
            <w:r/>
            <w:r>
              <w:rPr>
                <w:color w:val="141C26"/>
                <w:sz w:val="18"/>
              </w:rPr>
              <w:t>Toda la enseñanza formal (preescolar, básica, media, superior y técnica), sin distinguir nivel ni modalidad</w:t>
            </w:r>
          </w:p>
        </w:tc>
      </w:tr>
      <w:tr>
        <w:tc>
          <w:tcPr>
            <w:tcW w:type="dxa" w:w="1656"/>
            <w:shd w:val="clear" w:color="auto" w:fill="F7F5EE"/>
          </w:tcPr>
          <w:p>
            <w:r/>
            <w:r>
              <w:rPr>
                <w:b/>
                <w:color w:val="141C26"/>
                <w:sz w:val="18"/>
              </w:rPr>
              <w:t>Informe 02 (PTF)</w:t>
            </w:r>
          </w:p>
        </w:tc>
        <w:tc>
          <w:tcPr>
            <w:tcW w:type="dxa" w:w="2520"/>
            <w:shd w:val="clear" w:color="auto" w:fill="F7F5EE"/>
          </w:tcPr>
          <w:p>
            <w:r/>
            <w:r>
              <w:rPr>
                <w:color w:val="141C26"/>
                <w:sz w:val="18"/>
              </w:rPr>
              <w:t>Servicios sociales y personales</w:t>
            </w:r>
          </w:p>
        </w:tc>
        <w:tc>
          <w:tcPr>
            <w:tcW w:type="dxa" w:w="5472"/>
            <w:shd w:val="clear" w:color="auto" w:fill="F7F5EE"/>
          </w:tcPr>
          <w:p>
            <w:r/>
            <w:r>
              <w:rPr>
                <w:color w:val="141C26"/>
                <w:sz w:val="18"/>
              </w:rPr>
              <w:t>El mismo grupo amplio de la página anterior: administración pública, educación, salud, artes, otros servicios, hogares como empleadores. No hay categoría de educación aislada.</w:t>
            </w:r>
          </w:p>
        </w:tc>
      </w:tr>
    </w:tbl>
    <w:p>
      <w:pPr>
        <w:spacing w:after="0"/>
      </w:pPr>
      <w:r>
        <w:rPr>
          <w:sz w:val="6"/>
        </w:rPr>
      </w:r>
    </w:p>
    <w:p>
      <w:pPr>
        <w:spacing w:before="120" w:after="80"/>
      </w:pPr>
      <w:r>
        <w:rPr>
          <w:b/>
          <w:color w:val="16324F"/>
          <w:sz w:val="21"/>
        </w:rPr>
        <w:t>Informe 01 — Productividad laboral, "Educación de mercado; Educación de no mercado" (2010–2025)</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16324F"/>
          </w:tcPr>
          <w:p>
            <w:r/>
            <w:r>
              <w:rPr>
                <w:b/>
                <w:color w:val="FFFFFF"/>
                <w:sz w:val="18"/>
              </w:rPr>
              <w:t>Indicador</w:t>
            </w:r>
          </w:p>
        </w:tc>
        <w:tc>
          <w:tcPr>
            <w:tcW w:type="dxa" w:w="1440"/>
            <w:shd w:val="clear" w:color="auto" w:fill="16324F"/>
          </w:tcPr>
          <w:p>
            <w:r/>
            <w:r>
              <w:rPr>
                <w:b/>
                <w:color w:val="FFFFFF"/>
                <w:sz w:val="18"/>
              </w:rPr>
              <w:t>2010</w:t>
            </w:r>
          </w:p>
        </w:tc>
        <w:tc>
          <w:tcPr>
            <w:tcW w:type="dxa" w:w="1440"/>
            <w:shd w:val="clear" w:color="auto" w:fill="16324F"/>
          </w:tcPr>
          <w:p>
            <w:r/>
            <w:r>
              <w:rPr>
                <w:b/>
                <w:color w:val="FFFFFF"/>
                <w:sz w:val="18"/>
              </w:rPr>
              <w:t>2025</w:t>
            </w:r>
          </w:p>
        </w:tc>
        <w:tc>
          <w:tcPr>
            <w:tcW w:type="dxa" w:w="2160"/>
            <w:shd w:val="clear" w:color="auto" w:fill="16324F"/>
          </w:tcPr>
          <w:p>
            <w:r/>
            <w:r>
              <w:rPr>
                <w:b/>
                <w:color w:val="FFFFFF"/>
                <w:sz w:val="18"/>
              </w:rPr>
              <w:t>Crecimiento anualizado</w:t>
            </w:r>
          </w:p>
        </w:tc>
      </w:tr>
      <w:tr>
        <w:tc>
          <w:tcPr>
            <w:tcW w:type="dxa" w:w="3744"/>
            <w:shd w:val="clear" w:color="auto" w:fill="FFFFFF"/>
          </w:tcPr>
          <w:p>
            <w:r/>
            <w:r>
              <w:rPr>
                <w:b/>
                <w:color w:val="141C26"/>
                <w:sz w:val="19"/>
              </w:rPr>
              <w:t>PIB real (billones $2015)</w:t>
            </w:r>
          </w:p>
        </w:tc>
        <w:tc>
          <w:tcPr>
            <w:tcW w:type="dxa" w:w="1440"/>
            <w:shd w:val="clear" w:color="auto" w:fill="FFFFFF"/>
          </w:tcPr>
          <w:p>
            <w:r/>
            <w:r>
              <w:rPr>
                <w:color w:val="141C26"/>
                <w:sz w:val="19"/>
              </w:rPr>
              <w:t>31,08</w:t>
            </w:r>
          </w:p>
        </w:tc>
        <w:tc>
          <w:tcPr>
            <w:tcW w:type="dxa" w:w="1440"/>
            <w:shd w:val="clear" w:color="auto" w:fill="FFFFFF"/>
          </w:tcPr>
          <w:p>
            <w:r/>
            <w:r>
              <w:rPr>
                <w:color w:val="141C26"/>
                <w:sz w:val="19"/>
              </w:rPr>
              <w:t>52,83</w:t>
            </w:r>
          </w:p>
        </w:tc>
        <w:tc>
          <w:tcPr>
            <w:tcW w:type="dxa" w:w="2160"/>
            <w:shd w:val="clear" w:color="auto" w:fill="FFFFFF"/>
          </w:tcPr>
          <w:p>
            <w:r/>
            <w:r>
              <w:rPr>
                <w:color w:val="141C26"/>
                <w:sz w:val="19"/>
              </w:rPr>
              <w:t>+3,60% / año</w:t>
            </w:r>
          </w:p>
        </w:tc>
      </w:tr>
      <w:tr>
        <w:tc>
          <w:tcPr>
            <w:tcW w:type="dxa" w:w="3744"/>
            <w:shd w:val="clear" w:color="auto" w:fill="F7F5EE"/>
          </w:tcPr>
          <w:p>
            <w:r/>
            <w:r>
              <w:rPr>
                <w:b/>
                <w:color w:val="141C26"/>
                <w:sz w:val="19"/>
              </w:rPr>
              <w:t>Ocupados (millones)</w:t>
            </w:r>
          </w:p>
        </w:tc>
        <w:tc>
          <w:tcPr>
            <w:tcW w:type="dxa" w:w="1440"/>
            <w:shd w:val="clear" w:color="auto" w:fill="F7F5EE"/>
          </w:tcPr>
          <w:p>
            <w:r/>
            <w:r>
              <w:rPr>
                <w:color w:val="141C26"/>
                <w:sz w:val="19"/>
              </w:rPr>
              <w:t>0,75</w:t>
            </w:r>
          </w:p>
        </w:tc>
        <w:tc>
          <w:tcPr>
            <w:tcW w:type="dxa" w:w="1440"/>
            <w:shd w:val="clear" w:color="auto" w:fill="F7F5EE"/>
          </w:tcPr>
          <w:p>
            <w:r/>
            <w:r>
              <w:rPr>
                <w:color w:val="141C26"/>
                <w:sz w:val="19"/>
              </w:rPr>
              <w:t>1,01</w:t>
            </w:r>
          </w:p>
        </w:tc>
        <w:tc>
          <w:tcPr>
            <w:tcW w:type="dxa" w:w="2160"/>
            <w:shd w:val="clear" w:color="auto" w:fill="F7F5EE"/>
          </w:tcPr>
          <w:p>
            <w:r/>
            <w:r>
              <w:rPr>
                <w:color w:val="141C26"/>
                <w:sz w:val="19"/>
              </w:rPr>
              <w:t>+2,01% / año</w:t>
            </w:r>
          </w:p>
        </w:tc>
      </w:tr>
      <w:tr>
        <w:tc>
          <w:tcPr>
            <w:tcW w:type="dxa" w:w="3744"/>
            <w:shd w:val="clear" w:color="auto" w:fill="FFFFFF"/>
          </w:tcPr>
          <w:p>
            <w:r/>
            <w:r>
              <w:rPr>
                <w:b/>
                <w:color w:val="141C26"/>
                <w:sz w:val="19"/>
              </w:rPr>
              <w:t>PIB por hora trabajada (miles $2015)</w:t>
            </w:r>
          </w:p>
        </w:tc>
        <w:tc>
          <w:tcPr>
            <w:tcW w:type="dxa" w:w="1440"/>
            <w:shd w:val="clear" w:color="auto" w:fill="FFFFFF"/>
          </w:tcPr>
          <w:p>
            <w:r/>
            <w:r>
              <w:rPr>
                <w:color w:val="141C26"/>
                <w:sz w:val="19"/>
              </w:rPr>
              <w:t>21,36</w:t>
            </w:r>
          </w:p>
        </w:tc>
        <w:tc>
          <w:tcPr>
            <w:tcW w:type="dxa" w:w="1440"/>
            <w:shd w:val="clear" w:color="auto" w:fill="FFFFFF"/>
          </w:tcPr>
          <w:p>
            <w:r/>
            <w:r>
              <w:rPr>
                <w:color w:val="141C26"/>
                <w:sz w:val="19"/>
              </w:rPr>
              <w:t>25,81</w:t>
            </w:r>
          </w:p>
        </w:tc>
        <w:tc>
          <w:tcPr>
            <w:tcW w:type="dxa" w:w="2160"/>
            <w:shd w:val="clear" w:color="auto" w:fill="FFFFFF"/>
          </w:tcPr>
          <w:p>
            <w:r/>
            <w:r>
              <w:rPr>
                <w:color w:val="141C26"/>
                <w:sz w:val="19"/>
              </w:rPr>
              <w:t>+1,27% / año</w:t>
            </w:r>
          </w:p>
        </w:tc>
      </w:tr>
      <w:tr>
        <w:tc>
          <w:tcPr>
            <w:tcW w:type="dxa" w:w="3744"/>
            <w:shd w:val="clear" w:color="auto" w:fill="F7F5EE"/>
          </w:tcPr>
          <w:p>
            <w:r/>
            <w:r>
              <w:rPr>
                <w:b/>
                <w:color w:val="141C26"/>
                <w:sz w:val="19"/>
              </w:rPr>
              <w:t>PIB por trabajador (millones $2015)</w:t>
            </w:r>
          </w:p>
        </w:tc>
        <w:tc>
          <w:tcPr>
            <w:tcW w:type="dxa" w:w="1440"/>
            <w:shd w:val="clear" w:color="auto" w:fill="F7F5EE"/>
          </w:tcPr>
          <w:p>
            <w:r/>
            <w:r>
              <w:rPr>
                <w:color w:val="141C26"/>
                <w:sz w:val="19"/>
              </w:rPr>
              <w:t>41,58</w:t>
            </w:r>
          </w:p>
        </w:tc>
        <w:tc>
          <w:tcPr>
            <w:tcW w:type="dxa" w:w="1440"/>
            <w:shd w:val="clear" w:color="auto" w:fill="F7F5EE"/>
          </w:tcPr>
          <w:p>
            <w:r/>
            <w:r>
              <w:rPr>
                <w:color w:val="141C26"/>
                <w:sz w:val="19"/>
              </w:rPr>
              <w:t>52,43</w:t>
            </w:r>
          </w:p>
        </w:tc>
        <w:tc>
          <w:tcPr>
            <w:tcW w:type="dxa" w:w="2160"/>
            <w:shd w:val="clear" w:color="auto" w:fill="F7F5EE"/>
          </w:tcPr>
          <w:p>
            <w:r/>
            <w:r>
              <w:rPr>
                <w:color w:val="141C26"/>
                <w:sz w:val="19"/>
              </w:rPr>
              <w:t>+1,56% / año</w:t>
            </w:r>
          </w:p>
        </w:tc>
      </w:tr>
    </w:tbl>
    <w:p>
      <w:pPr>
        <w:spacing w:after="0"/>
      </w:pPr>
      <w:r>
        <w:rPr>
          <w:sz w:val="6"/>
        </w:rPr>
      </w:r>
    </w:p>
    <w:p>
      <w:pPr>
        <w:spacing w:after="120"/>
      </w:pPr>
      <w:r>
        <w:rPr>
          <w:b w:val="0"/>
          <w:i/>
          <w:color w:val="8A8F97"/>
          <w:sz w:val="18"/>
        </w:rPr>
        <w:t>El PIB por hora crece por debajo del promedio nacional (1,27% frente a 1,51%), al contrario que salud y servicios sociales.</w:t>
      </w:r>
    </w:p>
    <w:p>
      <w:pPr>
        <w:spacing w:before="120" w:after="80"/>
      </w:pPr>
      <w:r>
        <w:rPr>
          <w:b/>
          <w:color w:val="16324F"/>
          <w:sz w:val="21"/>
        </w:rPr>
        <w:t>Informe 02 — PTF (2005–2024)</w:t>
      </w:r>
    </w:p>
    <w:p>
      <w:pPr>
        <w:spacing w:after="120"/>
      </w:pPr>
      <w:r>
        <w:rPr>
          <w:b w:val="0"/>
          <w:i w:val="0"/>
          <w:color w:val="141C26"/>
          <w:sz w:val="20"/>
        </w:rPr>
        <w:t>No hay cifra de PTF propia para educación. Lo más cercano es la rama combinada "Servicios sociales y personales" (educación, salud, administración pública, artes y otros servicios), con una PTF acumulada 2005–2024 de +14,16% (0,66% anual) y una contribución de 0,11 pp al año al crecimiento del país. Esa cifra no se le puede atribuir a educación en particular. Se muestra solo como referencia del grupo en el que queda.</w:t>
      </w:r>
    </w:p>
    <w:p>
      <w:pPr>
        <w:spacing w:before="160" w:after="80"/>
      </w:pPr>
      <w:r>
        <w:rPr>
          <w:b/>
          <w:color w:val="16324F"/>
          <w:sz w:val="21"/>
        </w:rPr>
        <w:t>Puntos clave para la conversación</w:t>
      </w:r>
    </w:p>
    <w:p>
      <w:pPr>
        <w:pStyle w:val="ListBullet"/>
        <w:spacing w:after="80"/>
      </w:pPr>
      <w:r>
        <w:rPr>
          <w:color w:val="141C26"/>
          <w:sz w:val="20"/>
        </w:rPr>
        <w:t>Al contrario que salud, la productividad laboral de educación crece por debajo del promedio nacional (1,27% frente a 1,51%).</w:t>
      </w:r>
    </w:p>
    <w:p>
      <w:pPr>
        <w:pStyle w:val="ListBullet"/>
        <w:spacing w:after="80"/>
      </w:pPr>
      <w:r>
        <w:rPr>
          <w:color w:val="141C26"/>
          <w:sz w:val="20"/>
        </w:rPr>
        <w:t>No se puede separar educación superior de básica y media con estas fuentes. El DANE clasifica por actividad económica, no por nivel educativo.</w:t>
      </w:r>
    </w:p>
    <w:p>
      <w:pPr>
        <w:pStyle w:val="ListBullet"/>
        <w:spacing w:after="80"/>
      </w:pPr>
      <w:r>
        <w:rPr>
          <w:color w:val="141C26"/>
          <w:sz w:val="20"/>
        </w:rPr>
        <w:t>Tampoco hay PTF propia para el sector educativo. Es la limitación más grande de esta reunión.</w:t>
      </w:r>
    </w:p>
    <w:p>
      <w:pPr>
        <w:pStyle w:val="ListBullet"/>
        <w:spacing w:after="80"/>
      </w:pPr>
      <w:r>
        <w:rPr>
          <w:color w:val="141C26"/>
          <w:sz w:val="20"/>
        </w:rPr>
        <w:t>El SNIES del Ministerio de Educación sí desagrega por nivel educativo, aunque queda fuera de estos dos informes.</w:t>
      </w:r>
    </w:p>
    <w:p>
      <w:pPr>
        <w:pageBreakBefore/>
        <w:spacing w:before="40" w:after="40"/>
      </w:pPr>
      <w:r>
        <w:rPr>
          <w:b/>
          <w:color w:val="A6710A"/>
          <w:sz w:val="17"/>
        </w:rPr>
        <w:t>SECTOR 3 DE 3</w:t>
      </w:r>
    </w:p>
    <w:p>
      <w:pPr>
        <w:spacing w:before="120" w:after="40"/>
      </w:pPr>
      <w:r>
        <w:rPr>
          <w:b/>
          <w:color w:val="16324F"/>
          <w:sz w:val="36"/>
        </w:rPr>
        <w:t>Transporte de carga</w:t>
      </w:r>
    </w:p>
    <w:p>
      <w:pPr>
        <w:spacing w:after="160"/>
      </w:pPr>
      <w:r>
        <w:rPr>
          <w:b w:val="0"/>
          <w:i/>
          <w:color w:val="8A8F97"/>
          <w:sz w:val="19"/>
        </w:rPr>
        <w:t>Gremio de referencia: transporte de carga.</w:t>
      </w:r>
    </w:p>
    <w:p>
      <w:pPr>
        <w:spacing w:before="40" w:after="80"/>
      </w:pPr>
      <w:r>
        <w:rPr>
          <w:b/>
          <w:color w:val="141C26"/>
          <w:sz w:val="22"/>
        </w:rPr>
        <w:t>Qué actividades entran en este sector</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color="auto" w:fill="16324F"/>
          </w:tcPr>
          <w:p>
            <w:r/>
            <w:r>
              <w:rPr>
                <w:b/>
                <w:color w:val="FFFFFF"/>
                <w:sz w:val="18"/>
              </w:rPr>
              <w:t>Informe</w:t>
            </w:r>
          </w:p>
        </w:tc>
        <w:tc>
          <w:tcPr>
            <w:tcW w:type="dxa" w:w="2736"/>
            <w:shd w:val="clear" w:color="auto" w:fill="16324F"/>
          </w:tcPr>
          <w:p>
            <w:r/>
            <w:r>
              <w:rPr>
                <w:b/>
                <w:color w:val="FFFFFF"/>
                <w:sz w:val="18"/>
              </w:rPr>
              <w:t>Categoría usada</w:t>
            </w:r>
          </w:p>
        </w:tc>
        <w:tc>
          <w:tcPr>
            <w:tcW w:type="dxa" w:w="5040"/>
            <w:shd w:val="clear" w:color="auto" w:fill="16324F"/>
          </w:tcPr>
          <w:p>
            <w:r/>
            <w:r>
              <w:rPr>
                <w:b/>
                <w:color w:val="FFFFFF"/>
                <w:sz w:val="18"/>
              </w:rPr>
              <w:t>Qué incluye</w:t>
            </w:r>
          </w:p>
        </w:tc>
      </w:tr>
      <w:tr>
        <w:tc>
          <w:tcPr>
            <w:tcW w:type="dxa" w:w="1872"/>
            <w:shd w:val="clear" w:color="auto" w:fill="FFFFFF"/>
          </w:tcPr>
          <w:p>
            <w:r/>
            <w:r>
              <w:rPr>
                <w:b/>
                <w:color w:val="141C26"/>
                <w:sz w:val="18"/>
              </w:rPr>
              <w:t>Informe 01</w:t>
            </w:r>
          </w:p>
        </w:tc>
        <w:tc>
          <w:tcPr>
            <w:tcW w:type="dxa" w:w="2736"/>
            <w:shd w:val="clear" w:color="auto" w:fill="FFFFFF"/>
          </w:tcPr>
          <w:p>
            <w:r/>
            <w:r>
              <w:rPr>
                <w:color w:val="141C26"/>
                <w:sz w:val="18"/>
              </w:rPr>
              <w:t>Transporte terrestre y tuberías</w:t>
            </w:r>
          </w:p>
        </w:tc>
        <w:tc>
          <w:tcPr>
            <w:tcW w:type="dxa" w:w="5040"/>
            <w:shd w:val="clear" w:color="auto" w:fill="FFFFFF"/>
          </w:tcPr>
          <w:p>
            <w:r/>
            <w:r>
              <w:rPr>
                <w:color w:val="141C26"/>
                <w:sz w:val="18"/>
              </w:rPr>
              <w:t>Carga y pasajeros por carretera y ferrocarril, más transporte por oleoductos y gasoductos</w:t>
            </w:r>
          </w:p>
        </w:tc>
      </w:tr>
      <w:tr>
        <w:tc>
          <w:tcPr>
            <w:tcW w:type="dxa" w:w="1872"/>
            <w:shd w:val="clear" w:color="auto" w:fill="F7F5EE"/>
          </w:tcPr>
          <w:p>
            <w:r/>
            <w:r>
              <w:rPr>
                <w:b/>
                <w:color w:val="141C26"/>
                <w:sz w:val="18"/>
              </w:rPr>
              <w:t>Informe 02 (PTF)</w:t>
            </w:r>
          </w:p>
        </w:tc>
        <w:tc>
          <w:tcPr>
            <w:tcW w:type="dxa" w:w="2736"/>
            <w:shd w:val="clear" w:color="auto" w:fill="F7F5EE"/>
          </w:tcPr>
          <w:p>
            <w:r/>
            <w:r>
              <w:rPr>
                <w:color w:val="141C26"/>
                <w:sz w:val="18"/>
              </w:rPr>
              <w:t>Transporte y comunicaciones</w:t>
            </w:r>
          </w:p>
        </w:tc>
        <w:tc>
          <w:tcPr>
            <w:tcW w:type="dxa" w:w="5040"/>
            <w:shd w:val="clear" w:color="auto" w:fill="F7F5EE"/>
          </w:tcPr>
          <w:p>
            <w:r/>
            <w:r>
              <w:rPr>
                <w:color w:val="141C26"/>
                <w:sz w:val="18"/>
              </w:rPr>
              <w:t>Transporte terrestre, acuático y aéreo, almacenamiento, correo y mensajería, información y telecomunicaciones</w:t>
            </w:r>
          </w:p>
        </w:tc>
      </w:tr>
    </w:tbl>
    <w:p>
      <w:pPr>
        <w:spacing w:after="0"/>
      </w:pPr>
      <w:r>
        <w:rPr>
          <w:sz w:val="6"/>
        </w:rPr>
      </w:r>
    </w:p>
    <w:p>
      <w:pPr>
        <w:spacing w:before="120" w:after="80"/>
      </w:pPr>
      <w:r>
        <w:rPr>
          <w:b/>
          <w:color w:val="16324F"/>
          <w:sz w:val="21"/>
        </w:rPr>
        <w:t>Informe 01 — Productividad laboral, "Transporte terrestre y tuberías" (2010–2025)</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16324F"/>
          </w:tcPr>
          <w:p>
            <w:r/>
            <w:r>
              <w:rPr>
                <w:b/>
                <w:color w:val="FFFFFF"/>
                <w:sz w:val="18"/>
              </w:rPr>
              <w:t>Indicador</w:t>
            </w:r>
          </w:p>
        </w:tc>
        <w:tc>
          <w:tcPr>
            <w:tcW w:type="dxa" w:w="1440"/>
            <w:shd w:val="clear" w:color="auto" w:fill="16324F"/>
          </w:tcPr>
          <w:p>
            <w:r/>
            <w:r>
              <w:rPr>
                <w:b/>
                <w:color w:val="FFFFFF"/>
                <w:sz w:val="18"/>
              </w:rPr>
              <w:t>2010</w:t>
            </w:r>
          </w:p>
        </w:tc>
        <w:tc>
          <w:tcPr>
            <w:tcW w:type="dxa" w:w="1440"/>
            <w:shd w:val="clear" w:color="auto" w:fill="16324F"/>
          </w:tcPr>
          <w:p>
            <w:r/>
            <w:r>
              <w:rPr>
                <w:b/>
                <w:color w:val="FFFFFF"/>
                <w:sz w:val="18"/>
              </w:rPr>
              <w:t>2025</w:t>
            </w:r>
          </w:p>
        </w:tc>
        <w:tc>
          <w:tcPr>
            <w:tcW w:type="dxa" w:w="2160"/>
            <w:shd w:val="clear" w:color="auto" w:fill="16324F"/>
          </w:tcPr>
          <w:p>
            <w:r/>
            <w:r>
              <w:rPr>
                <w:b/>
                <w:color w:val="FFFFFF"/>
                <w:sz w:val="18"/>
              </w:rPr>
              <w:t>Crecimiento anualizado</w:t>
            </w:r>
          </w:p>
        </w:tc>
      </w:tr>
      <w:tr>
        <w:tc>
          <w:tcPr>
            <w:tcW w:type="dxa" w:w="3744"/>
            <w:shd w:val="clear" w:color="auto" w:fill="FFFFFF"/>
          </w:tcPr>
          <w:p>
            <w:r/>
            <w:r>
              <w:rPr>
                <w:b/>
                <w:color w:val="141C26"/>
                <w:sz w:val="19"/>
              </w:rPr>
              <w:t>PIB real (billones $2015)</w:t>
            </w:r>
          </w:p>
        </w:tc>
        <w:tc>
          <w:tcPr>
            <w:tcW w:type="dxa" w:w="1440"/>
            <w:shd w:val="clear" w:color="auto" w:fill="FFFFFF"/>
          </w:tcPr>
          <w:p>
            <w:r/>
            <w:r>
              <w:rPr>
                <w:color w:val="141C26"/>
                <w:sz w:val="19"/>
              </w:rPr>
              <w:t>24,13</w:t>
            </w:r>
          </w:p>
        </w:tc>
        <w:tc>
          <w:tcPr>
            <w:tcW w:type="dxa" w:w="1440"/>
            <w:shd w:val="clear" w:color="auto" w:fill="FFFFFF"/>
          </w:tcPr>
          <w:p>
            <w:r/>
            <w:r>
              <w:rPr>
                <w:color w:val="141C26"/>
                <w:sz w:val="19"/>
              </w:rPr>
              <w:t>31,81</w:t>
            </w:r>
          </w:p>
        </w:tc>
        <w:tc>
          <w:tcPr>
            <w:tcW w:type="dxa" w:w="2160"/>
            <w:shd w:val="clear" w:color="auto" w:fill="FFFFFF"/>
          </w:tcPr>
          <w:p>
            <w:r/>
            <w:r>
              <w:rPr>
                <w:color w:val="141C26"/>
                <w:sz w:val="19"/>
              </w:rPr>
              <w:t>+1,86% / año</w:t>
            </w:r>
          </w:p>
        </w:tc>
      </w:tr>
      <w:tr>
        <w:tc>
          <w:tcPr>
            <w:tcW w:type="dxa" w:w="3744"/>
            <w:shd w:val="clear" w:color="auto" w:fill="F7F5EE"/>
          </w:tcPr>
          <w:p>
            <w:r/>
            <w:r>
              <w:rPr>
                <w:b/>
                <w:color w:val="141C26"/>
                <w:sz w:val="19"/>
              </w:rPr>
              <w:t>Ocupados (millones)</w:t>
            </w:r>
          </w:p>
        </w:tc>
        <w:tc>
          <w:tcPr>
            <w:tcW w:type="dxa" w:w="1440"/>
            <w:shd w:val="clear" w:color="auto" w:fill="F7F5EE"/>
          </w:tcPr>
          <w:p>
            <w:r/>
            <w:r>
              <w:rPr>
                <w:color w:val="141C26"/>
                <w:sz w:val="19"/>
              </w:rPr>
              <w:t>0,88</w:t>
            </w:r>
          </w:p>
        </w:tc>
        <w:tc>
          <w:tcPr>
            <w:tcW w:type="dxa" w:w="1440"/>
            <w:shd w:val="clear" w:color="auto" w:fill="F7F5EE"/>
          </w:tcPr>
          <w:p>
            <w:r/>
            <w:r>
              <w:rPr>
                <w:color w:val="141C26"/>
                <w:sz w:val="19"/>
              </w:rPr>
              <w:t>1,30</w:t>
            </w:r>
          </w:p>
        </w:tc>
        <w:tc>
          <w:tcPr>
            <w:tcW w:type="dxa" w:w="2160"/>
            <w:shd w:val="clear" w:color="auto" w:fill="F7F5EE"/>
          </w:tcPr>
          <w:p>
            <w:r/>
            <w:r>
              <w:rPr>
                <w:color w:val="141C26"/>
                <w:sz w:val="19"/>
              </w:rPr>
              <w:t>+2,66% / año</w:t>
            </w:r>
          </w:p>
        </w:tc>
      </w:tr>
      <w:tr>
        <w:tc>
          <w:tcPr>
            <w:tcW w:type="dxa" w:w="3744"/>
            <w:shd w:val="clear" w:color="auto" w:fill="FFFFFF"/>
          </w:tcPr>
          <w:p>
            <w:r/>
            <w:r>
              <w:rPr>
                <w:b/>
                <w:color w:val="141C26"/>
                <w:sz w:val="19"/>
              </w:rPr>
              <w:t>PIB por hora trabajada (miles $2015)</w:t>
            </w:r>
          </w:p>
        </w:tc>
        <w:tc>
          <w:tcPr>
            <w:tcW w:type="dxa" w:w="1440"/>
            <w:shd w:val="clear" w:color="auto" w:fill="FFFFFF"/>
          </w:tcPr>
          <w:p>
            <w:r/>
            <w:r>
              <w:rPr>
                <w:color w:val="141C26"/>
                <w:sz w:val="19"/>
              </w:rPr>
              <w:t>8,87</w:t>
            </w:r>
          </w:p>
        </w:tc>
        <w:tc>
          <w:tcPr>
            <w:tcW w:type="dxa" w:w="1440"/>
            <w:shd w:val="clear" w:color="auto" w:fill="FFFFFF"/>
          </w:tcPr>
          <w:p>
            <w:r/>
            <w:r>
              <w:rPr>
                <w:color w:val="141C26"/>
                <w:sz w:val="19"/>
              </w:rPr>
              <w:t>9,33</w:t>
            </w:r>
          </w:p>
        </w:tc>
        <w:tc>
          <w:tcPr>
            <w:tcW w:type="dxa" w:w="2160"/>
            <w:shd w:val="clear" w:color="auto" w:fill="FFFFFF"/>
          </w:tcPr>
          <w:p>
            <w:r/>
            <w:r>
              <w:rPr>
                <w:color w:val="141C26"/>
                <w:sz w:val="19"/>
              </w:rPr>
              <w:t>+0,33% / año</w:t>
            </w:r>
          </w:p>
        </w:tc>
      </w:tr>
      <w:tr>
        <w:tc>
          <w:tcPr>
            <w:tcW w:type="dxa" w:w="3744"/>
            <w:shd w:val="clear" w:color="auto" w:fill="F7F5EE"/>
          </w:tcPr>
          <w:p>
            <w:r/>
            <w:r>
              <w:rPr>
                <w:b/>
                <w:color w:val="141C26"/>
                <w:sz w:val="19"/>
              </w:rPr>
              <w:t>PIB por trabajador (millones $2015)</w:t>
            </w:r>
          </w:p>
        </w:tc>
        <w:tc>
          <w:tcPr>
            <w:tcW w:type="dxa" w:w="1440"/>
            <w:shd w:val="clear" w:color="auto" w:fill="F7F5EE"/>
          </w:tcPr>
          <w:p>
            <w:r/>
            <w:r>
              <w:rPr>
                <w:color w:val="141C26"/>
                <w:sz w:val="19"/>
              </w:rPr>
              <w:t>27,52</w:t>
            </w:r>
          </w:p>
        </w:tc>
        <w:tc>
          <w:tcPr>
            <w:tcW w:type="dxa" w:w="1440"/>
            <w:shd w:val="clear" w:color="auto" w:fill="F7F5EE"/>
          </w:tcPr>
          <w:p>
            <w:r/>
            <w:r>
              <w:rPr>
                <w:color w:val="141C26"/>
                <w:sz w:val="19"/>
              </w:rPr>
              <w:t>24,46</w:t>
            </w:r>
          </w:p>
        </w:tc>
        <w:tc>
          <w:tcPr>
            <w:tcW w:type="dxa" w:w="2160"/>
            <w:shd w:val="clear" w:color="auto" w:fill="F7F5EE"/>
          </w:tcPr>
          <w:p>
            <w:r/>
            <w:r>
              <w:rPr>
                <w:color w:val="141C26"/>
                <w:sz w:val="19"/>
              </w:rPr>
              <w:t>−0,78% / año</w:t>
            </w:r>
          </w:p>
        </w:tc>
      </w:tr>
    </w:tbl>
    <w:p>
      <w:pPr>
        <w:spacing w:after="0"/>
      </w:pPr>
      <w:r>
        <w:rPr>
          <w:sz w:val="6"/>
        </w:rPr>
      </w:r>
    </w:p>
    <w:p>
      <w:pPr>
        <w:spacing w:after="120"/>
      </w:pPr>
      <w:r>
        <w:rPr>
          <w:b w:val="0"/>
          <w:i/>
          <w:color w:val="8A8F97"/>
          <w:sz w:val="18"/>
        </w:rPr>
        <w:t>Para comparar: "Almacenamiento y apoyo al transporte" creció 2,59%/año en PIB por hora en el mismo período, muy por encima del transporte terrestre y del promedio nacional.</w:t>
      </w:r>
    </w:p>
    <w:p>
      <w:pPr>
        <w:spacing w:before="120" w:after="80"/>
      </w:pPr>
      <w:r>
        <w:rPr>
          <w:b/>
          <w:color w:val="16324F"/>
          <w:sz w:val="21"/>
        </w:rPr>
        <w:t>Informe 02 — PTF, "Transporte y comunicaciones" (2005–2024)</w:t>
      </w:r>
    </w:p>
    <w:tbl>
      <w:tblPr>
        <w:tblW w:type="auto" w:w="0"/>
        <w:jc w:val="center"/>
        <w:tblLayout w:type="fixed"/>
        <w:tblLook w:firstColumn="1" w:firstRow="1" w:lastColumn="0" w:lastRow="0" w:noHBand="0" w:noVBand="1" w:val="04A0"/>
      </w:tblPr>
      <w:tblGrid>
        <w:gridCol w:w="4824"/>
        <w:gridCol w:w="4824"/>
      </w:tblGrid>
      <w:tr>
        <w:tc>
          <w:tcPr>
            <w:tcW w:type="dxa" w:w="5184"/>
            <w:shd w:val="clear" w:color="auto" w:fill="16324F"/>
          </w:tcPr>
          <w:p>
            <w:r/>
            <w:r>
              <w:rPr>
                <w:b/>
                <w:color w:val="FFFFFF"/>
                <w:sz w:val="18"/>
              </w:rPr>
              <w:t>Indicador</w:t>
            </w:r>
          </w:p>
        </w:tc>
        <w:tc>
          <w:tcPr>
            <w:tcW w:type="dxa" w:w="4464"/>
            <w:shd w:val="clear" w:color="auto" w:fill="16324F"/>
          </w:tcPr>
          <w:p>
            <w:r/>
            <w:r>
              <w:rPr>
                <w:b/>
                <w:color w:val="FFFFFF"/>
                <w:sz w:val="18"/>
              </w:rPr>
              <w:t>Valor</w:t>
            </w:r>
          </w:p>
        </w:tc>
      </w:tr>
      <w:tr>
        <w:tc>
          <w:tcPr>
            <w:tcW w:type="dxa" w:w="5184"/>
            <w:shd w:val="clear" w:color="auto" w:fill="FFFFFF"/>
          </w:tcPr>
          <w:p>
            <w:r/>
            <w:r>
              <w:rPr>
                <w:b/>
                <w:color w:val="141C26"/>
                <w:sz w:val="19"/>
              </w:rPr>
              <w:t>Peso en la economía</w:t>
            </w:r>
          </w:p>
        </w:tc>
        <w:tc>
          <w:tcPr>
            <w:tcW w:type="dxa" w:w="4464"/>
            <w:shd w:val="clear" w:color="auto" w:fill="FFFFFF"/>
          </w:tcPr>
          <w:p>
            <w:r/>
            <w:r>
              <w:rPr>
                <w:color w:val="141C26"/>
                <w:sz w:val="19"/>
              </w:rPr>
              <w:t>8,63%</w:t>
            </w:r>
          </w:p>
        </w:tc>
      </w:tr>
      <w:tr>
        <w:tc>
          <w:tcPr>
            <w:tcW w:type="dxa" w:w="5184"/>
            <w:shd w:val="clear" w:color="auto" w:fill="F7F5EE"/>
          </w:tcPr>
          <w:p>
            <w:r/>
            <w:r>
              <w:rPr>
                <w:b/>
                <w:color w:val="141C26"/>
                <w:sz w:val="19"/>
              </w:rPr>
              <w:t>Crecimiento acumulado de la PTF, 2005–2024</w:t>
            </w:r>
          </w:p>
        </w:tc>
        <w:tc>
          <w:tcPr>
            <w:tcW w:type="dxa" w:w="4464"/>
            <w:shd w:val="clear" w:color="auto" w:fill="F7F5EE"/>
          </w:tcPr>
          <w:p>
            <w:r/>
            <w:r>
              <w:rPr>
                <w:color w:val="141C26"/>
                <w:sz w:val="19"/>
              </w:rPr>
              <w:t>+4,26%</w:t>
            </w:r>
          </w:p>
        </w:tc>
      </w:tr>
      <w:tr>
        <w:tc>
          <w:tcPr>
            <w:tcW w:type="dxa" w:w="5184"/>
            <w:shd w:val="clear" w:color="auto" w:fill="FFFFFF"/>
          </w:tcPr>
          <w:p>
            <w:r/>
            <w:r>
              <w:rPr>
                <w:b/>
                <w:color w:val="141C26"/>
                <w:sz w:val="19"/>
              </w:rPr>
              <w:t>Tasa de crecimiento anualizada de la PTF</w:t>
            </w:r>
          </w:p>
        </w:tc>
        <w:tc>
          <w:tcPr>
            <w:tcW w:type="dxa" w:w="4464"/>
            <w:shd w:val="clear" w:color="auto" w:fill="FFFFFF"/>
          </w:tcPr>
          <w:p>
            <w:r/>
            <w:r>
              <w:rPr>
                <w:color w:val="141C26"/>
                <w:sz w:val="19"/>
              </w:rPr>
              <w:t>+0,21% / año</w:t>
            </w:r>
          </w:p>
        </w:tc>
      </w:tr>
      <w:tr>
        <w:tc>
          <w:tcPr>
            <w:tcW w:type="dxa" w:w="5184"/>
            <w:shd w:val="clear" w:color="auto" w:fill="F7F5EE"/>
          </w:tcPr>
          <w:p>
            <w:r/>
            <w:r>
              <w:rPr>
                <w:b/>
                <w:color w:val="141C26"/>
                <w:sz w:val="19"/>
              </w:rPr>
              <w:t>Contribución anual a la PTF total del país</w:t>
            </w:r>
          </w:p>
        </w:tc>
        <w:tc>
          <w:tcPr>
            <w:tcW w:type="dxa" w:w="4464"/>
            <w:shd w:val="clear" w:color="auto" w:fill="F7F5EE"/>
          </w:tcPr>
          <w:p>
            <w:r/>
            <w:r>
              <w:rPr>
                <w:color w:val="141C26"/>
                <w:sz w:val="19"/>
              </w:rPr>
              <w:t>+0,02 pp / año</w:t>
            </w:r>
          </w:p>
        </w:tc>
      </w:tr>
      <w:tr>
        <w:tc>
          <w:tcPr>
            <w:tcW w:type="dxa" w:w="5184"/>
            <w:shd w:val="clear" w:color="auto" w:fill="FFFFFF"/>
          </w:tcPr>
          <w:p>
            <w:r/>
            <w:r>
              <w:rPr>
                <w:b/>
                <w:color w:val="141C26"/>
                <w:sz w:val="19"/>
              </w:rPr>
              <w:t>Descomposición del crecimiento de la producción (pp/año)</w:t>
            </w:r>
          </w:p>
        </w:tc>
        <w:tc>
          <w:tcPr>
            <w:tcW w:type="dxa" w:w="4464"/>
            <w:shd w:val="clear" w:color="auto" w:fill="FFFFFF"/>
          </w:tcPr>
          <w:p>
            <w:r/>
            <w:r>
              <w:rPr>
                <w:color w:val="141C26"/>
                <w:sz w:val="19"/>
              </w:rPr>
              <w:t>Trabajo +1,32 · Capital +0,73 · Insumos +2,03 · PTF +0,21 = Producción +4,28%/año</w:t>
            </w:r>
          </w:p>
        </w:tc>
      </w:tr>
    </w:tbl>
    <w:p>
      <w:pPr>
        <w:spacing w:after="0"/>
      </w:pPr>
      <w:r>
        <w:rPr>
          <w:sz w:val="6"/>
        </w:rPr>
      </w:r>
    </w:p>
    <w:p>
      <w:pPr>
        <w:spacing w:before="160" w:after="80"/>
      </w:pPr>
      <w:r>
        <w:rPr>
          <w:b/>
          <w:color w:val="16324F"/>
          <w:sz w:val="21"/>
        </w:rPr>
        <w:t>Puntos clave para la conversación</w:t>
      </w:r>
    </w:p>
    <w:p>
      <w:pPr>
        <w:pStyle w:val="ListBullet"/>
        <w:spacing w:after="80"/>
      </w:pPr>
      <w:r>
        <w:rPr>
          <w:color w:val="141C26"/>
          <w:sz w:val="20"/>
        </w:rPr>
        <w:t>El transporte terrestre casi no mejoró en 15 años (0,33% anual frente a 1,51% nacional) y el PIB por trabajador incluso cayó (−0,78% anual). El sector creció por más empleo, no por producir mejor.</w:t>
      </w:r>
    </w:p>
    <w:p>
      <w:pPr>
        <w:pStyle w:val="ListBullet"/>
        <w:spacing w:after="80"/>
      </w:pPr>
      <w:r>
        <w:rPr>
          <w:color w:val="141C26"/>
          <w:sz w:val="20"/>
        </w:rPr>
        <w:t>La logística y el almacenamiento sí mejoraron bien (2,59% anual). Buena pregunta para el gremio: ¿esa diferencia se siente en la práctica?</w:t>
      </w:r>
    </w:p>
    <w:p>
      <w:pPr>
        <w:pStyle w:val="ListBullet"/>
        <w:spacing w:after="80"/>
      </w:pPr>
      <w:r>
        <w:rPr>
          <w:color w:val="141C26"/>
          <w:sz w:val="20"/>
        </w:rPr>
        <w:t>La PTF del sector es positiva pero pequeña (0,21% anual) y mezcla transporte con comunicaciones. No hay fuente pública que separe carga de pasajeros.</w:t>
      </w:r>
    </w:p>
    <w:p>
      <w:pPr>
        <w:pageBreakBefore/>
        <w:spacing w:before="40" w:after="40"/>
      </w:pPr>
      <w:r>
        <w:rPr>
          <w:b/>
          <w:color w:val="A6710A"/>
          <w:sz w:val="17"/>
        </w:rPr>
        <w:t>PREPARACIÓN PARA PREGUNTAS</w:t>
      </w:r>
    </w:p>
    <w:p>
      <w:pPr>
        <w:spacing w:before="120" w:after="200"/>
      </w:pPr>
      <w:r>
        <w:rPr>
          <w:b/>
          <w:color w:val="16324F"/>
          <w:sz w:val="36"/>
        </w:rPr>
        <w:t>Preguntas técnicas frecuentes</w:t>
      </w:r>
    </w:p>
    <w:p>
      <w:pPr>
        <w:spacing w:before="180" w:after="40"/>
      </w:pPr>
      <w:r>
        <w:rPr>
          <w:b/>
          <w:color w:val="A6710A"/>
          <w:sz w:val="21"/>
        </w:rPr>
        <w:t xml:space="preserve">P: </w:t>
      </w:r>
      <w:r>
        <w:rPr>
          <w:b/>
          <w:color w:val="141C26"/>
          <w:sz w:val="21"/>
        </w:rPr>
        <w:t>¿Cómo se calcula el PIB de un sector que no se vende en el mercado, como salud o educación pública?</w:t>
      </w:r>
    </w:p>
    <w:p>
      <w:pPr>
        <w:spacing w:after="80"/>
      </w:pPr>
      <w:r>
        <w:rPr>
          <w:b/>
          <w:color w:val="16324F"/>
          <w:sz w:val="20"/>
        </w:rPr>
        <w:t xml:space="preserve">R: </w:t>
      </w:r>
      <w:r>
        <w:rPr>
          <w:color w:val="141C26"/>
          <w:sz w:val="20"/>
        </w:rPr>
        <w:t>Con las Cuentas Nacionales del DANE (Cuadros Oferta-Utilización). Para la parte pública (colegios y hospitales públicos, administración pública) no hay precio de venta que medir, así que el valor agregado se calcula por el costo de producir el servicio: salarios, consumo de capital fijo, impuestos netos. Para la parte privada sí se usan precios de venta observados.</w:t>
      </w:r>
    </w:p>
    <w:p>
      <w:pPr>
        <w:spacing w:before="180" w:after="40"/>
      </w:pPr>
      <w:r>
        <w:rPr>
          <w:b/>
          <w:color w:val="A6710A"/>
          <w:sz w:val="21"/>
        </w:rPr>
        <w:t xml:space="preserve">P: </w:t>
      </w:r>
      <w:r>
        <w:rPr>
          <w:b/>
          <w:color w:val="141C26"/>
          <w:sz w:val="21"/>
        </w:rPr>
        <w:t>¿Qué diferencia hay entre la productividad laboral (Informe 01) y la PTF (Informe 02)?</w:t>
      </w:r>
    </w:p>
    <w:p>
      <w:pPr>
        <w:spacing w:after="80"/>
      </w:pPr>
      <w:r>
        <w:rPr>
          <w:b/>
          <w:color w:val="16324F"/>
          <w:sz w:val="20"/>
        </w:rPr>
        <w:t xml:space="preserve">R: </w:t>
      </w:r>
      <w:r>
        <w:rPr>
          <w:color w:val="141C26"/>
          <w:sz w:val="20"/>
        </w:rPr>
        <w:t>La productividad laboral es PIB dividido por horas trabajadas, así que solo mide el uso del trabajo. La PTF va más allá: descuenta también los aportes de capital e insumos intermedios, y lo que queda es un residuo que refleja la eficiencia al combinar todos los factores a la vez. El DANE la calcula con el modelo KLEMS, siguiendo el manual de la OCDE.</w:t>
      </w:r>
    </w:p>
    <w:p>
      <w:pPr>
        <w:spacing w:before="180" w:after="40"/>
      </w:pPr>
      <w:r>
        <w:rPr>
          <w:b/>
          <w:color w:val="A6710A"/>
          <w:sz w:val="21"/>
        </w:rPr>
        <w:t xml:space="preserve">P: </w:t>
      </w:r>
      <w:r>
        <w:rPr>
          <w:b/>
          <w:color w:val="141C26"/>
          <w:sz w:val="21"/>
        </w:rPr>
        <w:t>¿Por qué no hay datos específicos de transporte de carga o educación superior?</w:t>
      </w:r>
    </w:p>
    <w:p>
      <w:pPr>
        <w:spacing w:after="80"/>
      </w:pPr>
      <w:r>
        <w:rPr>
          <w:b/>
          <w:color w:val="16324F"/>
          <w:sz w:val="20"/>
        </w:rPr>
        <w:t xml:space="preserve">R: </w:t>
      </w:r>
      <w:r>
        <w:rPr>
          <w:color w:val="141C26"/>
          <w:sz w:val="20"/>
        </w:rPr>
        <w:t>Porque el DANE clasifica por actividad económica (CIIU), no por segmento de mercado ni nivel de servicio. La PTF llega hasta 9 categorías; el Informe 01 llega hasta unas 51 subactividades. Ninguna de las dos separa carga de pasajeros ni educación por nivel. Para eso haría falta cruzar con fuentes especializadas (SNIES para educación, Ministerio de Transporte para carga) que quedan fuera del alcance de estos dos informes.</w:t>
      </w:r>
    </w:p>
    <w:p>
      <w:pPr>
        <w:spacing w:before="180" w:after="40"/>
      </w:pPr>
      <w:r>
        <w:rPr>
          <w:b/>
          <w:color w:val="A6710A"/>
          <w:sz w:val="21"/>
        </w:rPr>
        <w:t xml:space="preserve">P: </w:t>
      </w:r>
      <w:r>
        <w:rPr>
          <w:b/>
          <w:color w:val="141C26"/>
          <w:sz w:val="21"/>
        </w:rPr>
        <w:t>¿Qué es el transporte por tuberías y por qué aparece junto con el transporte terrestre?</w:t>
      </w:r>
    </w:p>
    <w:p>
      <w:pPr>
        <w:spacing w:after="80"/>
      </w:pPr>
      <w:r>
        <w:rPr>
          <w:b/>
          <w:color w:val="16324F"/>
          <w:sz w:val="20"/>
        </w:rPr>
        <w:t xml:space="preserve">R: </w:t>
      </w:r>
      <w:r>
        <w:rPr>
          <w:color w:val="141C26"/>
          <w:sz w:val="20"/>
        </w:rPr>
        <w:t>Es el transporte de líquidos y gases por infraestructura fija: oleoductos, poliductos y gasoductos. El DANE lo agrupa con el transporte terrestre porque así lo define la CIIU, no porque se parezcan en la práctica. Vale la pena tenerlo presente: las tuberías son intensivas en capital y usan poquísimo personal, así que si pesan bastante en la cifra pueden estar inflando el promedio de productividad del transporte por carretera, que es mucho más intensivo en trabajo. No hay forma de separar los dos componentes con los datos disponibles.</w:t>
      </w:r>
    </w:p>
    <w:p>
      <w:pPr>
        <w:spacing w:before="180" w:after="40"/>
      </w:pPr>
      <w:r>
        <w:rPr>
          <w:b/>
          <w:color w:val="A6710A"/>
          <w:sz w:val="21"/>
        </w:rPr>
        <w:t xml:space="preserve">P: </w:t>
      </w:r>
      <w:r>
        <w:rPr>
          <w:b/>
          <w:color w:val="141C26"/>
          <w:sz w:val="21"/>
        </w:rPr>
        <w:t>¿Cómo se trata la informalidad laboral en estos cálculos?</w:t>
      </w:r>
    </w:p>
    <w:p>
      <w:pPr>
        <w:spacing w:after="80"/>
      </w:pPr>
      <w:r>
        <w:rPr>
          <w:b/>
          <w:color w:val="16324F"/>
          <w:sz w:val="20"/>
        </w:rPr>
        <w:t xml:space="preserve">R: </w:t>
      </w:r>
      <w:r>
        <w:rPr>
          <w:color w:val="141C26"/>
          <w:sz w:val="20"/>
        </w:rPr>
        <w:t>La GEIH capta a todos los ocupados, formales e informales. Para los que trabajan por cuenta propia (muy comunes en transporte de carga), el DANE asume que su ingreso por hora equivale al de un asalariado comparable. La informalidad no queda fuera del cálculo, pero sí puede meter más ruido en la estimación del ingreso laboral de ese sector.</w:t>
      </w:r>
    </w:p>
    <w:p>
      <w:pPr>
        <w:spacing w:before="180" w:after="40"/>
      </w:pPr>
      <w:r>
        <w:rPr>
          <w:b/>
          <w:color w:val="A6710A"/>
          <w:sz w:val="21"/>
        </w:rPr>
        <w:t xml:space="preserve">P: </w:t>
      </w:r>
      <w:r>
        <w:rPr>
          <w:b/>
          <w:color w:val="141C26"/>
          <w:sz w:val="21"/>
        </w:rPr>
        <w:t>¿Se puede comparar la productividad entre sectores, por ejemplo minería contra educación?</w:t>
      </w:r>
    </w:p>
    <w:p>
      <w:pPr>
        <w:spacing w:after="80"/>
      </w:pPr>
      <w:r>
        <w:rPr>
          <w:b/>
          <w:color w:val="16324F"/>
          <w:sz w:val="20"/>
        </w:rPr>
        <w:t xml:space="preserve">R: </w:t>
      </w:r>
      <w:r>
        <w:rPr>
          <w:color w:val="141C26"/>
          <w:sz w:val="20"/>
        </w:rPr>
        <w:t>Con cuidado. El PIB por hora depende mucho de cuánto capital usa cada sector por trabajador. Minería y financieras tienen niveles altísimos en parte porque son intensivas en capital, no porque su gente sea más productiva que la de un sector intensivo en trabajo como educación. Comparar tasas de crecimiento tiene más sentido que comparar niveles.</w:t>
      </w:r>
    </w:p>
    <w:p>
      <w:pPr>
        <w:spacing w:before="180" w:after="40"/>
      </w:pPr>
      <w:r>
        <w:rPr>
          <w:b/>
          <w:color w:val="A6710A"/>
          <w:sz w:val="21"/>
        </w:rPr>
        <w:t xml:space="preserve">P: </w:t>
      </w:r>
      <w:r>
        <w:rPr>
          <w:b/>
          <w:color w:val="141C26"/>
          <w:sz w:val="21"/>
        </w:rPr>
        <w:t>¿Estas cifras son comparables con las de otros países?</w:t>
      </w:r>
    </w:p>
    <w:p>
      <w:pPr>
        <w:spacing w:after="80"/>
      </w:pPr>
      <w:r>
        <w:rPr>
          <w:b/>
          <w:color w:val="16324F"/>
          <w:sz w:val="20"/>
        </w:rPr>
        <w:t xml:space="preserve">R: </w:t>
      </w:r>
      <w:r>
        <w:rPr>
          <w:color w:val="141C26"/>
          <w:sz w:val="20"/>
        </w:rPr>
        <w:t>No directamente. Comparar productividad entre países exige ajustar por paridad de poder adquisitivo, armonizar la clasificación de actividades y casi siempre usar otro año base. Estos informes están pensados para el análisis interno de Colombia, no para benchmarking internacional.</w:t>
      </w:r>
    </w:p>
    <w:p>
      <w:pPr>
        <w:spacing w:before="180" w:after="40"/>
      </w:pPr>
      <w:r>
        <w:rPr>
          <w:b/>
          <w:color w:val="A6710A"/>
          <w:sz w:val="21"/>
        </w:rPr>
        <w:t xml:space="preserve">P: </w:t>
      </w:r>
      <w:r>
        <w:rPr>
          <w:b/>
          <w:color w:val="141C26"/>
          <w:sz w:val="21"/>
        </w:rPr>
        <w:t>¿Estas cifras incluyen todo el sector público, o solo la actividad privada?</w:t>
      </w:r>
    </w:p>
    <w:p>
      <w:pPr>
        <w:spacing w:after="80"/>
      </w:pPr>
      <w:r>
        <w:rPr>
          <w:b/>
          <w:color w:val="16324F"/>
          <w:sz w:val="20"/>
        </w:rPr>
        <w:t xml:space="preserve">R: </w:t>
      </w:r>
      <w:r>
        <w:rPr>
          <w:color w:val="141C26"/>
          <w:sz w:val="20"/>
        </w:rPr>
        <w:t>Incluyen ambos. Las Cuentas Nacionales cubren toda la actividad económica del país por actividad CIIU, pública y privada. En sectores con fuerte componente estatal, como salud, educación o transporte público, el resultado agregado mezcla entidades públicas y privadas sin distinguirlas.</w:t>
      </w:r>
    </w:p>
    <w:p>
      <w:pPr>
        <w:spacing w:before="180" w:after="40"/>
      </w:pPr>
      <w:r>
        <w:rPr>
          <w:b/>
          <w:color w:val="A6710A"/>
          <w:sz w:val="21"/>
        </w:rPr>
        <w:t xml:space="preserve">P: </w:t>
      </w:r>
      <w:r>
        <w:rPr>
          <w:b/>
          <w:color w:val="141C26"/>
          <w:sz w:val="21"/>
        </w:rPr>
        <w:t>¿Coinciden con las cifras del Banco de la República o el Ministerio de Hacienda?</w:t>
      </w:r>
    </w:p>
    <w:p>
      <w:pPr>
        <w:spacing w:after="80"/>
      </w:pPr>
      <w:r>
        <w:rPr>
          <w:b/>
          <w:color w:val="16324F"/>
          <w:sz w:val="20"/>
        </w:rPr>
        <w:t xml:space="preserve">R: </w:t>
      </w:r>
      <w:r>
        <w:rPr>
          <w:color w:val="141C26"/>
          <w:sz w:val="20"/>
        </w:rPr>
        <w:t>En el PIB total sí, porque todos parten de las mismas Cuentas Nacionales del DANE. Pueden diferir en el desglose sectorial si esas fuentes usan otra clasificación o un año base distinto al 2015.</w:t>
      </w:r>
    </w:p>
    <w:p>
      <w:pPr>
        <w:spacing w:before="180" w:after="40"/>
      </w:pPr>
      <w:r>
        <w:rPr>
          <w:b/>
          <w:color w:val="A6710A"/>
          <w:sz w:val="21"/>
        </w:rPr>
        <w:t xml:space="preserve">P: </w:t>
      </w:r>
      <w:r>
        <w:rPr>
          <w:b/>
          <w:color w:val="141C26"/>
          <w:sz w:val="21"/>
        </w:rPr>
        <w:t>¿Estas cifras son oficiales del DANE, o cálculos del centro?</w:t>
      </w:r>
    </w:p>
    <w:p>
      <w:pPr>
        <w:spacing w:after="80"/>
      </w:pPr>
      <w:r>
        <w:rPr>
          <w:b/>
          <w:color w:val="16324F"/>
          <w:sz w:val="20"/>
        </w:rPr>
        <w:t xml:space="preserve">R: </w:t>
      </w:r>
      <w:r>
        <w:rPr>
          <w:color w:val="141C26"/>
          <w:sz w:val="20"/>
        </w:rPr>
        <w:t>El PIB, los ocupados y las horas vienen de fuentes oficiales del DANE (Cuentas Nacionales base 2015 y la GEIH). El Informe 01 las combina con un cálculo directo: PIB dividido por horas u ocupados. El Informe 02 usa el anexo de PTF que el DANE ya publica calculado con la metodología KLEMS. En ninguno de los dos casos el centro recalcula la productividad desde cero.</w:t>
      </w:r>
    </w:p>
    <w:p>
      <w:pPr>
        <w:spacing w:before="180" w:after="40"/>
      </w:pPr>
      <w:r>
        <w:rPr>
          <w:b/>
          <w:color w:val="A6710A"/>
          <w:sz w:val="21"/>
        </w:rPr>
        <w:t xml:space="preserve">P: </w:t>
      </w:r>
      <w:r>
        <w:rPr>
          <w:b/>
          <w:color w:val="141C26"/>
          <w:sz w:val="21"/>
        </w:rPr>
        <w:t>¿Qué significa que la PTF de un sector sea negativa en algún año?</w:t>
      </w:r>
    </w:p>
    <w:p>
      <w:pPr>
        <w:spacing w:after="80"/>
      </w:pPr>
      <w:r>
        <w:rPr>
          <w:b/>
          <w:color w:val="16324F"/>
          <w:sz w:val="20"/>
        </w:rPr>
        <w:t xml:space="preserve">R: </w:t>
      </w:r>
      <w:r>
        <w:rPr>
          <w:color w:val="141C26"/>
          <w:sz w:val="20"/>
        </w:rPr>
        <w:t>Que la producción creció menos de lo que deberían explicar, por sí solos, los aumentos de trabajo, capital e insumos. No quiere decir que el sector produjo menos en términos absolutos, sino que se volvió menos eficiente combinando los recursos que usó.</w:t>
      </w:r>
    </w:p>
    <w:p>
      <w:pPr>
        <w:spacing w:before="180" w:after="40"/>
      </w:pPr>
      <w:r>
        <w:rPr>
          <w:b/>
          <w:color w:val="A6710A"/>
          <w:sz w:val="21"/>
        </w:rPr>
        <w:t xml:space="preserve">P: </w:t>
      </w:r>
      <w:r>
        <w:rPr>
          <w:b/>
          <w:color w:val="141C26"/>
          <w:sz w:val="21"/>
        </w:rPr>
        <w:t>¿Qué año base y qué precios se usan?</w:t>
      </w:r>
    </w:p>
    <w:p>
      <w:pPr>
        <w:spacing w:after="80"/>
      </w:pPr>
      <w:r>
        <w:rPr>
          <w:b/>
          <w:color w:val="16324F"/>
          <w:sz w:val="20"/>
        </w:rPr>
        <w:t xml:space="preserve">R: </w:t>
      </w:r>
      <w:r>
        <w:rPr>
          <w:color w:val="141C26"/>
          <w:sz w:val="20"/>
        </w:rPr>
        <w:t>Año base 2015, a precios constantes. Todas las tasas de crecimiento están libres del efecto de la inflación.</w:t>
      </w:r>
    </w:p>
    <w:p>
      <w:pPr>
        <w:spacing w:before="180" w:after="40"/>
      </w:pPr>
      <w:r>
        <w:rPr>
          <w:b/>
          <w:color w:val="A6710A"/>
          <w:sz w:val="21"/>
        </w:rPr>
        <w:t xml:space="preserve">P: </w:t>
      </w:r>
      <w:r>
        <w:rPr>
          <w:b/>
          <w:color w:val="141C26"/>
          <w:sz w:val="21"/>
        </w:rPr>
        <w:t>¿Los datos de 2024 y 2025 son definitivos?</w:t>
      </w:r>
    </w:p>
    <w:p>
      <w:pPr>
        <w:spacing w:after="80"/>
      </w:pPr>
      <w:r>
        <w:rPr>
          <w:b/>
          <w:color w:val="16324F"/>
          <w:sz w:val="20"/>
        </w:rPr>
        <w:t xml:space="preserve">R: </w:t>
      </w:r>
      <w:r>
        <w:rPr>
          <w:color w:val="141C26"/>
          <w:sz w:val="20"/>
        </w:rPr>
        <w:t>No. El DANE los marca como provisionales o preliminares y los revisa en publicaciones posteriores. Las cifras de los años más recientes pueden cambiar.</w:t>
      </w:r>
    </w:p>
    <w:p>
      <w:pPr>
        <w:spacing w:before="180" w:after="40"/>
      </w:pPr>
      <w:r>
        <w:rPr>
          <w:b/>
          <w:color w:val="A6710A"/>
          <w:sz w:val="21"/>
        </w:rPr>
        <w:t xml:space="preserve">P: </w:t>
      </w:r>
      <w:r>
        <w:rPr>
          <w:b/>
          <w:color w:val="141C26"/>
          <w:sz w:val="21"/>
        </w:rPr>
        <w:t>¿Por qué usar PIB por hora trabajada y no solo PIB por trabajador o empleo total?</w:t>
      </w:r>
    </w:p>
    <w:p>
      <w:pPr>
        <w:spacing w:after="80"/>
      </w:pPr>
      <w:r>
        <w:rPr>
          <w:b/>
          <w:color w:val="16324F"/>
          <w:sz w:val="20"/>
        </w:rPr>
        <w:t xml:space="preserve">R: </w:t>
      </w:r>
      <w:r>
        <w:rPr>
          <w:color w:val="141C26"/>
          <w:sz w:val="20"/>
        </w:rPr>
        <w:t>Porque el PIB por trabajador puede subir solo porque la gente trabaja más horas, sin ser realmente más productiva. El PIB por hora controla ese efecto. Por eso el Informe 01 lo usa como indicador principal, con horas que salen de la GEIH.</w:t>
      </w:r>
    </w:p>
    <w:p>
      <w:pPr>
        <w:spacing w:before="180" w:after="40"/>
      </w:pPr>
      <w:r>
        <w:rPr>
          <w:b/>
          <w:color w:val="A6710A"/>
          <w:sz w:val="21"/>
        </w:rPr>
        <w:t xml:space="preserve">P: </w:t>
      </w:r>
      <w:r>
        <w:rPr>
          <w:b/>
          <w:color w:val="141C26"/>
          <w:sz w:val="21"/>
        </w:rPr>
        <w:t>Para la PTF, ¿por qué se habla de servicios laborales ajustados por calidad y no solo de horas trabajadas?</w:t>
      </w:r>
    </w:p>
    <w:p>
      <w:pPr>
        <w:spacing w:after="80"/>
      </w:pPr>
      <w:r>
        <w:rPr>
          <w:b/>
          <w:color w:val="16324F"/>
          <w:sz w:val="20"/>
        </w:rPr>
        <w:t xml:space="preserve">R: </w:t>
      </w:r>
      <w:r>
        <w:rPr>
          <w:color w:val="141C26"/>
          <w:sz w:val="20"/>
        </w:rPr>
        <w:t>Porque el DANE no solo cuenta horas: las pondera por sexo, edad y nivel educativo del trabajador, para que una hora de trabajo calificado pese distinto a una hora sin calificar. A eso se le llama servicios laborales, siguiendo el manual LA-KLEMS de la OCDE.</w:t>
      </w:r>
    </w:p>
    <w:p>
      <w:pPr>
        <w:spacing w:before="180" w:after="40"/>
      </w:pPr>
      <w:r>
        <w:rPr>
          <w:b/>
          <w:color w:val="A6710A"/>
          <w:sz w:val="21"/>
        </w:rPr>
        <w:t xml:space="preserve">P: </w:t>
      </w:r>
      <w:r>
        <w:rPr>
          <w:b/>
          <w:color w:val="141C26"/>
          <w:sz w:val="21"/>
        </w:rPr>
        <w:t>¿Cómo se agregan los sectores para llegar al total nacional de PTF?</w:t>
      </w:r>
    </w:p>
    <w:p>
      <w:pPr>
        <w:spacing w:after="80"/>
      </w:pPr>
      <w:r>
        <w:rPr>
          <w:b/>
          <w:color w:val="16324F"/>
          <w:sz w:val="20"/>
        </w:rPr>
        <w:t xml:space="preserve">R: </w:t>
      </w:r>
      <w:r>
        <w:rPr>
          <w:color w:val="141C26"/>
          <w:sz w:val="20"/>
        </w:rPr>
        <w:t>Con un índice de Törnqvist: un promedio ponderado por la participación de cada sector en el valor agregado o la producción total. No es un promedio simple entre sectores.</w:t>
      </w:r>
    </w:p>
    <w:p>
      <w:pPr>
        <w:spacing w:before="180" w:after="40"/>
      </w:pPr>
      <w:r>
        <w:rPr>
          <w:b/>
          <w:color w:val="A6710A"/>
          <w:sz w:val="21"/>
        </w:rPr>
        <w:t xml:space="preserve">P: </w:t>
      </w:r>
      <w:r>
        <w:rPr>
          <w:b/>
          <w:color w:val="141C26"/>
          <w:sz w:val="21"/>
        </w:rPr>
        <w:t>¿Por qué un sector puede crecer en PIB y aun así no ser más productivo?</w:t>
      </w:r>
    </w:p>
    <w:p>
      <w:pPr>
        <w:spacing w:after="80"/>
      </w:pPr>
      <w:r>
        <w:rPr>
          <w:b/>
          <w:color w:val="16324F"/>
          <w:sz w:val="20"/>
        </w:rPr>
        <w:t xml:space="preserve">R: </w:t>
      </w:r>
      <w:r>
        <w:rPr>
          <w:color w:val="141C26"/>
          <w:sz w:val="20"/>
        </w:rPr>
        <w:t>Porque el PIB crece cada vez que se usan más recursos, así sea más gente, más horas o más capital, aunque no se usen mejor. Ese es el punto del Informe 02: entre 2005 y 2025 la economía colombiana creció, pero la PTF cayó levemente, porque ese crecimiento vino de acumular trabajo y capital y no de una economía más eficiente.</w:t>
      </w:r>
    </w:p>
    <w:p>
      <w:pPr>
        <w:spacing w:before="180" w:after="40"/>
      </w:pPr>
      <w:r>
        <w:rPr>
          <w:b/>
          <w:color w:val="A6710A"/>
          <w:sz w:val="21"/>
        </w:rPr>
        <w:t xml:space="preserve">P: </w:t>
      </w:r>
      <w:r>
        <w:rPr>
          <w:b/>
          <w:color w:val="141C26"/>
          <w:sz w:val="21"/>
        </w:rPr>
        <w:t>¿"Billones" aquí es lo mismo que en inglés?</w:t>
      </w:r>
    </w:p>
    <w:p>
      <w:pPr>
        <w:spacing w:after="80"/>
      </w:pPr>
      <w:r>
        <w:rPr>
          <w:b/>
          <w:color w:val="16324F"/>
          <w:sz w:val="20"/>
        </w:rPr>
        <w:t xml:space="preserve">R: </w:t>
      </w:r>
      <w:r>
        <w:rPr>
          <w:color w:val="141C26"/>
          <w:sz w:val="20"/>
        </w:rPr>
        <w:t>No, y es un punto de confusión frecuente. Un billón en español, y en las cifras de este documento, es un millón de millones. En inglés "billion" equivale a mil millones. Conviene aclararlo si el material circula con audiencias que trabajan en inglés.</w:t>
      </w:r>
    </w:p>
    <w:sectPr w:rsidR="00FC693F" w:rsidRPr="0006063C" w:rsidSect="00034616">
      <w:footerReference w:type="default" r:id="rId9"/>
      <w:pgSz w:w="12240" w:h="15840"/>
      <w:pgMar w:top="720" w:right="1296" w:bottom="72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97"/>
        <w:sz w:val="16"/>
      </w:rPr>
      <w:t xml:space="preserve">Centro Javeriano de Competitividad · Preparación técnica — reuniones sectoriales · </w:t>
    </w:r>
    <w:r>
      <w:rPr>
        <w:color w:val="8A8F97"/>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C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