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00"/>
              <w:bottom w:type="dxa" w:w="200"/>
              <w:right w:type="dxa" w:w="200"/>
            </w:tcMar>
          </w:tcPr>
          <w:p>
            <w:pPr>
              <w:spacing w:after="60" w:before="0"/>
            </w:pPr>
            <w:r>
              <w:rPr>
                <w:rFonts w:ascii="Arial" w:cs="Arial" w:eastAsia="Arial" w:hAnsi="Arial"/>
                <w:b/>
                <w:bCs/>
                <w:i w:val="false"/>
                <w:iCs w:val="false"/>
                <w:color w:val="FFFFFF"/>
                <w:sz w:val="28"/>
                <w:szCs w:val="28"/>
              </w:rPr>
              <w:t xml:space="preserve">ENCUESTA ANUAL MANUFACTURERA — EAM</w:t>
            </w:r>
          </w:p>
          <w:p>
            <w:pPr>
              <w:spacing w:after="40" w:before="0"/>
            </w:pPr>
            <w:r>
              <w:rPr>
                <w:rFonts w:ascii="Arial" w:cs="Arial" w:eastAsia="Arial" w:hAnsi="Arial"/>
                <w:b w:val="false"/>
                <w:bCs w:val="false"/>
                <w:i w:val="false"/>
                <w:iCs w:val="false"/>
                <w:color w:val="BDD7EE"/>
                <w:sz w:val="19"/>
                <w:szCs w:val="19"/>
              </w:rPr>
              <w:t xml:space="preserve">DANE · Colombia · 1992–2024  |  Documento Tecnico de Variables</w:t>
            </w:r>
          </w:p>
          <w:p>
            <w:pPr>
              <w:spacing w:after="0" w:before="0"/>
            </w:pPr>
            <w:r>
              <w:rPr>
                <w:rFonts w:ascii="Arial" w:cs="Arial" w:eastAsia="Arial" w:hAnsi="Arial"/>
                <w:b w:val="false"/>
                <w:bCs w:val="false"/>
                <w:i/>
                <w:iCs/>
                <w:color w:val="D9D9D9"/>
                <w:sz w:val="17"/>
                <w:szCs w:val="17"/>
              </w:rPr>
              <w:t xml:space="preserve">Estructura, disponibilidad temporal y criterios de armonizacion</w:t>
            </w:r>
          </w:p>
        </w:tc>
      </w:tr>
    </w:tbl>
    <w:p>
      <w:pPr>
        <w:spacing w:after="12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80"/>
              <w:left w:type="dxa" w:w="120"/>
              <w:bottom w:type="dxa" w:w="80"/>
              <w:right w:type="dxa" w:w="120"/>
            </w:tcMar>
          </w:tcPr>
          <w:p>
            <w:pPr>
              <w:spacing w:after="0" w:before="0"/>
            </w:pPr>
            <w:r>
              <w:rPr>
                <w:rFonts w:ascii="Arial" w:cs="Arial" w:eastAsia="Arial" w:hAnsi="Arial"/>
                <w:b/>
                <w:bCs/>
                <w:i w:val="false"/>
                <w:iCs w:val="false"/>
                <w:color w:val="FFC000"/>
                <w:sz w:val="20"/>
                <w:szCs w:val="20"/>
              </w:rPr>
              <w:t xml:space="preserve">1. </w:t>
            </w:r>
            <w:r>
              <w:rPr>
                <w:rFonts w:ascii="Arial" w:cs="Arial" w:eastAsia="Arial" w:hAnsi="Arial"/>
                <w:b/>
                <w:bCs/>
                <w:i w:val="false"/>
                <w:iCs w:val="false"/>
                <w:color w:val="FFFFFF"/>
                <w:sz w:val="20"/>
                <w:szCs w:val="20"/>
              </w:rPr>
              <w:t xml:space="preserve">DESCRIPCIÓN GENERAL</w:t>
            </w:r>
          </w:p>
        </w:tc>
      </w:tr>
    </w:tbl>
    <w:p>
      <w:pPr>
        <w:spacing w:after="6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Cobertura temporal</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1992–2024 (32 años, falta 2020)</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Catálogos</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563 (1992–94), 492 (1995–99), 494 (2000–2024)</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Unidad de observación</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Establecimiento productivo (nordest)</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Universo</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Estab. con ≥10 personas o ≥ umbral de producción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Variables por año</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Entre 13 (1997–98) y 400 (2012)</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Clasificación industrial</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CIIU Rev. 2 (1992–2000), Rev. 3 (2001–2011), Rev. 4 (2012+)</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Módulos temáticos</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ID · Personal (C4) · Costos (C3) · Ingresos (C2) · Inventarios (C6) · Activos fijos (C7) · Energía (C5/ENRG) · Variables derivadas (CALC)</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6"/>
                <w:szCs w:val="16"/>
              </w:rPr>
              <w:t xml:space="preserve">Años incompletos</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6"/>
                <w:szCs w:val="16"/>
              </w:rPr>
              <w:t xml:space="preserve">1997, 1998: ~12 vars, no comparables. 2020: sin datos</w:t>
            </w:r>
          </w:p>
        </w:tc>
      </w:tr>
    </w:tbl>
    <w:p>
      <w:pPr>
        <w:spacing w:after="10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80"/>
              <w:left w:type="dxa" w:w="120"/>
              <w:bottom w:type="dxa" w:w="80"/>
              <w:right w:type="dxa" w:w="120"/>
            </w:tcMar>
          </w:tcPr>
          <w:p>
            <w:pPr>
              <w:spacing w:after="0" w:before="0"/>
            </w:pPr>
            <w:r>
              <w:rPr>
                <w:rFonts w:ascii="Arial" w:cs="Arial" w:eastAsia="Arial" w:hAnsi="Arial"/>
                <w:b/>
                <w:bCs/>
                <w:i w:val="false"/>
                <w:iCs w:val="false"/>
                <w:color w:val="FFC000"/>
                <w:sz w:val="20"/>
                <w:szCs w:val="20"/>
              </w:rPr>
              <w:t xml:space="preserve">2. </w:t>
            </w:r>
            <w:r>
              <w:rPr>
                <w:rFonts w:ascii="Arial" w:cs="Arial" w:eastAsia="Arial" w:hAnsi="Arial"/>
                <w:b/>
                <w:bCs/>
                <w:i w:val="false"/>
                <w:iCs w:val="false"/>
                <w:color w:val="FFFFFF"/>
                <w:sz w:val="20"/>
                <w:szCs w:val="20"/>
              </w:rPr>
              <w:t xml:space="preserve">ESTRUCTURA DE MÓDULOS Y NÚMERO DE VARIABLES POR AÑO</w:t>
            </w:r>
          </w:p>
        </w:tc>
      </w:tr>
    </w:tbl>
    <w:p>
      <w:pPr>
        <w:spacing w:after="60" w:before="0"/>
        <w:jc w:val="left"/>
      </w:pPr>
      <w:r>
        <w:rPr>
          <w:rFonts w:ascii="Arial" w:cs="Arial" w:eastAsia="Arial" w:hAnsi="Arial"/>
          <w:b w:val="false"/>
          <w:bCs w:val="false"/>
          <w:i w:val="false"/>
          <w:iCs w:val="false"/>
          <w:color w:val="404040"/>
          <w:sz w:val="18"/>
          <w:szCs w:val="18"/>
        </w:rPr>
        <w:t xml:space="preserve"/>
      </w:r>
    </w:p>
    <w:p>
      <w:pPr>
        <w:spacing w:after="80" w:before="0"/>
        <w:jc w:val="left"/>
      </w:pPr>
      <w:r>
        <w:rPr>
          <w:rFonts w:ascii="Arial" w:cs="Arial" w:eastAsia="Arial" w:hAnsi="Arial"/>
          <w:b w:val="false"/>
          <w:bCs w:val="false"/>
          <w:i/>
          <w:iCs/>
          <w:color w:val="404040"/>
          <w:sz w:val="16"/>
          <w:szCs w:val="16"/>
        </w:rPr>
        <w:t xml:space="preserve">Cada celda indica el número de variables de ese módulo en ese año. Las celdas grises indican que el módulo no está disponible.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16"/>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gridCol w:w="242"/>
      </w:tblGrid>
      <w:tr>
        <w:trPr>
          <w:tblHeader/>
        </w:trPr>
        <w:tc>
          <w:tcPr>
            <w:tcW w:type="dxa" w:w="1616"/>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Módulo / Sección</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'92</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'93</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'94</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'95</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'96</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'97</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'99</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'00</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'01</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'02</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'03</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'04</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'05</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'06</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'07</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'08</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'09</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'11</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'13</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'14</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'15</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'16</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'17</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'18</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'19</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'21</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'22</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'23</w:t>
            </w:r>
          </w:p>
        </w:tc>
        <w:tc>
          <w:tcPr>
            <w:tcW w:type="dxa" w:w="242"/>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3"/>
                <w:szCs w:val="13"/>
              </w:rPr>
              <w:t xml:space="preserve">'24</w:t>
            </w:r>
          </w:p>
        </w:tc>
      </w:tr>
      <w:tr>
        <w:tc>
          <w:tcPr>
            <w:tcW w:type="dxa" w:w="1616"/>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Identificadores</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r>
      <w:tr>
        <w:tc>
          <w:tcPr>
            <w:tcW w:type="dxa" w:w="1616"/>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Personal ocupado (C4)</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81</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81</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76</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55</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c>
          <w:tcPr>
            <w:tcW w:type="dxa" w:w="242"/>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60</w:t>
            </w:r>
          </w:p>
        </w:tc>
      </w:tr>
      <w:tr>
        <w:tc>
          <w:tcPr>
            <w:tcW w:type="dxa" w:w="1616"/>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Costos y gastos (C3)</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35</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35</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36</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114</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104</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104</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104</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104</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108</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111</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111</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111</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111</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111</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111</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111</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107</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107</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107</w:t>
            </w:r>
          </w:p>
        </w:tc>
        <w:tc>
          <w:tcPr>
            <w:tcW w:type="dxa" w:w="242"/>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107</w:t>
            </w:r>
          </w:p>
        </w:tc>
      </w:tr>
      <w:tr>
        <w:tc>
          <w:tcPr>
            <w:tcW w:type="dxa" w:w="1616"/>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Ingresos (C2)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23</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23</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23</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13</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c>
          <w:tcPr>
            <w:tcW w:type="dxa" w:w="242"/>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w:t>
            </w:r>
          </w:p>
        </w:tc>
      </w:tr>
      <w:tr>
        <w:tc>
          <w:tcPr>
            <w:tcW w:type="dxa" w:w="1616"/>
            <w:gridSpan w:val="1"/>
            <w:tcBorders>
              <w:top w:val="single" w:color="CCCCCC" w:sz="1"/>
              <w:left w:val="single" w:color="CCCCCC" w:sz="1"/>
              <w:bottom w:val="single" w:color="CCCCCC" w:sz="1"/>
              <w:right w:val="single" w:color="CCCCCC" w:sz="1"/>
            </w:tcBorders>
            <w:shd w:fill="B6D7A8"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Ventas/compras geográf. (C2B)</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B6D7A8"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15</w:t>
            </w:r>
          </w:p>
        </w:tc>
        <w:tc>
          <w:tcPr>
            <w:tcW w:type="dxa" w:w="242"/>
            <w:gridSpan w:val="1"/>
            <w:tcBorders>
              <w:top w:val="single" w:color="CCCCCC" w:sz="1"/>
              <w:left w:val="single" w:color="CCCCCC" w:sz="1"/>
              <w:bottom w:val="single" w:color="CCCCCC" w:sz="1"/>
              <w:right w:val="single" w:color="CCCCCC" w:sz="1"/>
            </w:tcBorders>
            <w:shd w:fill="B6D7A8"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15</w:t>
            </w:r>
          </w:p>
        </w:tc>
        <w:tc>
          <w:tcPr>
            <w:tcW w:type="dxa" w:w="242"/>
            <w:gridSpan w:val="1"/>
            <w:tcBorders>
              <w:top w:val="single" w:color="CCCCCC" w:sz="1"/>
              <w:left w:val="single" w:color="CCCCCC" w:sz="1"/>
              <w:bottom w:val="single" w:color="CCCCCC" w:sz="1"/>
              <w:right w:val="single" w:color="CCCCCC" w:sz="1"/>
            </w:tcBorders>
            <w:shd w:fill="B6D7A8"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15</w:t>
            </w:r>
          </w:p>
        </w:tc>
        <w:tc>
          <w:tcPr>
            <w:tcW w:type="dxa" w:w="242"/>
            <w:gridSpan w:val="1"/>
            <w:tcBorders>
              <w:top w:val="single" w:color="CCCCCC" w:sz="1"/>
              <w:left w:val="single" w:color="CCCCCC" w:sz="1"/>
              <w:bottom w:val="single" w:color="CCCCCC" w:sz="1"/>
              <w:right w:val="single" w:color="CCCCCC" w:sz="1"/>
            </w:tcBorders>
            <w:shd w:fill="B6D7A8"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17</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r>
      <w:tr>
        <w:tc>
          <w:tcPr>
            <w:tcW w:type="dxa" w:w="1616"/>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Energía eléctrica KWH (C5)</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4</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5</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c>
          <w:tcPr>
            <w:tcW w:type="dxa" w:w="242"/>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w:t>
            </w:r>
          </w:p>
        </w:tc>
      </w:tr>
      <w:tr>
        <w:tc>
          <w:tcPr>
            <w:tcW w:type="dxa" w:w="1616"/>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Inventarios (C6)</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c>
          <w:tcPr>
            <w:tcW w:type="dxa" w:w="242"/>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w:t>
            </w:r>
          </w:p>
        </w:tc>
      </w:tr>
      <w:tr>
        <w:tc>
          <w:tcPr>
            <w:tcW w:type="dxa" w:w="1616"/>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Activos fijos (C7)</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160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160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160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66</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91</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91</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91</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91</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103</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103</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103</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103</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c>
          <w:tcPr>
            <w:tcW w:type="dxa" w:w="242"/>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110</w:t>
            </w:r>
          </w:p>
        </w:tc>
      </w:tr>
      <w:tr>
        <w:tc>
          <w:tcPr>
            <w:tcW w:type="dxa" w:w="1616"/>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Energéticos (ENRG)</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27</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27</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27</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27</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c>
          <w:tcPr>
            <w:tcW w:type="dxa" w:w="242"/>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61</w:t>
            </w:r>
          </w:p>
        </w:tc>
      </w:tr>
      <w:tr>
        <w:tc>
          <w:tcPr>
            <w:tcW w:type="dxa" w:w="1616"/>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Variables derivadas (CALC)</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18</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20</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20</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20</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20</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20</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21</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21</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25</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20</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21</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24</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24</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24</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37</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38</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38</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39</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39</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27</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24</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c>
          <w:tcPr>
            <w:tcW w:type="dxa" w:w="242"/>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26</w:t>
            </w:r>
          </w:p>
        </w:tc>
      </w:tr>
      <w:tr>
        <w:tc>
          <w:tcPr>
            <w:tcW w:type="dxa" w:w="1616"/>
            <w:gridSpan w:val="1"/>
            <w:tcBorders>
              <w:top w:val="single" w:color="CCCCCC" w:sz="1"/>
              <w:left w:val="single" w:color="CCCCCC" w:sz="1"/>
              <w:bottom w:val="single" w:color="CCCCCC" w:sz="1"/>
              <w:right w:val="single" w:color="CCCCCC" w:sz="1"/>
            </w:tcBorders>
            <w:shd w:fill="EA9999"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Tipo inventario (INV)</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EA999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w:t>
            </w:r>
          </w:p>
        </w:tc>
        <w:tc>
          <w:tcPr>
            <w:tcW w:type="dxa" w:w="242"/>
            <w:gridSpan w:val="1"/>
            <w:tcBorders>
              <w:top w:val="single" w:color="CCCCCC" w:sz="1"/>
              <w:left w:val="single" w:color="CCCCCC" w:sz="1"/>
              <w:bottom w:val="single" w:color="CCCCCC" w:sz="1"/>
              <w:right w:val="single" w:color="CCCCCC" w:sz="1"/>
            </w:tcBorders>
            <w:shd w:fill="EA999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w:t>
            </w:r>
          </w:p>
        </w:tc>
        <w:tc>
          <w:tcPr>
            <w:tcW w:type="dxa" w:w="242"/>
            <w:gridSpan w:val="1"/>
            <w:tcBorders>
              <w:top w:val="single" w:color="CCCCCC" w:sz="1"/>
              <w:left w:val="single" w:color="CCCCCC" w:sz="1"/>
              <w:bottom w:val="single" w:color="CCCCCC" w:sz="1"/>
              <w:right w:val="single" w:color="CCCCCC" w:sz="1"/>
            </w:tcBorders>
            <w:shd w:fill="EA999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3"/>
                <w:szCs w:val="13"/>
              </w:rPr>
              <w:t xml:space="preserve">2</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c>
          <w:tcPr>
            <w:tcW w:type="dxa" w:w="242"/>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AAAAAA"/>
                <w:sz w:val="13"/>
                <w:szCs w:val="13"/>
              </w:rPr>
              <w:t xml:space="preserve">–</w:t>
            </w:r>
          </w:p>
        </w:tc>
      </w:tr>
      <w:tr>
        <w:tc>
          <w:tcPr>
            <w:tcW w:type="dxa" w:w="1616"/>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FFFFFF"/>
                <w:sz w:val="15"/>
                <w:szCs w:val="15"/>
              </w:rPr>
              <w:t xml:space="preserve">TOTAL VARIABLES</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358</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358</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355</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240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240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240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241</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268</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287</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319</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319</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337</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329</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332</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330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331</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360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392</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392</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393</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400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391</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388</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390</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386</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386</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386</w:t>
            </w:r>
          </w:p>
        </w:tc>
        <w:tc>
          <w:tcPr>
            <w:tcW w:type="dxa" w:w="242"/>
            <w:gridSpan w:val="1"/>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FFFFFF"/>
                <w:sz w:val="13"/>
                <w:szCs w:val="13"/>
              </w:rPr>
              <w:t xml:space="preserve">386</w:t>
            </w:r>
          </w:p>
        </w:tc>
      </w:tr>
    </w:tbl>
    <w:p>
      <w:pPr>
        <w:spacing w:after="120" w:before="40"/>
        <w:jc w:val="left"/>
      </w:pPr>
      <w:r>
        <w:rPr>
          <w:rFonts w:ascii="Arial" w:cs="Arial" w:eastAsia="Arial" w:hAnsi="Arial"/>
          <w:b w:val="false"/>
          <w:bCs w:val="false"/>
          <w:i/>
          <w:iCs/>
          <w:color w:val="666666"/>
          <w:sz w:val="14"/>
          <w:szCs w:val="14"/>
        </w:rPr>
        <w:t xml:space="preserve">Nota: Las celdas en rojo corresponden a 1997 y 1998, años con archivos incompletos (~12 variables). El año 2020 no tiene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80"/>
              <w:left w:type="dxa" w:w="120"/>
              <w:bottom w:type="dxa" w:w="80"/>
              <w:right w:type="dxa" w:w="120"/>
            </w:tcMar>
          </w:tcPr>
          <w:p>
            <w:pPr>
              <w:spacing w:after="0" w:before="0"/>
            </w:pPr>
            <w:r>
              <w:rPr>
                <w:rFonts w:ascii="Arial" w:cs="Arial" w:eastAsia="Arial" w:hAnsi="Arial"/>
                <w:b/>
                <w:bCs/>
                <w:i w:val="false"/>
                <w:iCs w:val="false"/>
                <w:color w:val="FFC000"/>
                <w:sz w:val="20"/>
                <w:szCs w:val="20"/>
              </w:rPr>
              <w:t xml:space="preserve">3. </w:t>
            </w:r>
            <w:r>
              <w:rPr>
                <w:rFonts w:ascii="Arial" w:cs="Arial" w:eastAsia="Arial" w:hAnsi="Arial"/>
                <w:b/>
                <w:bCs/>
                <w:i w:val="false"/>
                <w:iCs w:val="false"/>
                <w:color w:val="FFFFFF"/>
                <w:sz w:val="20"/>
                <w:szCs w:val="20"/>
              </w:rPr>
              <w:t xml:space="preserve">DISPONIBILIDAD TEMPORAL — VARIABLES ANALÍTICAS CLAVE</w:t>
            </w:r>
          </w:p>
        </w:tc>
      </w:tr>
    </w:tbl>
    <w:p>
      <w:pPr>
        <w:spacing w:after="6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800"/>
        <w:gridCol w:w="1900"/>
        <w:gridCol w:w="1400"/>
        <w:gridCol w:w="2960"/>
      </w:tblGrid>
      <w:tr>
        <w:trPr>
          <w:tblHeader/>
        </w:trPr>
        <w:tc>
          <w:tcPr>
            <w:tcW w:type="dxa" w:w="13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Variable</w:t>
            </w:r>
          </w:p>
        </w:tc>
        <w:tc>
          <w:tcPr>
            <w:tcW w:type="dxa" w:w="18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Descripción</w:t>
            </w:r>
          </w:p>
        </w:tc>
        <w:tc>
          <w:tcPr>
            <w:tcW w:type="dxa" w:w="19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Disponibilidad</w:t>
            </w:r>
          </w:p>
        </w:tc>
        <w:tc>
          <w:tcPr>
            <w:tcW w:type="dxa" w:w="14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Nombre R recom.</w:t>
            </w:r>
          </w:p>
        </w:tc>
        <w:tc>
          <w:tcPr>
            <w:tcW w:type="dxa" w:w="29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Observaciones</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NORDEMP</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N. empresa</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NORDEMP</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NORDEST</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N. establecimiento</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NORDEST</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DPTO</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Departamento</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DPTO</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Clasificación CIIU</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5 nombres distintos por período (ver Sección 5)</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PERIODO</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Año de encuesta</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PERIODO</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PRODBR2</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Producción bruta</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PRODBR2</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PRODBIND</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Prod. industrial</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PRODBIND</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CONSIN2</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Consumo intermedio</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CONSIN2</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VALAGRI</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Valor agregado</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VALAGRI</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VALORVEN</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Valor ventas</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VALORVEN</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VALORCOM</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Valor compras MP</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VALORCOM</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VALQCONS</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Val. MP consumida</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1993–2024 (31 años)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VALQCONS</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No disponible en 1992</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ACTIVFI</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Activos fijos</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ACTIVFI</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INVEBRTA</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Inversión bruta</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INVEBRTA</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DEPRECIA</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Depreciación total</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1998–2024 (26 años)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DEPRECIA</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No disponible 1992–97. Aparece por primera vez en 1998</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PERTOTAL</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Personal total</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PERTOTAL</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PERSOCU</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Personal permanente</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PERSOCU</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PERTEM3</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Personal temporal</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PERTEM3</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SALARPER</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Salarios perm.</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SALARPER</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PRESSPER</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Prestaciones perm.</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PRESSPER</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REMUTEMP</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Remuneración temp.</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2009–2024 (15 años)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REMUTEMP</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No disponible antes de 2009</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PERAPREN</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Personal aprendices</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2015–2024 (9 años)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PERAPREN</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Nuevo desde 2015</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SALAPREN</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Salarios aprendices</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2015–2024 (9 años)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SALAPREN</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Nuevo desde 2015</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EELEC</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Energía eléct. (kWh)</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1992–2024 (todos)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EELEC</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4"/>
                <w:szCs w:val="14"/>
              </w:rPr>
              <w:t xml:space="preserve">—</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TOTALV</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Valor total energéticos</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1999–2024 (25 años)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TOTALV</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No disponible 1992–98</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VALVFAB</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Valor producción</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1995–2007, 2009–2024</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VALVFAB</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Ausente 1992–94, 1997–98, 2003, 2008</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VALORCX</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Val. compras exterior</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2004–2024 (20 años)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VALORCX</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Nuevo desde 2004</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CANTPRO</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Cantidad producida</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2008–2012 (5 años)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CANTPRO</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Solo disponible 2008–2012</w:t>
            </w:r>
          </w:p>
        </w:tc>
      </w:tr>
      <w:tr>
        <w:tc>
          <w:tcPr>
            <w:tcW w:type="dxa" w:w="13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CANTVENT</w:t>
            </w:r>
          </w:p>
        </w:tc>
        <w:tc>
          <w:tcPr>
            <w:tcW w:type="dxa" w:w="18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Cantidad vendida</w:t>
            </w:r>
          </w:p>
        </w:tc>
        <w:tc>
          <w:tcPr>
            <w:tcW w:type="dxa" w:w="1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2008–2012 (5 años)</w:t>
            </w:r>
          </w:p>
        </w:tc>
        <w:tc>
          <w:tcPr>
            <w:tcW w:type="dxa" w:w="14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CANTVENT</w:t>
            </w:r>
          </w:p>
        </w:tc>
        <w:tc>
          <w:tcPr>
            <w:tcW w:type="dxa" w:w="29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Solo 2008–2012</w:t>
            </w:r>
          </w:p>
        </w:tc>
      </w:tr>
      <w:tr>
        <w:tc>
          <w:tcPr>
            <w:tcW w:type="dxa" w:w="13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INVPERMA</w:t>
            </w:r>
          </w:p>
        </w:tc>
        <w:tc>
          <w:tcPr>
            <w:tcW w:type="dxa" w:w="18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Inventario permanente</w:t>
            </w:r>
          </w:p>
        </w:tc>
        <w:tc>
          <w:tcPr>
            <w:tcW w:type="dxa" w:w="1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2001–2003 (3 años)</w:t>
            </w:r>
          </w:p>
        </w:tc>
        <w:tc>
          <w:tcPr>
            <w:tcW w:type="dxa" w:w="14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INVPERMA</w:t>
            </w:r>
          </w:p>
        </w:tc>
        <w:tc>
          <w:tcPr>
            <w:tcW w:type="dxa" w:w="29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iCs/>
                <w:color w:val="404040"/>
                <w:sz w:val="14"/>
                <w:szCs w:val="14"/>
              </w:rPr>
              <w:t xml:space="preserve">Solo 3 años</w:t>
            </w:r>
          </w:p>
        </w:tc>
      </w:tr>
    </w:tbl>
    <w:p>
      <w:pPr>
        <w:spacing w:after="12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80"/>
              <w:left w:type="dxa" w:w="120"/>
              <w:bottom w:type="dxa" w:w="80"/>
              <w:right w:type="dxa" w:w="120"/>
            </w:tcMar>
          </w:tcPr>
          <w:p>
            <w:pPr>
              <w:spacing w:after="0" w:before="0"/>
            </w:pPr>
            <w:r>
              <w:rPr>
                <w:rFonts w:ascii="Arial" w:cs="Arial" w:eastAsia="Arial" w:hAnsi="Arial"/>
                <w:b/>
                <w:bCs/>
                <w:i w:val="false"/>
                <w:iCs w:val="false"/>
                <w:color w:val="FFC000"/>
                <w:sz w:val="20"/>
                <w:szCs w:val="20"/>
              </w:rPr>
              <w:t xml:space="preserve">4. </w:t>
            </w:r>
            <w:r>
              <w:rPr>
                <w:rFonts w:ascii="Arial" w:cs="Arial" w:eastAsia="Arial" w:hAnsi="Arial"/>
                <w:b/>
                <w:bCs/>
                <w:i w:val="false"/>
                <w:iCs w:val="false"/>
                <w:color w:val="FFFFFF"/>
                <w:sz w:val="20"/>
                <w:szCs w:val="20"/>
              </w:rPr>
              <w:t xml:space="preserve">CAMBIOS ESTRUCTURALES POR PERÍODO</w:t>
            </w:r>
          </w:p>
        </w:tc>
      </w:tr>
    </w:tbl>
    <w:p>
      <w:pPr>
        <w:spacing w:after="6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900"/>
        <w:gridCol w:w="700"/>
        <w:gridCol w:w="6560"/>
      </w:tblGrid>
      <w:tr>
        <w:trPr>
          <w:tblHeader/>
        </w:trPr>
        <w:tc>
          <w:tcPr>
            <w:tcW w:type="dxa" w:w="1200"/>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Período</w:t>
            </w:r>
          </w:p>
        </w:tc>
        <w:tc>
          <w:tcPr>
            <w:tcW w:type="dxa" w:w="900"/>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Catálogo</w:t>
            </w:r>
          </w:p>
        </w:tc>
        <w:tc>
          <w:tcPr>
            <w:tcW w:type="dxa" w:w="700"/>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 Vars</w:t>
            </w:r>
          </w:p>
        </w:tc>
        <w:tc>
          <w:tcPr>
            <w:tcW w:type="dxa" w:w="6560"/>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Cambios principales y alertas de comparabilidad</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1992–1994</w:t>
            </w:r>
          </w:p>
        </w:tc>
        <w:tc>
          <w:tcPr>
            <w:tcW w:type="dxa" w:w="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563</w:t>
            </w:r>
          </w:p>
        </w:tc>
        <w:tc>
          <w:tcPr>
            <w:tcW w:type="dxa" w:w="7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580–583</w:t>
            </w:r>
          </w:p>
        </w:tc>
        <w:tc>
          <w:tcPr>
            <w:tcW w:type="dxa" w:w="65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Nomenclatura C[cap]V[col]R[reng]. Módulo C8 (personal detallado) y C7 con +160 vars. CIIU a 4 dígitos (CIIU2N4). Sin módulo de inventarios moderno ni energéticos.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1995–1999</w:t>
            </w:r>
          </w:p>
        </w:tc>
        <w:tc>
          <w:tcPr>
            <w:tcW w:type="dxa" w:w="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492</w:t>
            </w:r>
          </w:p>
        </w:tc>
        <w:tc>
          <w:tcPr>
            <w:tcW w:type="dxa" w:w="7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240–268</w:t>
            </w:r>
          </w:p>
        </w:tc>
        <w:tc>
          <w:tcPr>
            <w:tcW w:type="dxa" w:w="65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Rediseño completo. Nueva nomenclatura CxRyCz. Variables bajan a ~240. Energéticos (ENRG) se incorporan en 1999 (27 vars). DEPRECIA aparece desde 1999. Los archivos de 1997 y 1998 tienen estructura completa — no comparables.</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2000–2002</w:t>
            </w:r>
          </w:p>
        </w:tc>
        <w:tc>
          <w:tcPr>
            <w:tcW w:type="dxa" w:w="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494</w:t>
            </w:r>
          </w:p>
        </w:tc>
        <w:tc>
          <w:tcPr>
            <w:tcW w:type="dxa" w:w="7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323–331</w:t>
            </w:r>
          </w:p>
        </w:tc>
        <w:tc>
          <w:tcPr>
            <w:tcW w:type="dxa" w:w="65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Nuevo catálogo. Se suman C4B (personal prof./técnico nacional y extranjero, +30 vars), C3B (costos cualificados, +10) y C2B (ventas por destino geográfico, +15). INVPERMA/INVPERI aparecen en 2001–2003. CIIU cambia de nombre cada año.</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404040"/>
                <w:sz w:val="15"/>
                <w:szCs w:val="15"/>
              </w:rPr>
              <w:t xml:space="preserve">2003</w:t>
            </w:r>
          </w:p>
        </w:tc>
        <w:tc>
          <w:tcPr>
            <w:tcW w:type="dxa" w:w="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494</w:t>
            </w:r>
          </w:p>
        </w:tc>
        <w:tc>
          <w:tcPr>
            <w:tcW w:type="dxa" w:w="7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353</w:t>
            </w:r>
          </w:p>
        </w:tc>
        <w:tc>
          <w:tcPr>
            <w:tcW w:type="dxa" w:w="65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Reestructuración interna: bloques PT intercalados en C3; Cap. 4 reorganizado. Nuevos renglones C3R36 (comunicaciones), C3R37 (ICA) y C3R38 (predial). ENRG crece a 31 vars (cascarilla café + residuos palma). C2B se contrae.</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2004–2007</w:t>
            </w:r>
          </w:p>
        </w:tc>
        <w:tc>
          <w:tcPr>
            <w:tcW w:type="dxa" w:w="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494</w:t>
            </w:r>
          </w:p>
        </w:tc>
        <w:tc>
          <w:tcPr>
            <w:tcW w:type="dxa" w:w="7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329–331</w:t>
            </w:r>
          </w:p>
        </w:tc>
        <w:tc>
          <w:tcPr>
            <w:tcW w:type="dxa" w:w="65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Estabilización. C7 crece a 91 vars (más tipos de activos). VALORCX (compras al exterior) aparece desde 2004. PORCON y PORCVT (indicadores de concentración) se incorporan desde 2005.</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2008–2011</w:t>
            </w:r>
          </w:p>
        </w:tc>
        <w:tc>
          <w:tcPr>
            <w:tcW w:type="dxa" w:w="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494</w:t>
            </w:r>
          </w:p>
        </w:tc>
        <w:tc>
          <w:tcPr>
            <w:tcW w:type="dxa" w:w="7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360–393</w:t>
            </w:r>
          </w:p>
        </w:tc>
        <w:tc>
          <w:tcPr>
            <w:tcW w:type="dxa" w:w="65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Gran expansión de CALC: cantidades físicas (CANTMATE, CANTCOMP, CANTPRO, CANTVENT, CANTEXIS, VUV, VUP). ENRG sube a 61 vars en 2009. C7 crece a 103 vars. REMUTEMP (remuneración temporal) se añade en 2009.</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404040"/>
                <w:sz w:val="15"/>
                <w:szCs w:val="15"/>
              </w:rPr>
              <w:t xml:space="preserve">2012</w:t>
            </w:r>
          </w:p>
        </w:tc>
        <w:tc>
          <w:tcPr>
            <w:tcW w:type="dxa" w:w="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494</w:t>
            </w:r>
          </w:p>
        </w:tc>
        <w:tc>
          <w:tcPr>
            <w:tcW w:type="dxa" w:w="7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400</w:t>
            </w:r>
          </w:p>
        </w:tc>
        <w:tc>
          <w:tcPr>
            <w:tcW w:type="dxa" w:w="65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cambia a CIIU4 (Rev. 4). C7 crece a 110 vars. Las cantidades físicas de CALC alcanzan su máximo (39 vars).</w:t>
            </w:r>
          </w:p>
        </w:tc>
      </w:tr>
      <w:tr>
        <w:tc>
          <w:tcPr>
            <w:tcW w:type="dxa" w:w="1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2013–2019</w:t>
            </w:r>
          </w:p>
        </w:tc>
        <w:tc>
          <w:tcPr>
            <w:tcW w:type="dxa" w:w="9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494</w:t>
            </w:r>
          </w:p>
        </w:tc>
        <w:tc>
          <w:tcPr>
            <w:tcW w:type="dxa" w:w="7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388–391</w:t>
            </w:r>
          </w:p>
        </w:tc>
        <w:tc>
          <w:tcPr>
            <w:tcW w:type="dxa" w:w="65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Estabilización con CIIU Rev. 4. CALC se reduce (27 vars en 2013, ~24–26 en adelante), eliminando las cantidades físicas de materias primas. PERAPREN y SALAPREN (aprendices) se incorporan en 2015. C3 crece ligeramente a 111 vars (2013+). CIIU_4 (con guión) aparece en 2013.</w:t>
            </w:r>
          </w:p>
        </w:tc>
      </w:tr>
      <w:tr>
        <w:tc>
          <w:tcPr>
            <w:tcW w:type="dxa" w:w="1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2021–2024</w:t>
            </w:r>
          </w:p>
        </w:tc>
        <w:tc>
          <w:tcPr>
            <w:tcW w:type="dxa" w:w="9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Catálogo 494</w:t>
            </w:r>
          </w:p>
        </w:tc>
        <w:tc>
          <w:tcPr>
            <w:tcW w:type="dxa" w:w="7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404040"/>
                <w:sz w:val="15"/>
                <w:szCs w:val="15"/>
              </w:rPr>
              <w:t xml:space="preserve">386</w:t>
            </w:r>
          </w:p>
        </w:tc>
        <w:tc>
          <w:tcPr>
            <w:tcW w:type="dxa" w:w="65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Estabilización post-pandemia (no hay datos de 2020). C3 se reduce a 107 vars. Estructura general muy estable: mismos módulos y variables que 2019. CIIU4 consistente.</w:t>
            </w:r>
          </w:p>
        </w:tc>
      </w:tr>
    </w:tbl>
    <w:p>
      <w:pPr>
        <w:spacing w:after="12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80"/>
              <w:left w:type="dxa" w:w="120"/>
              <w:bottom w:type="dxa" w:w="80"/>
              <w:right w:type="dxa" w:w="120"/>
            </w:tcMar>
          </w:tcPr>
          <w:p>
            <w:pPr>
              <w:spacing w:after="0" w:before="0"/>
            </w:pPr>
            <w:r>
              <w:rPr>
                <w:rFonts w:ascii="Arial" w:cs="Arial" w:eastAsia="Arial" w:hAnsi="Arial"/>
                <w:b/>
                <w:bCs/>
                <w:i w:val="false"/>
                <w:iCs w:val="false"/>
                <w:color w:val="FFC000"/>
                <w:sz w:val="20"/>
                <w:szCs w:val="20"/>
              </w:rPr>
              <w:t xml:space="preserve">5. </w:t>
            </w:r>
            <w:r>
              <w:rPr>
                <w:rFonts w:ascii="Arial" w:cs="Arial" w:eastAsia="Arial" w:hAnsi="Arial"/>
                <w:b/>
                <w:bCs/>
                <w:i w:val="false"/>
                <w:iCs w:val="false"/>
                <w:color w:val="FFFFFF"/>
                <w:sz w:val="20"/>
                <w:szCs w:val="20"/>
              </w:rPr>
              <w:t xml:space="preserve">EVOLUCIÓN DEL IDENTIFICADOR CIIU</w:t>
            </w:r>
          </w:p>
        </w:tc>
      </w:tr>
    </w:tbl>
    <w:p>
      <w:pPr>
        <w:spacing w:after="60" w:before="0"/>
        <w:jc w:val="left"/>
      </w:pPr>
      <w:r>
        <w:rPr>
          <w:rFonts w:ascii="Arial" w:cs="Arial" w:eastAsia="Arial" w:hAnsi="Arial"/>
          <w:b w:val="false"/>
          <w:bCs w:val="false"/>
          <w:i w:val="false"/>
          <w:iCs w:val="false"/>
          <w:color w:val="404040"/>
          <w:sz w:val="18"/>
          <w:szCs w:val="18"/>
        </w:rPr>
        <w:t xml:space="preserve"/>
      </w:r>
    </w:p>
    <w:p>
      <w:pPr>
        <w:spacing w:after="80" w:before="0"/>
        <w:jc w:val="left"/>
      </w:pPr>
      <w:r>
        <w:rPr>
          <w:rFonts w:ascii="Arial" w:cs="Arial" w:eastAsia="Arial" w:hAnsi="Arial"/>
          <w:b w:val="false"/>
          <w:bCs w:val="false"/>
          <w:i w:val="false"/>
          <w:iCs w:val="false"/>
          <w:color w:val="404040"/>
          <w:sz w:val="16"/>
          <w:szCs w:val="16"/>
        </w:rPr>
        <w:t xml:space="preserve">El campo de clasificación industrial es la variable de mayor inestabilidad nominal: cambia de nombre en 8 ocasiones a lo largo de la serie y a la vez cambia de revisión metodológica (Rev. 2 → Rev. 3 → Rev. 4). Ambos cambios deben tratarse de forma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rPr>
          <w:tblHeader/>
        </w:trPr>
        <w:tc>
          <w:tcPr>
            <w:tcW w:type="dxa" w:w="15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Período</w:t>
            </w:r>
          </w:p>
        </w:tc>
        <w:tc>
          <w:tcPr>
            <w:tcW w:type="dxa" w:w="20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Nombre en el archivo</w:t>
            </w:r>
          </w:p>
        </w:tc>
        <w:tc>
          <w:tcPr>
            <w:tcW w:type="dxa" w:w="586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Revisión CIIU</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1992–1994</w:t>
            </w:r>
          </w:p>
        </w:tc>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CIIU2N4</w:t>
            </w:r>
          </w:p>
        </w:tc>
        <w:tc>
          <w:tcPr>
            <w:tcW w:type="dxa" w:w="58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Rev. 2 a 4 dígitos</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1995–2000</w:t>
            </w:r>
          </w:p>
        </w:tc>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CIIU2</w:t>
            </w:r>
          </w:p>
        </w:tc>
        <w:tc>
          <w:tcPr>
            <w:tcW w:type="dxa" w:w="58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Rev. 2</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404040"/>
                <w:sz w:val="15"/>
                <w:szCs w:val="15"/>
              </w:rPr>
              <w:t xml:space="preserve">2001</w:t>
            </w:r>
          </w:p>
        </w:tc>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w:t>
            </w:r>
          </w:p>
        </w:tc>
        <w:tc>
          <w:tcPr>
            <w:tcW w:type="dxa" w:w="58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Rev. 2 / transición</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2002–2011</w:t>
            </w:r>
          </w:p>
        </w:tc>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ciiu3 / CIIU3</w:t>
            </w:r>
          </w:p>
        </w:tc>
        <w:tc>
          <w:tcPr>
            <w:tcW w:type="dxa" w:w="58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Rev. 3</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404040"/>
                <w:sz w:val="15"/>
                <w:szCs w:val="15"/>
              </w:rPr>
              <w:t xml:space="preserve">2012</w:t>
            </w:r>
          </w:p>
        </w:tc>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CIIU4</w:t>
            </w:r>
          </w:p>
        </w:tc>
        <w:tc>
          <w:tcPr>
            <w:tcW w:type="dxa" w:w="58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Rev. 4</w:t>
            </w:r>
          </w:p>
        </w:tc>
      </w:tr>
      <w:tr>
        <w:tc>
          <w:tcPr>
            <w:tcW w:type="dxa" w:w="15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center"/>
            </w:pPr>
            <w:r>
              <w:rPr>
                <w:rFonts w:ascii="Arial" w:cs="Arial" w:eastAsia="Arial" w:hAnsi="Arial"/>
                <w:b/>
                <w:bCs/>
                <w:i w:val="false"/>
                <w:iCs w:val="false"/>
                <w:color w:val="404040"/>
                <w:sz w:val="15"/>
                <w:szCs w:val="15"/>
              </w:rPr>
              <w:t xml:space="preserve">2013</w:t>
            </w:r>
          </w:p>
        </w:tc>
        <w:tc>
          <w:tcPr>
            <w:tcW w:type="dxa" w:w="20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CIIU_4</w:t>
            </w:r>
          </w:p>
        </w:tc>
        <w:tc>
          <w:tcPr>
            <w:tcW w:type="dxa" w:w="58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Rev. 4 (con guión)</w:t>
            </w:r>
          </w:p>
        </w:tc>
      </w:tr>
      <w:tr>
        <w:tc>
          <w:tcPr>
            <w:tcW w:type="dxa" w:w="15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2014–2024</w:t>
            </w:r>
          </w:p>
        </w:tc>
        <w:tc>
          <w:tcPr>
            <w:tcW w:type="dxa" w:w="20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CIIU4</w:t>
            </w:r>
          </w:p>
        </w:tc>
        <w:tc>
          <w:tcPr>
            <w:tcW w:type="dxa" w:w="58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CIIU Rev. 4</w:t>
            </w:r>
          </w:p>
        </w:tc>
      </w:tr>
    </w:tbl>
    <w:p>
      <w:pPr>
        <w:spacing w:after="12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80"/>
              <w:left w:type="dxa" w:w="120"/>
              <w:bottom w:type="dxa" w:w="80"/>
              <w:right w:type="dxa" w:w="120"/>
            </w:tcMar>
          </w:tcPr>
          <w:p>
            <w:pPr>
              <w:spacing w:after="0" w:before="0"/>
            </w:pPr>
            <w:r>
              <w:rPr>
                <w:rFonts w:ascii="Arial" w:cs="Arial" w:eastAsia="Arial" w:hAnsi="Arial"/>
                <w:b/>
                <w:bCs/>
                <w:i w:val="false"/>
                <w:iCs w:val="false"/>
                <w:color w:val="FFC000"/>
                <w:sz w:val="20"/>
                <w:szCs w:val="20"/>
              </w:rPr>
              <w:t xml:space="preserve">6. </w:t>
            </w:r>
            <w:r>
              <w:rPr>
                <w:rFonts w:ascii="Arial" w:cs="Arial" w:eastAsia="Arial" w:hAnsi="Arial"/>
                <w:b/>
                <w:bCs/>
                <w:i w:val="false"/>
                <w:iCs w:val="false"/>
                <w:color w:val="FFFFFF"/>
                <w:sz w:val="20"/>
                <w:szCs w:val="20"/>
              </w:rPr>
              <w:t xml:space="preserve">CRITERIOS DE ARMONIZACIÓN PARA CONSOLIDAR EL PANEL</w:t>
            </w:r>
          </w:p>
        </w:tc>
      </w:tr>
    </w:tbl>
    <w:p>
      <w:pPr>
        <w:spacing w:after="60" w:before="0"/>
        <w:jc w:val="left"/>
      </w:pPr>
      <w:r>
        <w:rPr>
          <w:rFonts w:ascii="Arial" w:cs="Arial" w:eastAsia="Arial" w:hAnsi="Arial"/>
          <w:b w:val="false"/>
          <w:bCs w:val="false"/>
          <w:i w:val="false"/>
          <w:iCs w:val="false"/>
          <w:color w:val="404040"/>
          <w:sz w:val="18"/>
          <w:szCs w:val="18"/>
        </w:rPr>
        <w:t xml:space="preserve"/>
      </w:r>
    </w:p>
    <w:p>
      <w:pPr>
        <w:spacing w:after="80" w:before="0"/>
        <w:jc w:val="left"/>
      </w:pPr>
      <w:r>
        <w:rPr>
          <w:rFonts w:ascii="Arial" w:cs="Arial" w:eastAsia="Arial" w:hAnsi="Arial"/>
          <w:b w:val="false"/>
          <w:bCs w:val="false"/>
          <w:i w:val="false"/>
          <w:iCs w:val="false"/>
          <w:color w:val="404040"/>
          <w:sz w:val="16"/>
          <w:szCs w:val="16"/>
        </w:rPr>
        <w:t xml:space="preserve">A continuación se presentan los aspectos críticos a resolver antes de consolidar los archivos anuales en un panel longitudinal: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Aspecto</w:t>
            </w:r>
          </w:p>
        </w:tc>
        <w:tc>
          <w:tcPr>
            <w:tcW w:type="dxa" w:w="7160"/>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5"/>
                <w:szCs w:val="15"/>
              </w:rPr>
              <w:t xml:space="preserve">Consideración</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Nombres de variables</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Estandarizar todos los nombres a MAYÚSCULAS. Varios campos cambian entre minúsculas y mayúsculas de año a año (por ejemplo, ciiu3 en 2002 vs CIIU3 en 2003).</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Variable CIIU</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Presenta 5 nombres distintos según el período: CIIU2N4 (1992–94), CIIU2 (1995–2000), CIIU (2001), ciiu3/CIIU3 (2002–2011), CIIU4/CIIU_4 (2012–2024). Debe renombrarse a un nombre único y estandarizar la revisión utilizada.</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Años 1997–1998</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Los archivos de estos dos años contienen solo ~12 variables sin módulos de producción ni costos. Deben excluirse del panel longitudinal o tratarse como observación separada.</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Año 2020</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No existe archivo para 2020. El panel longitudinal tiene un año faltante entre 2019 y 2021.</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Valores monetarios</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Están en pesos corrientes de cada año. Es indispensable deflactar con el IPC o el deflactor implícito del PIB industrial antes de hacer comparaciones temporales.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Cantidades físicas (CALC)</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Las variables de cantidades físicas (CANTPRO, CANTVENT, CANTMATE, etc.) solo están disponibles en 2008–2012. No deben incluirse en análisis de series largas sin tratamiento especial.</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Aprendices</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PERAPREN y SALAPREN (aprendices SENA) solo existen desde 2015. Incluirlos en análisis de personal sin aclaración genera discontinuidades artificiales.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Ajustes por inflación en C3</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Los renglones de ajuste por inflación en el módulo de costos (C3R10, C3R28, C3R33) desaparecen progresivamente después de 2005 en línea con la eliminación del ajuste por inflación contable en Colombia. Verificar disponibilidad antes de usar.</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Bloque C2B</w:t>
            </w:r>
          </w:p>
        </w:tc>
        <w:tc>
          <w:tcPr>
            <w:tcW w:type="dxa" w:w="7160"/>
            <w:gridSpan w:val="1"/>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El desglose de ventas y compras por destino geográfico (país vs. exterior) solo existe en 2000–2003. No hay equivalente en otros años.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5"/>
                <w:szCs w:val="15"/>
              </w:rPr>
              <w:t xml:space="preserve">Tipo de inventario</w:t>
            </w:r>
          </w:p>
        </w:tc>
        <w:tc>
          <w:tcPr>
            <w:tcW w:type="dxa" w:w="7160"/>
            <w:gridSpan w:val="1"/>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spacing w:after="0" w:before="0"/>
              <w:jc w:val="left"/>
            </w:pPr>
            <w:r>
              <w:rPr>
                <w:rFonts w:ascii="Arial" w:cs="Arial" w:eastAsia="Arial" w:hAnsi="Arial"/>
                <w:b w:val="false"/>
                <w:bCs w:val="false"/>
                <w:i w:val="false"/>
                <w:iCs w:val="false"/>
                <w:color w:val="404040"/>
                <w:sz w:val="15"/>
                <w:szCs w:val="15"/>
              </w:rPr>
              <w:t xml:space="preserve">INVPERMA e INVPERI solo están en 2001–2003. No son útiles para análisis longitudinales.</w:t>
            </w:r>
          </w:p>
        </w:tc>
      </w:tr>
    </w:tbl>
    <w:p>
      <w:pPr>
        <w:spacing w:after="12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F5496" w:val="clear"/>
            <w:tcMar>
              <w:top w:type="dxa" w:w="80"/>
              <w:left w:type="dxa" w:w="120"/>
              <w:bottom w:type="dxa" w:w="80"/>
              <w:right w:type="dxa" w:w="120"/>
            </w:tcMar>
          </w:tcPr>
          <w:p>
            <w:pPr>
              <w:spacing w:after="0" w:before="0"/>
            </w:pPr>
            <w:r>
              <w:rPr>
                <w:rFonts w:ascii="Arial" w:cs="Arial" w:eastAsia="Arial" w:hAnsi="Arial"/>
                <w:b/>
                <w:bCs/>
                <w:i w:val="false"/>
                <w:iCs w:val="false"/>
                <w:color w:val="FFC000"/>
                <w:sz w:val="20"/>
                <w:szCs w:val="20"/>
              </w:rPr>
              <w:t xml:space="preserve">7. </w:t>
            </w:r>
            <w:r>
              <w:rPr>
                <w:rFonts w:ascii="Arial" w:cs="Arial" w:eastAsia="Arial" w:hAnsi="Arial"/>
                <w:b/>
                <w:bCs/>
                <w:i w:val="false"/>
                <w:iCs w:val="false"/>
                <w:color w:val="FFFFFF"/>
                <w:sz w:val="20"/>
                <w:szCs w:val="20"/>
              </w:rPr>
              <w:t xml:space="preserve">MAPA DE DISPONIBILIDAD POR GRUPO DE VARIABLES</w:t>
            </w:r>
          </w:p>
        </w:tc>
      </w:tr>
    </w:tbl>
    <w:p>
      <w:pPr>
        <w:spacing w:after="60" w:before="0"/>
        <w:jc w:val="left"/>
      </w:pPr>
      <w:r>
        <w:rPr>
          <w:rFonts w:ascii="Arial" w:cs="Arial" w:eastAsia="Arial" w:hAnsi="Arial"/>
          <w:b w:val="false"/>
          <w:bCs w:val="false"/>
          <w:i w:val="false"/>
          <w:iCs w:val="false"/>
          <w:color w:val="404040"/>
          <w:sz w:val="18"/>
          <w:szCs w:val="18"/>
        </w:rPr>
        <w:t xml:space="preserve"/>
      </w:r>
    </w:p>
    <w:p>
      <w:pPr>
        <w:spacing w:after="80" w:before="0"/>
        <w:jc w:val="left"/>
      </w:pPr>
      <w:r>
        <w:rPr>
          <w:rFonts w:ascii="Arial" w:cs="Arial" w:eastAsia="Arial" w:hAnsi="Arial"/>
          <w:b w:val="false"/>
          <w:bCs w:val="false"/>
          <w:i w:val="false"/>
          <w:iCs w:val="false"/>
          <w:color w:val="404040"/>
          <w:sz w:val="18"/>
          <w:szCs w:val="18"/>
        </w:rPr>
        <w:t xml:space="preserve">Celda verde (</w:t>
      </w:r>
      <w:r>
        <w:rPr>
          <w:rFonts w:ascii="Arial" w:cs="Arial" w:eastAsia="Arial" w:hAnsi="Arial"/>
          <w:b/>
          <w:bCs/>
          <w:i w:val="false"/>
          <w:iCs w:val="false"/>
          <w:color w:val="548235"/>
          <w:sz w:val="18"/>
          <w:szCs w:val="18"/>
        </w:rPr>
        <w:t xml:space="preserve">disponible</w:t>
      </w:r>
      <w:r>
        <w:rPr>
          <w:rFonts w:ascii="Arial" w:cs="Arial" w:eastAsia="Arial" w:hAnsi="Arial"/>
          <w:b w:val="false"/>
          <w:bCs w:val="false"/>
          <w:i w:val="false"/>
          <w:iCs w:val="false"/>
          <w:color w:val="404040"/>
          <w:sz w:val="18"/>
          <w:szCs w:val="18"/>
        </w:rPr>
        <w:t xml:space="preserve">), gris (</w:t>
      </w:r>
      <w:r>
        <w:rPr>
          <w:rFonts w:ascii="Arial" w:cs="Arial" w:eastAsia="Arial" w:hAnsi="Arial"/>
          <w:b w:val="false"/>
          <w:bCs w:val="false"/>
          <w:i w:val="false"/>
          <w:iCs w:val="false"/>
          <w:color w:val="888888"/>
          <w:sz w:val="18"/>
          <w:szCs w:val="18"/>
        </w:rPr>
        <w:t xml:space="preserve">sin datos</w:t>
      </w:r>
      <w:r>
        <w:rPr>
          <w:rFonts w:ascii="Arial" w:cs="Arial" w:eastAsia="Arial" w:hAnsi="Arial"/>
          <w:b w:val="false"/>
          <w:bCs w:val="false"/>
          <w:i w:val="false"/>
          <w:iCs w:val="false"/>
          <w:color w:val="404040"/>
          <w:sz w:val="18"/>
          <w:szCs w:val="18"/>
        </w:rPr>
        <w:t xml:space="preserve">). Años 2020: sin datos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gridCol w:w="225"/>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4"/>
                <w:szCs w:val="14"/>
              </w:rPr>
              <w:t xml:space="preserve">Grupo de variables</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'92</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'93</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'94</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'95</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'96</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'97</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'98</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'99</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'00</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'01</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'02</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'03</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'04</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'05</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'06</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'07</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'08</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'09</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'10</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'11</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'12</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'13</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'14</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'15</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'16</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'17</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'18</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'19</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'21</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'22</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'23</w:t>
            </w:r>
          </w:p>
        </w:tc>
        <w:tc>
          <w:tcPr>
            <w:tcW w:type="dxa" w:w="225"/>
            <w:gridSpan w:val="1"/>
            <w:tcBorders>
              <w:top w:val="single" w:color="CCCCCC" w:sz="1"/>
              <w:left w:val="single" w:color="CCCCCC" w:sz="1"/>
              <w:bottom w:val="single" w:color="CCCCCC" w:sz="1"/>
              <w:right w:val="single" w:color="CCCCCC" w:sz="1"/>
            </w:tcBorders>
            <w:shd w:fill="2F5496" w:val="clear"/>
            <w:tcMar>
              <w:top w:type="dxa" w:w="60"/>
              <w:left w:type="dxa" w:w="100"/>
              <w:bottom w:type="dxa" w:w="60"/>
              <w:right w:type="dxa" w:w="100"/>
            </w:tcMar>
            <w:vAlign w:val="center"/>
          </w:tcPr>
          <w:p>
            <w:pPr>
              <w:spacing w:after="0" w:before="0"/>
              <w:jc w:val="center"/>
            </w:pPr>
            <w:r>
              <w:rPr>
                <w:rFonts w:ascii="Arial" w:cs="Arial" w:eastAsia="Arial" w:hAnsi="Arial"/>
                <w:b/>
                <w:bCs/>
                <w:i w:val="false"/>
                <w:iCs w:val="false"/>
                <w:color w:val="FFFFFF"/>
                <w:sz w:val="12"/>
                <w:szCs w:val="12"/>
              </w:rPr>
              <w:t xml:space="preserve">'24</w:t>
            </w:r>
          </w:p>
        </w:tc>
      </w:tr>
      <w:tr>
        <w:tc>
          <w:tcPr>
            <w:tcW w:type="dxa" w:w="2200"/>
            <w:gridSpan w:val="1"/>
            <w:tcBorders>
              <w:top w:val="single" w:color="CCCCCC" w:sz="1"/>
              <w:left w:val="single" w:color="CCCCCC" w:sz="1"/>
              <w:bottom w:val="single" w:color="CCCCCC" w:sz="1"/>
              <w:right w:val="single" w:color="CCCCCC" w:sz="1"/>
            </w:tcBorders>
            <w:shd w:fill="BDD7EE"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Identificadores (ID)</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F4CCCC"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Personal ocupado (C4)</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E06666"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Personal prof./técnico (C4B)</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FFF2CC"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Costos y gastos (C3)</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E2EFDA"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Ingresos (C2)</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B6D7A8"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Ventas/compras geog. (C2B)</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r>
      <w:tr>
        <w:tc>
          <w:tcPr>
            <w:tcW w:type="dxa" w:w="2200"/>
            <w:gridSpan w:val="1"/>
            <w:tcBorders>
              <w:top w:val="single" w:color="CCCCCC" w:sz="1"/>
              <w:left w:val="single" w:color="CCCCCC" w:sz="1"/>
              <w:bottom w:val="single" w:color="CCCCCC" w:sz="1"/>
              <w:right w:val="single" w:color="CCCCCC" w:sz="1"/>
            </w:tcBorders>
            <w:shd w:fill="EAD1DC"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Energía eléctrica KWH (C5)</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FCE4D6"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Inventarios (C6)</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D9EAD3"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Activos fijos (C7)</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D9D2E9"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Energéticos combustibles (ENRG)</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D0E4F7"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Variables derivadas (CALC)</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r>
        <w:tc>
          <w:tcPr>
            <w:tcW w:type="dxa" w:w="2200"/>
            <w:gridSpan w:val="1"/>
            <w:tcBorders>
              <w:top w:val="single" w:color="CCCCCC" w:sz="1"/>
              <w:left w:val="single" w:color="CCCCCC" w:sz="1"/>
              <w:bottom w:val="single" w:color="CCCCCC" w:sz="1"/>
              <w:right w:val="single" w:color="CCCCCC" w:sz="1"/>
            </w:tcBorders>
            <w:shd w:fill="4472C4"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Cantidades físicas (CALC+)</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r>
      <w:tr>
        <w:tc>
          <w:tcPr>
            <w:tcW w:type="dxa" w:w="2200"/>
            <w:gridSpan w:val="1"/>
            <w:tcBorders>
              <w:top w:val="single" w:color="CCCCCC" w:sz="1"/>
              <w:left w:val="single" w:color="CCCCCC" w:sz="1"/>
              <w:bottom w:val="single" w:color="CCCCCC" w:sz="1"/>
              <w:right w:val="single" w:color="CCCCCC" w:sz="1"/>
            </w:tcBorders>
            <w:shd w:fill="EA9999"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Tipo inventario (INV)</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r>
      <w:tr>
        <w:tc>
          <w:tcPr>
            <w:tcW w:type="dxa" w:w="2200"/>
            <w:gridSpan w:val="1"/>
            <w:tcBorders>
              <w:top w:val="single" w:color="CCCCCC" w:sz="1"/>
              <w:left w:val="single" w:color="CCCCCC" w:sz="1"/>
              <w:bottom w:val="single" w:color="CCCCCC" w:sz="1"/>
              <w:right w:val="single" w:color="CCCCCC" w:sz="1"/>
            </w:tcBorders>
            <w:shd w:fill="FFD966" w:val="clear"/>
            <w:tcMar>
              <w:top w:type="dxa" w:w="50"/>
              <w:left w:type="dxa" w:w="80"/>
              <w:bottom w:type="dxa" w:w="50"/>
              <w:right w:type="dxa" w:w="80"/>
            </w:tcMar>
            <w:vAlign w:val="center"/>
          </w:tcPr>
          <w:p>
            <w:pPr>
              <w:spacing w:after="0" w:before="0"/>
              <w:jc w:val="left"/>
            </w:pPr>
            <w:r>
              <w:rPr>
                <w:rFonts w:ascii="Arial" w:cs="Arial" w:eastAsia="Arial" w:hAnsi="Arial"/>
                <w:b/>
                <w:bCs/>
                <w:i w:val="false"/>
                <w:iCs w:val="false"/>
                <w:color w:val="404040"/>
                <w:sz w:val="14"/>
                <w:szCs w:val="14"/>
              </w:rPr>
              <w:t xml:space="preserve">Aprendices (PERAPREN/SALAPREN)</w:t>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CC3300"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D9D9D9"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888888"/>
                <w:sz w:val="12"/>
                <w:szCs w:val="12"/>
              </w:rPr>
              <w:t xml:space="preserve"/>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c>
          <w:tcPr>
            <w:tcW w:type="dxa" w:w="225"/>
            <w:gridSpan w:val="1"/>
            <w:tcBorders>
              <w:top w:val="single" w:color="CCCCCC" w:sz="1"/>
              <w:left w:val="single" w:color="CCCCCC" w:sz="1"/>
              <w:bottom w:val="single" w:color="CCCCCC" w:sz="1"/>
              <w:right w:val="single" w:color="CCCCCC" w:sz="1"/>
            </w:tcBorders>
            <w:shd w:fill="548235" w:val="clear"/>
            <w:tcMar>
              <w:top w:type="dxa" w:w="50"/>
              <w:left w:type="dxa" w:w="80"/>
              <w:bottom w:type="dxa" w:w="50"/>
              <w:right w:type="dxa" w:w="80"/>
            </w:tcMar>
            <w:vAlign w:val="center"/>
          </w:tcPr>
          <w:p>
            <w:pPr>
              <w:spacing w:after="0" w:before="0"/>
              <w:jc w:val="center"/>
            </w:pPr>
            <w:r>
              <w:rPr>
                <w:rFonts w:ascii="Arial" w:cs="Arial" w:eastAsia="Arial" w:hAnsi="Arial"/>
                <w:b w:val="false"/>
                <w:bCs w:val="false"/>
                <w:i w:val="false"/>
                <w:iCs w:val="false"/>
                <w:color w:val="FFFFFF"/>
                <w:sz w:val="12"/>
                <w:szCs w:val="12"/>
              </w:rPr>
              <w:t xml:space="preserve">+</w:t>
            </w:r>
          </w:p>
        </w:tc>
      </w:tr>
    </w:tbl>
    <w:p>
      <w:pPr>
        <w:spacing w:after="120" w:before="0"/>
        <w:jc w:val="left"/>
      </w:pPr>
      <w:r>
        <w:rPr>
          <w:rFonts w:ascii="Arial" w:cs="Arial" w:eastAsia="Arial" w:hAnsi="Arial"/>
          <w:b w:val="false"/>
          <w:bCs w:val="false"/>
          <w:i w:val="false"/>
          <w:iCs w:val="false"/>
          <w:color w:val="404040"/>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20"/>
              <w:left w:type="dxa" w:w="180"/>
              <w:bottom w:type="dxa" w:w="120"/>
              <w:right w:type="dxa" w:w="180"/>
            </w:tcMar>
          </w:tcPr>
          <w:p>
            <w:pPr>
              <w:spacing w:after="60" w:before="0"/>
            </w:pPr>
            <w:r>
              <w:rPr>
                <w:rFonts w:ascii="Arial" w:cs="Arial" w:eastAsia="Arial" w:hAnsi="Arial"/>
                <w:b/>
                <w:bCs/>
                <w:i w:val="false"/>
                <w:iCs w:val="false"/>
                <w:color w:val="1F3864"/>
                <w:sz w:val="17"/>
                <w:szCs w:val="17"/>
              </w:rPr>
              <w:t xml:space="preserve">Consideraciones metodologicas adicionales</w:t>
            </w:r>
          </w:p>
          <w:p>
            <w:pPr>
              <w:spacing w:after="40" w:before="0"/>
            </w:pPr>
            <w:r>
              <w:rPr>
                <w:rFonts w:ascii="Arial" w:cs="Arial" w:eastAsia="Arial" w:hAnsi="Arial"/>
                <w:b w:val="false"/>
                <w:bCs w:val="false"/>
                <w:i w:val="false"/>
                <w:iCs w:val="false"/>
                <w:color w:val="404040"/>
                <w:sz w:val="15"/>
                <w:szCs w:val="15"/>
              </w:rPr>
              <w:t xml:space="preserve">(1) La unidad de analisis es el establecimiento (nordest), no la empresa. Un cambio en nordest entre anios puede indicar cierre/apertura real o reasignacion del codigo por el DANE. (2) Los valores monetarios estan en pesos corrientes de cada anio - deflactar antes de comparar. (3) El umbral de cobertura puede cambiar entre periodos, afectando la comparabilidad de la muestra. (4) Los renglones de ajuste por inflacion en costos (C3) desaparecen a partir de 2006 por la eliminacion del ajuste contable en Colombia. (5) Las cantidades fisicas (CANTPRO, CANTVENT, etc.) disponibles en 2008-2012 permiten calcular precios unitarios implicitos (VUV = valor unitario ventas, VUP = valor unitario produccion).</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2026-04-14T20:53:52.326Z</dcterms:created>
  <dcterms:modified xsi:type="dcterms:W3CDTF">2026-04-14T20:53:52.327Z</dcterms:modified>
</cp:coreProperties>
</file>

<file path=docProps/custom.xml><?xml version="1.0" encoding="utf-8"?>
<Properties xmlns="http://schemas.openxmlformats.org/officeDocument/2006/custom-properties" xmlns:vt="http://schemas.openxmlformats.org/officeDocument/2006/docPropsVTypes"/>
</file>