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  <w:jc w:val="left"/>
      </w:pPr>
      <w:r>
        <w:rPr>
          <w:b/>
          <w:color w:val="2A9D8F"/>
          <w:sz w:val="20"/>
        </w:rPr>
        <w:t>DOCUMENTO EJECUTIVO</w:t>
      </w:r>
    </w:p>
    <w:p>
      <w:pPr>
        <w:spacing w:after="160"/>
      </w:pPr>
      <w:r>
        <w:rPr>
          <w:rFonts w:ascii="Aptos Display" w:hAnsi="Aptos Display"/>
          <w:b/>
          <w:color w:val="17324D"/>
          <w:sz w:val="60"/>
        </w:rPr>
        <w:t>Análisis ejecutivo de sectores económicos en Colombia</w:t>
      </w:r>
    </w:p>
    <w:p>
      <w:pPr>
        <w:spacing w:after="360"/>
      </w:pPr>
      <w:r>
        <w:rPr>
          <w:color w:val="3D4852"/>
          <w:sz w:val="30"/>
        </w:rPr>
        <w:t>Desempeño 2024-2025 y perspectivas hacia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27"/>
            <w:shd w:fill="2A9D8F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3427"/>
            <w:shd w:fill="D4A017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3427"/>
            <w:shd w:fill="17324D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</w:tr>
    </w:tbl>
    <w:p>
      <w:pPr>
        <w:spacing w:before="600" w:after="240"/>
      </w:pPr>
      <w:r>
        <w:rPr>
          <w:b/>
          <w:color w:val="17324D"/>
          <w:sz w:val="24"/>
        </w:rPr>
        <w:t>Alcance</w:t>
      </w:r>
    </w:p>
    <w:p>
      <w:pPr>
        <w:spacing w:line="276" w:lineRule="auto"/>
      </w:pPr>
      <w:r>
        <w:rPr>
          <w:color w:val="3D4852"/>
          <w:sz w:val="20"/>
        </w:rPr>
        <w:t>Este documento organiza el análisis sectorial en una estructura ejecutiva: lectura de desempeño, principales riesgos, oportunidades de crecimiento y señales estratégicas para 2026. Integra la actualización sobre industria aseguradora y consolida la información sectorial duplicada para evitar repeticiones.</w:t>
      </w:r>
    </w:p>
    <w:p>
      <w:pPr>
        <w:spacing w:before="500"/>
      </w:pPr>
      <w:r>
        <w:rPr>
          <w:color w:val="3D4852"/>
          <w:sz w:val="19"/>
        </w:rPr>
        <w:t>Sectores cubiertos: asegurador; minero-energético e hidrocarburos; minería; comercio y retail; construcción, infraestructura e inmuebles; agropecuario, cafetero y avícola; industria de caucho y plástico; financiero y fiduciario.</w:t>
      </w:r>
    </w:p>
    <w:p>
      <w:r>
        <w:br w:type="page"/>
      </w:r>
    </w:p>
    <w:p>
      <w:pPr>
        <w:spacing w:after="40"/>
      </w:pPr>
      <w:r>
        <w:rPr>
          <w:b/>
          <w:color w:val="2A9D8F"/>
          <w:sz w:val="18"/>
        </w:rPr>
        <w:t>SÍNTESIS ESTRATÉGICA</w:t>
      </w:r>
    </w:p>
    <w:p>
      <w:pPr>
        <w:pStyle w:val="Heading1"/>
        <w:spacing w:before="160" w:after="100"/>
      </w:pPr>
      <w:r>
        <w:rPr>
          <w:b/>
          <w:color w:val="17324D"/>
        </w:rPr>
        <w:t>Resumen ejecutivo</w:t>
      </w:r>
    </w:p>
    <w:p>
      <w:pPr>
        <w:spacing w:after="160"/>
      </w:pPr>
      <w:r>
        <w:rPr>
          <w:color w:val="3D4852"/>
          <w:sz w:val="20"/>
        </w:rPr>
        <w:t>La economía colombiana muestra una recuperación sectorial heterogénea. El consumo, los servicios financieros, el comercio y algunas actividades agropecuarias sostienen el dinamismo, mientras la inversión privada, la construcción residencial y la exploración minero-energética continúan bajo presión. Para 2026, el punto de inflexión dependerá de tres variables: estabilidad regulatoria, normalización del crédito y capacidad de adopción tecnológica.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1900"/>
        </w:trPr>
        <w:tc>
          <w:tcPr>
            <w:tcW w:type="dxa" w:w="4650"/>
            <w:shd w:fill="EAF2F8"/>
            <w:tcMar>
              <w:top w:w="170" w:type="dxa"/>
              <w:start w:w="190" w:type="dxa"/>
              <w:bottom w:w="170" w:type="dxa"/>
              <w:end w:w="19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2"/>
              </w:rPr>
              <w:t>1. Crecimiento con base desigual</w:t>
            </w:r>
          </w:p>
          <w:p>
            <w:pPr>
              <w:spacing w:after="0"/>
            </w:pPr>
            <w:r>
              <w:rPr>
                <w:color w:val="3D4852"/>
                <w:sz w:val="18"/>
              </w:rPr>
              <w:t>El comercio y el agro muestran tracción, pero construcción residencial, minería e hidrocarburos enfrentan restricciones de inversión, demanda o regulación.</w:t>
            </w:r>
          </w:p>
        </w:tc>
        <w:tc>
          <w:tcPr>
            <w:tcW w:type="dxa" w:w="4650"/>
            <w:shd w:fill="E8F6F3"/>
            <w:tcMar>
              <w:top w:w="170" w:type="dxa"/>
              <w:start w:w="190" w:type="dxa"/>
              <w:bottom w:w="170" w:type="dxa"/>
              <w:end w:w="19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2"/>
              </w:rPr>
              <w:t>2. Inversión como cuello de botella</w:t>
            </w:r>
          </w:p>
          <w:p>
            <w:pPr>
              <w:spacing w:after="0"/>
            </w:pPr>
            <w:r>
              <w:rPr>
                <w:color w:val="3D4852"/>
                <w:sz w:val="18"/>
              </w:rPr>
              <w:t>La debilidad de la inversión privada aparece como restricción transversal en infraestructura, vivienda, minería, hidrocarburos e industria.</w:t>
            </w:r>
          </w:p>
        </w:tc>
      </w:tr>
      <w:tr>
        <w:trPr>
          <w:trHeight w:val="1900"/>
        </w:trPr>
        <w:tc>
          <w:tcPr>
            <w:tcW w:type="dxa" w:w="4650"/>
            <w:shd w:fill="FFF6DD"/>
            <w:tcMar>
              <w:top w:w="170" w:type="dxa"/>
              <w:start w:w="190" w:type="dxa"/>
              <w:bottom w:w="170" w:type="dxa"/>
              <w:end w:w="19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2"/>
              </w:rPr>
              <w:t>3. Tecnología como ventaja competitiva</w:t>
            </w:r>
          </w:p>
          <w:p>
            <w:pPr>
              <w:spacing w:after="0"/>
            </w:pPr>
            <w:r>
              <w:rPr>
                <w:color w:val="3D4852"/>
                <w:sz w:val="18"/>
              </w:rPr>
              <w:t>IA, analítica de datos, pagos inmediatos, trazabilidad, automatización y economía circular son palancas recurrentes de productividad.</w:t>
            </w:r>
          </w:p>
        </w:tc>
        <w:tc>
          <w:tcPr>
            <w:tcW w:type="dxa" w:w="4650"/>
            <w:shd w:fill="F3F5F7"/>
            <w:tcMar>
              <w:top w:w="170" w:type="dxa"/>
              <w:start w:w="190" w:type="dxa"/>
              <w:bottom w:w="170" w:type="dxa"/>
              <w:end w:w="19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2"/>
              </w:rPr>
              <w:t>4. Regulación y confianza</w:t>
            </w:r>
          </w:p>
          <w:p>
            <w:pPr>
              <w:spacing w:after="0"/>
            </w:pPr>
            <w:r>
              <w:rPr>
                <w:color w:val="3D4852"/>
                <w:sz w:val="18"/>
              </w:rPr>
              <w:t>La incertidumbre jurídica, los trámites ambientales, la conflictividad social y los cambios normativos reducen horizonte de planeación.</w:t>
            </w:r>
          </w:p>
        </w:tc>
      </w:tr>
      <w:tr>
        <w:trPr>
          <w:trHeight w:val="1900"/>
        </w:trPr>
        <w:tc>
          <w:tcPr>
            <w:tcW w:type="dxa" w:w="4650"/>
            <w:shd w:fill="EAF2F8"/>
            <w:tcMar>
              <w:top w:w="170" w:type="dxa"/>
              <w:start w:w="190" w:type="dxa"/>
              <w:bottom w:w="170" w:type="dxa"/>
              <w:end w:w="19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2"/>
              </w:rPr>
              <w:t>5. Brechas de protección e inclusión</w:t>
            </w:r>
          </w:p>
          <w:p>
            <w:pPr>
              <w:spacing w:after="0"/>
            </w:pPr>
            <w:r>
              <w:rPr>
                <w:color w:val="3D4852"/>
                <w:sz w:val="18"/>
              </w:rPr>
              <w:t>Aseguramiento insuficiente, informalidad comercial, baja cobertura de riesgos agropecuarios y deterioro de cartera exigen productos más simples y focalizados.</w:t>
            </w:r>
          </w:p>
        </w:tc>
        <w:tc>
          <w:tcPr>
            <w:tcW w:type="dxa" w:w="4650"/>
            <w:shd w:fill="E8F6F3"/>
            <w:tcMar>
              <w:top w:w="170" w:type="dxa"/>
              <w:start w:w="190" w:type="dxa"/>
              <w:bottom w:w="170" w:type="dxa"/>
              <w:end w:w="19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2"/>
              </w:rPr>
              <w:t>6. 2026 será selectivo</w:t>
            </w:r>
          </w:p>
          <w:p>
            <w:pPr>
              <w:spacing w:after="0"/>
            </w:pPr>
            <w:r>
              <w:rPr>
                <w:color w:val="3D4852"/>
                <w:sz w:val="18"/>
              </w:rPr>
              <w:t>No todos los sectores entran a 2026 con la misma tracción: algunos requieren expansión comercial; otros, protección de caja y gestión de riesgos regulatorios.</w:t>
            </w:r>
          </w:p>
        </w:tc>
      </w:tr>
    </w:tbl>
    <w:p>
      <w:pPr>
        <w:pStyle w:val="SmallNote"/>
      </w:pPr>
      <w:r>
        <w:rPr>
          <w:i/>
        </w:rPr>
        <w:t>Nota: las cifras y caracterizaciones provienen del insumo sectorial suministrado para la elaboración de este documento.</w:t>
      </w:r>
    </w:p>
    <w:p>
      <w:pPr>
        <w:sectPr>
          <w:headerReference w:type="default" r:id="rId9"/>
          <w:footerReference w:type="default" r:id="rId10"/>
          <w:pgSz w:w="12240" w:h="15840"/>
          <w:pgMar w:top="893" w:right="979" w:bottom="792" w:left="979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2A9D8F"/>
          <w:sz w:val="18"/>
        </w:rPr>
        <w:t>TABLERO EJECUTIVO</w:t>
      </w:r>
    </w:p>
    <w:p>
      <w:pPr>
        <w:pStyle w:val="Heading1"/>
        <w:spacing w:before="160" w:after="100"/>
      </w:pPr>
      <w:r>
        <w:rPr>
          <w:b/>
          <w:color w:val="17324D"/>
        </w:rPr>
        <w:t>Matriz sectorial: desempeño, riesgos y oportunidades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312"/>
        <w:gridCol w:w="3312"/>
        <w:gridCol w:w="3672"/>
        <w:gridCol w:w="2160"/>
      </w:tblGrid>
      <w:tr>
        <w:tc>
          <w:tcPr>
            <w:tcW w:type="dxa" w:w="194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7"/>
              </w:rPr>
              <w:t>Sector</w:t>
            </w:r>
          </w:p>
        </w:tc>
        <w:tc>
          <w:tcPr>
            <w:tcW w:type="dxa" w:w="3311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7"/>
              </w:rPr>
              <w:t>Desempeño 2024-2025</w:t>
            </w:r>
          </w:p>
        </w:tc>
        <w:tc>
          <w:tcPr>
            <w:tcW w:type="dxa" w:w="3311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7"/>
              </w:rPr>
              <w:t>Riesgo principal</w:t>
            </w:r>
          </w:p>
        </w:tc>
        <w:tc>
          <w:tcPr>
            <w:tcW w:type="dxa" w:w="3671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7"/>
              </w:rPr>
              <w:t>Oportunidad 2026</w:t>
            </w:r>
          </w:p>
        </w:tc>
        <w:tc>
          <w:tcPr>
            <w:tcW w:type="dxa" w:w="216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7"/>
              </w:rPr>
              <w:t>Señal ejecutiva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Asegurador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Primas emitidas crecen 8,8% nominal en 2025; penetración sube a 3,29%.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Salario mínimo presiona reservas y costos; brecha de protección en autos voluntarios y agro.</w:t>
            </w:r>
          </w:p>
        </w:tc>
        <w:tc>
          <w:tcPr>
            <w:tcW w:type="dxa" w:w="367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IA, personalización, salud privada, seguros sostenibles y activación comercial por Mundial 2026.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Expansiva selectiva</w:t>
            </w:r>
          </w:p>
        </w:tc>
      </w:tr>
      <w:tr>
        <w:tc>
          <w:tcPr>
            <w:tcW w:type="dxa" w:w="194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Hidrocarburos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Producción estable por contratos previos, pero con inversión exploratoria bajo presión.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No firma de nuevos contratos, incertidumbre jurídica y menor precio internacional del crudo.</w:t>
            </w:r>
          </w:p>
        </w:tc>
        <w:tc>
          <w:tcPr>
            <w:tcW w:type="dxa" w:w="36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Reactivar contratación y aprovechar demanda de gas y petróleo como soporte fiscal hasta 2050.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Defensiva / condicionada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Minería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Valor agregado cae 6,2%; exportaciones mineras e IED retroceden con fuerza.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Licencia social, trámites ambientales, inseguridad jurídica y conflictividad territorial.</w:t>
            </w:r>
          </w:p>
        </w:tc>
        <w:tc>
          <w:tcPr>
            <w:tcW w:type="dxa" w:w="367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Minerales críticos, infraestructura 4G/5G y estándares TSM para sostenibilidad.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Alto riesgo / alto potencial</w:t>
            </w:r>
          </w:p>
        </w:tc>
      </w:tr>
      <w:tr>
        <w:tc>
          <w:tcPr>
            <w:tcW w:type="dxa" w:w="194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Comercio y retail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Aporta 23,1% del PIB; minorista crece 11,7%; mayor generador de empleo.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Informalidad, inseguridad, recuperación desigual y dependencia del consumo de hogares.</w:t>
            </w:r>
          </w:p>
        </w:tc>
        <w:tc>
          <w:tcPr>
            <w:tcW w:type="dxa" w:w="36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Pets retail, nómadas digitales, e-commerce, centros comerciales y fortalecimiento de Mipymes.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Expansiva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Construcción e inmuebles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Obras civiles crecen, pero vivienda y No VIS siguen rezagadas frente a prepandemia.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Tasas, baja inversión privada, retrasos regulatorios y debilidad en iniciaciones residenciales.</w:t>
            </w:r>
          </w:p>
        </w:tc>
        <w:tc>
          <w:tcPr>
            <w:tcW w:type="dxa" w:w="367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Pacto por el Crédito, Mi Casa Ya, infraestructura regional y materiales sostenibles.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Recuperación condicionada</w:t>
            </w:r>
          </w:p>
        </w:tc>
      </w:tr>
      <w:tr>
        <w:tc>
          <w:tcPr>
            <w:tcW w:type="dxa" w:w="194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Agropecuario, cafetero y avícola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Agro repunta; café y cacao impulsan el crecimiento; avícola enfrenta presión por precio del huevo.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Predial, clima, sanidad, costos de insumos, vías terciarias y relevo generacional.</w:t>
            </w:r>
          </w:p>
        </w:tc>
        <w:tc>
          <w:tcPr>
            <w:tcW w:type="dxa" w:w="36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SICA, trazabilidad, cafés diferenciados, microlotes, cooperación internacional y tecnificación.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Oportunidad productiva</w:t>
            </w:r>
          </w:p>
        </w:tc>
      </w:tr>
      <w:tr>
        <w:tc>
          <w:tcPr>
            <w:tcW w:type="dxa" w:w="194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Industrial: caucho y plástico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Manufactura crece 2,1%, pero con confianza empresarial frágil y costos altos.</w:t>
            </w:r>
          </w:p>
        </w:tc>
        <w:tc>
          <w:tcPr>
            <w:tcW w:type="dxa" w:w="331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Baja automatización, talento técnico escaso, contrabando y regulación ambiental exigente.</w:t>
            </w:r>
          </w:p>
        </w:tc>
        <w:tc>
          <w:tcPr>
            <w:tcW w:type="dxa" w:w="367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Economía circular, ecodiseño, exportaciones, biomédico/deportivo y alianzas academia-industria.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Transformación necesaria</w:t>
            </w:r>
          </w:p>
        </w:tc>
      </w:tr>
      <w:tr>
        <w:tc>
          <w:tcPr>
            <w:tcW w:type="dxa" w:w="194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17324D"/>
                <w:sz w:val="16"/>
              </w:rPr>
              <w:t>Financiero y fiduciario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Expansión hasta 3,5%; inclusión financiera alcanza 96% de adultos.</w:t>
            </w:r>
          </w:p>
        </w:tc>
        <w:tc>
          <w:tcPr>
            <w:tcW w:type="dxa" w:w="331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Cartera de consumo, fraude digital, ciberseguridad y transición omnicanal.</w:t>
            </w:r>
          </w:p>
        </w:tc>
        <w:tc>
          <w:tcPr>
            <w:tcW w:type="dxa" w:w="36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Pagos inmediatos, data analytics, bonos verdes, garantías y educación financiera.</w:t>
            </w:r>
          </w:p>
        </w:tc>
        <w:tc>
          <w:tcPr>
            <w:tcW w:type="dxa" w:w="2160"/>
            <w:shd w:fill="FFF6DD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 w:val="0"/>
                <w:color w:val="3D4852"/>
                <w:sz w:val="16"/>
              </w:rPr>
              <w:t>Innovación con control de riesgo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b/>
          <w:color w:val="2A9D8F"/>
          <w:sz w:val="18"/>
        </w:rPr>
        <w:t>ANÁLISIS POR SECTOR</w:t>
      </w:r>
    </w:p>
    <w:p>
      <w:pPr>
        <w:pStyle w:val="Heading1"/>
        <w:spacing w:before="160" w:after="100"/>
      </w:pPr>
      <w:r>
        <w:rPr>
          <w:b/>
          <w:color w:val="17324D"/>
        </w:rPr>
        <w:t>Fichas ejecutivas sectoriales</w:t>
      </w:r>
    </w:p>
    <w:p>
      <w:r>
        <w:rPr>
          <w:color w:val="3D4852"/>
          <w:sz w:val="19"/>
        </w:rPr>
        <w:t>Cada ficha resume la lectura estratégica del sector, los indicadores destacados, el riesgo crítico y la oportunidad más relevante para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17324D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Sector asegurador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Dato clave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Primas 2025: +8,8% nominal; +3,5% real.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Penetración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3,29% del PIB.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Foco territorial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Bogotá, Antioquia y Valle concentran alta siniestralidad bruta.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Expansiva selectiva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industria gana profundidad y relevancia en un entorno de mayor percepción de riesgo climático y económico. El crecimiento es positivo, pero no elimina brechas de protección en ramos voluntarios y agropecuarios.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El aumento del salario mínimo presiona reservas matemáticas y costos operativos. A esto se suma el sesgo de optimismo de consumidores que reducen aseguramiento tras periodos de calma.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Productos simples, transparentes y personalizados mediante IA; expansión de salud privada; seguros asociados a energías limpias; presencia de marca durante el Mundial 2026.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Priorizar innovación comercial y educación del consumidor, con énfasis en gestión preventiva del riesgo y segmentación por comportamiento.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C0392B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Hidrocarburos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Situación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Producción estable por contratos heredados.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Precio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Crudo alrededor de USD 64/barril en el insumo.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Política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Sin nuevos contratos desde agosto de 2022.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Defensiva / condicionada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El sector conserva capacidad operativa, pero su sostenibilidad depende de exploración y reposición de reservas. La estabilidad actual no debe confundirse con fortaleza estructural.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Incertidumbre jurídica y regulatoria, reducción de presupuestos exploratorios y pérdida de competitividad frente a Brasil, Guyana y Argentina como destinos de inversión.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Si mejora la señal de estabilidad, Colombia puede capturar inversión asociada a la demanda global de gas y petróleo como pilares de la matriz energética hacia 2050.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narrativa sectorial debe desplazarse de la defensa coyuntural hacia una propuesta de seguridad energética, transición ordenada y sostenibilidad fiscal.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B9770E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Sector minero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Valor agregado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Caída de 6,2% en 2025.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Exportaciones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USD 16.060 millones; -5% frente a 2024.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IED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Retroceso de 86% anual.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Alto riesgo / alto potencial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minería combina fragilidad coyuntural con relevancia fiscal y territorial. En Cesar y La Guajira mantiene un peso económico crítico, pero la inversión se debilita.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Licencia social para operar, trámites ambientales lentos, activismo judicial, inseguridad jurídica y conflictividad territorial.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Demanda global de cobre, níquel y otros minerales críticos; proyectos de infraestructura que elevan la demanda de materiales; adopción de estándares TSM.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El sector necesita una agenda de confianza territorial y trazabilidad ambiental para convertir la transición energética en inversión real.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1E8449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Comercio y retail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PIB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Aporta 23,1% del PIB.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Ventas minoristas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+11,7% en 2025.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Empleo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32,6% del total nacional; 43% del empleo juvenil.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Expansiva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Es el motor más visible de la recuperación, impulsado por tecnología, vehículos, centros comerciales y mayor dinamismo del consumo.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Recuperación heterogénea: alimentos y bebidas crecen mucho menos que bienes durables. Alta informalidad, inseguridad y dependencia del consumo limitan sostenibilidad.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Pets retail, consumidores extranjeros, nómadas digitales, comercio electrónico, importaciones de consumo y fortalecimiento de Mipymes.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estrategia debe combinar expansión comercial con formalización, seguridad, productividad de Mipymes y análisis granular de categorías.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6C5CE7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Construcción e inmuebles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Obras civiles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Crecimientos de 9,5%-11,7% según periodo reportado.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Vivienda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Residencial cae y sigue bajo niveles prepandemia.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Licencias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+6,1% anual en 2025.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Recuperación condicionada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El sector opera a dos velocidades: infraestructura y obras civiles amortiguan la crisis de vivienda, pero la edificación residencial sigue rezagada.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Altas tasas, baja inversión privada, caída de iniciaciones, debilidad No VIS, retrasos regulatorios y transición incompleta hacia concesiones 5G.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Pacto por el Crédito, Mi Casa Ya, normalización de tasas hipotecarias hacia 10%, infraestructura regional y materiales sostenibles.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recuperación exige coordinación entre crédito, subsidios, suelo, permisos y confianza de hogares; sin eso, la cadena productiva seguirá vulnerable.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2A9D8F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Agropecuario, cafetero y avícola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Agro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Crecimiento de 8,1% en 2024.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Café verde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Producción +23,4%.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Avícola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Presión por caída del precio del huevo.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Oportunidad productiva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El agro muestra dinamismo por café, cacao y consumo de alimentos, pero mantiene brechas de infraestructura, clima y gestión sanitaria.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Actualización catastral y predial, bloqueos, bacterias resistentes por cambio climático, costos de insumos, vías terciarias, riego y relevo generacional.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SICA, georreferenciación, trazabilidad, cafés diferenciados, microlotes, cooperación internacional y tecnificación productiva.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competitividad rural debe pasar de precios favorables a productividad permanente: datos, sanidad, infraestructura y valor agregado.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52616B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Industria: caucho y plástico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Manufactura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+2,1% en 2025.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Plástico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Capacidad de 1,37 millones de toneladas en 2023.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Presión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Costos de materias primas y energía.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Transformación necesaria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industria mejora, pero de forma frágil. La baja automatización y la presión ambiental obligan a acelerar reconversión tecnológica.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Escasez de talento técnico, contrabando, informalidad, regulación sobre plásticos de un solo uso e infraestructura insuficiente de reciclaje.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Economía circular, ecodiseño, nuevos materiales, exportaciones de resinas, aplicaciones biomédicas/deportivas y alianzas academia-industria.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prioridad es moverse de cumplimiento regulatorio a ventaja competitiva basada en circularidad, productividad y sofisticación técnica.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29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2F5D62"/>
          </w:tcPr>
          <w:p>
            <w:pPr>
              <w:spacing w:after="160"/>
            </w:pPr>
            <w:r>
              <w:rPr>
                <w:b/>
                <w:color w:val="FFFFFF"/>
                <w:sz w:val="24"/>
              </w:rPr>
              <w:t>Financiero y fiduciario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Crecimiento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Actividad financiera +3,5% en 2024.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Inclusión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96% de adultos con producto financiero.</w:t>
            </w:r>
          </w:p>
          <w:p>
            <w:pPr>
              <w:spacing w:after="40"/>
            </w:pPr>
            <w:r>
              <w:rPr>
                <w:b/>
                <w:i w:val="0"/>
                <w:color w:val="FFFFFF"/>
                <w:sz w:val="17"/>
                <w:u w:val="none"/>
              </w:rPr>
              <w:t>Riesgo</w:t>
              <w:br/>
            </w:r>
            <w:r>
              <w:rPr>
                <w:b w:val="0"/>
                <w:i w:val="0"/>
                <w:color w:val="FFFFFF"/>
                <w:sz w:val="18"/>
                <w:u w:val="none"/>
              </w:rPr>
              <w:t>Fraude digital +30,5% anual.</w:t>
            </w:r>
          </w:p>
          <w:p>
            <w:pPr>
              <w:spacing w:before="120"/>
            </w:pPr>
            <w:r>
              <w:rPr>
                <w:b/>
                <w:i w:val="0"/>
                <w:color w:val="FFFFFF"/>
                <w:sz w:val="17"/>
                <w:u w:val="none"/>
              </w:rPr>
              <w:t>Señal 2026</w:t>
              <w:br/>
            </w:r>
            <w:r>
              <w:rPr>
                <w:b/>
                <w:i w:val="0"/>
                <w:color w:val="FFFFFF"/>
                <w:sz w:val="20"/>
                <w:u w:val="none"/>
              </w:rPr>
              <w:t>Innovación con control de riesgo</w:t>
            </w:r>
          </w:p>
        </w:tc>
        <w:tc>
          <w:tcPr>
            <w:tcW w:type="dxa" w:w="6450"/>
            <w:vAlign w:val="top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shd w:fill="FFFFFF"/>
          </w:tcPr>
          <w:p>
            <w:pPr>
              <w:spacing w:after="100"/>
            </w:pPr>
            <w:r>
              <w:rPr>
                <w:b/>
                <w:i w:val="0"/>
                <w:color w:val="17324D"/>
                <w:sz w:val="18"/>
                <w:u w:val="none"/>
              </w:rPr>
              <w:t xml:space="preserve">Lectura ejecutiva.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El sector conserva profundidad e inclusión, pero enfrenta presión por deterioro de cartera, fraude digital y transición hacia modelos predictivos y sostenibles.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Reto crítico: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Cartera de consumo, ciberseguridad, riesgos de tasa e inflación, omnicanalidad incompleta y necesidad de adaptar la Taxonomía Verde.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Oportunidad: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Pagos inmediatos, garantías para economía popular, data analytics, Big Data, bonos verdes, educación financiera y rol fiduciario en infraestructura.</w:t>
            </w:r>
          </w:p>
          <w:p>
            <w:pPr>
              <w:ind w:left="216" w:hanging="216"/>
            </w:pPr>
            <w:r>
              <w:rPr>
                <w:b/>
                <w:i w:val="0"/>
                <w:color w:val="2A9D8F"/>
                <w:sz w:val="18"/>
                <w:u w:val="none"/>
              </w:rPr>
              <w:t xml:space="preserve">• </w:t>
            </w:r>
            <w:r>
              <w:rPr>
                <w:b/>
                <w:i w:val="0"/>
                <w:color w:val="17324D"/>
                <w:sz w:val="18"/>
                <w:u w:val="none"/>
              </w:rPr>
              <w:t xml:space="preserve">Implicación estratégica: </w:t>
            </w:r>
            <w:r>
              <w:rPr>
                <w:b w:val="0"/>
                <w:i w:val="0"/>
                <w:color w:val="3D4852"/>
                <w:sz w:val="18"/>
                <w:u w:val="none"/>
              </w:rPr>
              <w:t>La frontera de crecimiento está en combinar confianza, seguridad digital, inclusión y personalización responsable del crédito.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40"/>
      </w:pPr>
      <w:r>
        <w:rPr>
          <w:b/>
          <w:color w:val="2A9D8F"/>
          <w:sz w:val="18"/>
        </w:rPr>
        <w:t>PRIORIDADES TRANSVERSALES</w:t>
      </w:r>
    </w:p>
    <w:p>
      <w:pPr>
        <w:pStyle w:val="Heading1"/>
        <w:spacing w:before="160" w:after="100"/>
      </w:pPr>
      <w:r>
        <w:rPr>
          <w:b/>
          <w:color w:val="17324D"/>
        </w:rPr>
        <w:t>Agenda estratégica para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408"/>
      </w:tblGrid>
      <w:tr>
        <w:tc>
          <w:tcPr>
            <w:tcW w:type="dxa" w:w="3100"/>
            <w:shd w:fill="17324D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1. Recuperar la inversión privada</w:t>
            </w:r>
          </w:p>
        </w:tc>
        <w:tc>
          <w:tcPr>
            <w:tcW w:type="dxa" w:w="6400"/>
            <w:shd w:fill="F3F5F7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 w:val="0"/>
                <w:color w:val="3D4852"/>
                <w:sz w:val="18"/>
              </w:rPr>
              <w:t>Construcción, minería, hidrocarburos e industria requieren reglas claras, estabilidad contractual y tiempos regulatorios previsibles.</w:t>
            </w:r>
          </w:p>
        </w:tc>
      </w:tr>
      <w:tr>
        <w:tc>
          <w:tcPr>
            <w:tcW w:type="dxa" w:w="3100"/>
            <w:shd w:fill="2A9D8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2. Convertir tecnología en productividad</w:t>
            </w:r>
          </w:p>
        </w:tc>
        <w:tc>
          <w:tcPr>
            <w:tcW w:type="dxa" w:w="6400"/>
            <w:shd w:fill="E8F6F3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 w:val="0"/>
                <w:color w:val="3D4852"/>
                <w:sz w:val="18"/>
              </w:rPr>
              <w:t>IA, analítica, trazabilidad, automatización, pagos inmediatos y omnicanalidad deben traducirse en menores costos, mejor gestión de riesgo y mayor formalización.</w:t>
            </w:r>
          </w:p>
        </w:tc>
      </w:tr>
      <w:tr>
        <w:tc>
          <w:tcPr>
            <w:tcW w:type="dxa" w:w="3100"/>
            <w:shd w:fill="17324D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3. Cerrar brechas de protección e inclusión</w:t>
            </w:r>
          </w:p>
        </w:tc>
        <w:tc>
          <w:tcPr>
            <w:tcW w:type="dxa" w:w="6400"/>
            <w:shd w:fill="F3F5F7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 w:val="0"/>
                <w:color w:val="3D4852"/>
                <w:sz w:val="18"/>
              </w:rPr>
              <w:t>El aseguramiento voluntario, la inclusión financiera, el crédito a Mipymes y la protección agropecuaria deben simplificarse para hogares y empresas.</w:t>
            </w:r>
          </w:p>
        </w:tc>
      </w:tr>
      <w:tr>
        <w:tc>
          <w:tcPr>
            <w:tcW w:type="dxa" w:w="3100"/>
            <w:shd w:fill="2A9D8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4. Alinear sostenibilidad con competitividad</w:t>
            </w:r>
          </w:p>
        </w:tc>
        <w:tc>
          <w:tcPr>
            <w:tcW w:type="dxa" w:w="6400"/>
            <w:shd w:fill="E8F6F3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 w:val="0"/>
                <w:color w:val="3D4852"/>
                <w:sz w:val="18"/>
              </w:rPr>
              <w:t>La transición energética y la economía circular solo serán sostenibles si generan inversión, exportaciones, estándares verificables y nuevos mercados.</w:t>
            </w:r>
          </w:p>
        </w:tc>
      </w:tr>
      <w:tr>
        <w:tc>
          <w:tcPr>
            <w:tcW w:type="dxa" w:w="3100"/>
            <w:shd w:fill="17324D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/>
                <w:color w:val="FFFFFF"/>
                <w:sz w:val="18"/>
              </w:rPr>
              <w:t>5. Fortalecer bienes públicos productivos</w:t>
            </w:r>
          </w:p>
        </w:tc>
        <w:tc>
          <w:tcPr>
            <w:tcW w:type="dxa" w:w="6400"/>
            <w:shd w:fill="F3F5F7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r>
              <w:rPr>
                <w:b w:val="0"/>
                <w:color w:val="3D4852"/>
                <w:sz w:val="18"/>
              </w:rPr>
              <w:t>Vías terciarias, riego, infraestructura logística, seguridad, formación técnica y conectividad son condiciones básicas para la productividad sectorial.</w:t>
            </w:r>
          </w:p>
        </w:tc>
      </w:tr>
    </w:tbl>
    <w:p>
      <w:pPr>
        <w:pStyle w:val="Heading1"/>
        <w:spacing w:before="160" w:after="100"/>
      </w:pPr>
      <w:r>
        <w:rPr>
          <w:b/>
          <w:color w:val="17324D"/>
        </w:rPr>
        <w:t>Conclusión ejecutiva</w:t>
      </w:r>
    </w:p>
    <w:p>
      <w:pPr>
        <w:spacing w:line="276" w:lineRule="auto"/>
      </w:pPr>
      <w:r>
        <w:rPr>
          <w:color w:val="3D4852"/>
          <w:sz w:val="20"/>
        </w:rPr>
        <w:t>La lectura sectorial no muestra una economía homogénea, sino una economía con motores y frenos simultáneos. Comercio, finanzas, seguros y algunas ramas agropecuarias ofrecen oportunidades de expansión; construcción residencial, minería e hidrocarburos dependen de señales de confianza e inversión; e industria requiere transformación tecnológica acelerada. Para 2026, el desempeño dependerá menos de la inercia del consumo y más de la capacidad del país para crear condiciones de inversión, adoptar tecnología, reducir incertidumbre regulatoria y convertir sostenibilidad en productividad.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794"/>
        <w:sz w:val="16"/>
      </w:rPr>
      <w:t>Centro Javeriano de Competitividad | Documento de trabajo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794"/>
        <w:sz w:val="16"/>
      </w:rPr>
      <w:t>Centro Javeriano de Competitividad | Documento de trabajo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794"/>
        <w:sz w:val="16"/>
      </w:rPr>
      <w:t>Centro Javeriano de Competitividad | Documento de trabajo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color w:val="7B8794"/>
        <w:sz w:val="16"/>
      </w:rPr>
      <w:t>Análisis sectorial | Colombia 2024-2026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color w:val="7B8794"/>
        <w:sz w:val="16"/>
      </w:rPr>
      <w:t>Análisis sectorial | Colombia 2024-2026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color w:val="7B8794"/>
        <w:sz w:val="16"/>
      </w:rPr>
      <w:t>Análisis sectorial | Colombia 2024-2026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3D485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