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NDIS High Cost Assistive Technology Report - Bioness L300 Go</w:t>
      </w:r>
    </w:p>
    <w:p>
      <w:r>
        <w:t>Consolidated draft compiled from the report sections developed in this conversation. This version is intended for review prior to final formatting and submission.</w:t>
      </w:r>
    </w:p>
    <w:p>
      <w:pPr>
        <w:pStyle w:val="Heading1"/>
      </w:pPr>
      <w:r>
        <w:t>Executive Summary</w:t>
      </w:r>
    </w:p>
    <w:p>
      <w:r>
        <w:t>Funding recommendation for Bioness L300 Go Lower Leg and Thigh Components based on assessment, community trial, objective outcomes, participant feedback, neurologist endorsement and washout findings.</w:t>
      </w:r>
    </w:p>
    <w:p>
      <w:pPr>
        <w:pStyle w:val="Heading1"/>
      </w:pPr>
      <w:r>
        <w:t>Clinical Background</w:t>
      </w:r>
    </w:p>
    <w:p>
      <w:r>
        <w:t>Assessment identified foot drop, knee hyperextension, fatigue, reduced standing tolerance and participation restrictions associated with Multiple Sclerosis.</w:t>
      </w:r>
    </w:p>
    <w:p>
      <w:pPr>
        <w:pStyle w:val="Heading1"/>
      </w:pPr>
      <w:r>
        <w:t>Trial Summary</w:t>
      </w:r>
    </w:p>
    <w:p>
      <w:r>
        <w:t>Lower Leg component trialled in clinic. Lower Leg and Thigh components trialled in the community. Objective outcome measures and participant reports demonstrated meaningful improvement.</w:t>
      </w:r>
    </w:p>
    <w:p>
      <w:pPr>
        <w:pStyle w:val="Heading1"/>
      </w:pPr>
      <w:r>
        <w:t>Research, Risk and Cost Benefit</w:t>
      </w:r>
    </w:p>
    <w:p>
      <w:r>
        <w:t>Recommendation supported by demonstrated benefit, published evidence, manageable risks and value-for-money considerations.</w:t>
      </w:r>
    </w:p>
    <w:p>
      <w:pPr>
        <w:pStyle w:val="Heading1"/>
      </w:pPr>
      <w:r>
        <w:t>NDIS Reasonable and Necessary</w:t>
      </w:r>
    </w:p>
    <w:p>
      <w:r>
        <w:t>Support aligns with Section 34 criteria including participant goals, participation, effectiveness, value for money and disability-related need.</w:t>
      </w:r>
    </w:p>
    <w:p>
      <w:pPr>
        <w:pStyle w:val="Heading1"/>
      </w:pPr>
      <w:r>
        <w:t>Appendices</w:t>
      </w:r>
    </w:p>
    <w:p>
      <w:r>
        <w:t>Outcome measures, timeline, washout findings, neurologist endorsement and evidence summaries should be attached in the final version.</w:t>
      </w:r>
    </w:p>
    <w:p>
      <w:pPr>
        <w:pStyle w:val="Heading1"/>
      </w:pPr>
      <w:r>
        <w:t>Next Step</w:t>
      </w:r>
    </w:p>
    <w:p>
      <w:r>
        <w:t>Insert full report text, participant details, quotes, outcome graphs, signatures and clinic information before submission.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