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NDIS HIGH COST ASSISTIVE TECHNOLOGY ASSESSMENT REPORT</w:t>
      </w:r>
    </w:p>
    <w:p>
      <w:pPr>
        <w:jc w:val="center"/>
      </w:pPr>
      <w:r>
        <w:rPr>
          <w:b/>
          <w:sz w:val="36"/>
        </w:rPr>
        <w:t>Bioness L300 Go Functional Electrical Stimulation (FES) System</w:t>
        <w:br/>
      </w:r>
      <w:r>
        <w:t>Maintaining Independence and Participation in Progressive Multiple Sclerosis</w:t>
      </w:r>
    </w:p>
    <w:p>
      <w:r>
        <w:br/>
        <w:t>Participant: M</w:t>
      </w:r>
    </w:p>
    <w:p>
      <w:r>
        <w:t>Report Author: Mee Young Lee (Orthotist)</w:t>
      </w:r>
    </w:p>
    <w:p>
      <w:r>
        <w:t>Organisation: KOrthotics</w:t>
      </w:r>
    </w:p>
    <w:p>
      <w:r>
        <w:t>Date: TO BE COMPLETED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supports NDIS funding for permanent provision of the Bioness L300 Go. The report integrates initial assessment, 8-week community trial, 3-week washout period, participant feedback, mother feedback, neurologist support and objective outcome measures.</w:t>
        <w:br/>
        <w:br/>
        <w:t>This is not solely a foot drop intervention. The purpose is to preserve independence, participation and long-term functional capacity in a progressive neurological condition.</w:t>
      </w:r>
    </w:p>
    <w:p>
      <w:r>
        <w:br w:type="page"/>
      </w:r>
    </w:p>
    <w:p>
      <w:pPr>
        <w:pStyle w:val="Heading1"/>
      </w:pPr>
      <w:r>
        <w:t>Participant Background</w:t>
      </w:r>
    </w:p>
    <w:p>
      <w:r>
        <w:t>35-year-old female with Multiple Sclerosis diagnosed approximately 5-6 years ago. Lives with her mother in a modified single-storey home. Mother is the primary informal support person. Not currently employed due to disability-related limitations.</w:t>
      </w:r>
    </w:p>
    <w:p>
      <w:r>
        <w:br w:type="page"/>
      </w:r>
    </w:p>
    <w:p>
      <w:pPr>
        <w:pStyle w:val="Heading1"/>
      </w:pPr>
      <w:r>
        <w:t>NDIS Goals Alignment</w:t>
      </w:r>
    </w:p>
    <w:p>
      <w:r>
        <w:t>Goal 1: Increase mobility, core strength and stability.</w:t>
        <w:br/>
        <w:t>Goal 2: Support mobility to facilitate weight management.</w:t>
        <w:br/>
        <w:t>Goal 3: Improve safety within the home.</w:t>
        <w:br/>
        <w:t>Goal 4: Increase coping capacity and independence.</w:t>
        <w:br/>
        <w:br/>
        <w:t>The Bioness system directly supports all four goals.</w:t>
      </w:r>
    </w:p>
    <w:p>
      <w:r>
        <w:br w:type="page"/>
      </w:r>
    </w:p>
    <w:p>
      <w:pPr>
        <w:pStyle w:val="Heading1"/>
      </w:pPr>
      <w:r>
        <w:t>Clinical Assessment Findings</w:t>
      </w:r>
    </w:p>
    <w:p>
      <w:r>
        <w:t>Right DF 0/5, PF 3/5, EV 0/5, INV 1/5, knee flexion/extension 4/5.</w:t>
        <w:br/>
        <w:t>Moderate gastrocnemius and soleus spasticity.</w:t>
        <w:br/>
        <w:t>Foot drop, inversion, knee hyperextension and fatigue present.</w:t>
      </w:r>
    </w:p>
    <w:p>
      <w:r>
        <w:br w:type="page"/>
      </w:r>
    </w:p>
    <w:p>
      <w:pPr>
        <w:pStyle w:val="Heading1"/>
      </w:pPr>
      <w:r>
        <w:t>Current Supports and Limitations</w:t>
      </w:r>
    </w:p>
    <w:p>
      <w:r>
        <w:t>Physiotherapy, home modification, informal support from mother, walking aid and previous AFO trial remain insufficient.</w:t>
        <w:br/>
        <w:br/>
        <w:t>The OAPL Supra-Lite AFO was unsuccessful due to discomfort, spasticity, limb shape and bulkiness.</w:t>
      </w:r>
    </w:p>
    <w:p>
      <w:r>
        <w:br w:type="page"/>
      </w:r>
    </w:p>
    <w:p>
      <w:pPr>
        <w:pStyle w:val="Heading1"/>
      </w:pPr>
      <w:r>
        <w:t>In-Clinic Trial</w:t>
      </w:r>
    </w:p>
    <w:p>
      <w:r>
        <w:t>Immediate improvements observed:</w:t>
        <w:br/>
        <w:t>• Foot clearance</w:t>
        <w:br/>
        <w:t>• Stance stability</w:t>
        <w:br/>
        <w:t>• Walking speed</w:t>
        <w:br/>
        <w:t>• Walking confidence</w:t>
        <w:br/>
        <w:t>• Reduced fatigue</w:t>
      </w:r>
    </w:p>
    <w:p>
      <w:r>
        <w:br w:type="page"/>
      </w:r>
    </w:p>
    <w:p>
      <w:pPr>
        <w:pStyle w:val="Heading1"/>
      </w:pPr>
      <w:r>
        <w:t>8 Week Community Trial</w:t>
      </w:r>
    </w:p>
    <w:p>
      <w:r>
        <w:t>Participant demonstrated substantial functional gains across home and community environments.</w:t>
        <w:br/>
        <w:br/>
        <w:t>Initially fatigue increased due to increased activity participation. Around week 5, daytime naps reduced and recovery improved.</w:t>
        <w:br/>
        <w:br/>
        <w:t>Participant resumed baking for the first time in a considerable period due to improved standing tolerance.</w:t>
      </w:r>
    </w:p>
    <w:p>
      <w:r>
        <w:br w:type="page"/>
      </w:r>
    </w:p>
    <w:p>
      <w:pPr>
        <w:pStyle w:val="Heading1"/>
      </w:pPr>
      <w:r>
        <w:t>Outcome Measures</w:t>
      </w:r>
    </w:p>
    <w:p>
      <w:r>
        <w:t>TUG: 42.57 → 33.11 sec</w:t>
        <w:br/>
        <w:t>6MWT: 57 → 90 m</w:t>
        <w:br/>
        <w:t>10MWT: 35.19 → 29.31 sec</w:t>
        <w:br/>
        <w:t>DGI: 11/24 → 14/24</w:t>
        <w:br/>
        <w:t>30s STS: 9 → 10</w:t>
      </w:r>
    </w:p>
    <w:p>
      <w:r>
        <w:br w:type="page"/>
      </w:r>
    </w:p>
    <w:p>
      <w:pPr>
        <w:pStyle w:val="Heading1"/>
      </w:pPr>
      <w:r>
        <w:t>Participant Voice</w:t>
      </w:r>
    </w:p>
    <w:p>
      <w:r>
        <w:t>"I stopped overthinking every step I took."</w:t>
        <w:br/>
        <w:br/>
        <w:t xml:space="preserve">"In 5 years of being diagnosed, I lost a lot of myself. In 8 weeks I gained so much normality back." </w:t>
      </w:r>
    </w:p>
    <w:p>
      <w:r>
        <w:br w:type="page"/>
      </w:r>
    </w:p>
    <w:p>
      <w:pPr>
        <w:pStyle w:val="Heading1"/>
      </w:pPr>
      <w:r>
        <w:t>Carer Feedback</w:t>
      </w:r>
    </w:p>
    <w:p>
      <w:r>
        <w:t>"I watched my daughter participate in family outings instead of excluding herself with fear."</w:t>
        <w:br/>
        <w:br/>
        <w:t xml:space="preserve">"The Bioness L300 Go gave my daughter hope, smiles and confidence." </w:t>
      </w:r>
    </w:p>
    <w:p>
      <w:r>
        <w:br w:type="page"/>
      </w:r>
    </w:p>
    <w:p>
      <w:pPr>
        <w:pStyle w:val="Heading1"/>
      </w:pPr>
      <w:r>
        <w:t>Neurologist Support</w:t>
      </w:r>
    </w:p>
    <w:p>
      <w:r>
        <w:t>Neurologist endorsed long-term provision.</w:t>
        <w:br/>
        <w:br/>
        <w:t>Documented:</w:t>
        <w:br/>
        <w:t>• Improved mobility and quality of life</w:t>
        <w:br/>
        <w:t>• Improved walking endurance</w:t>
        <w:br/>
        <w:t>• DF strength improved from 3/5 to 4-/5</w:t>
        <w:br/>
        <w:t>• Two courses of Mavenclad completed</w:t>
        <w:br/>
        <w:t>• Benefit beyond medical therapy alone</w:t>
      </w:r>
    </w:p>
    <w:p>
      <w:r>
        <w:br w:type="page"/>
      </w:r>
    </w:p>
    <w:p>
      <w:pPr>
        <w:pStyle w:val="Heading1"/>
      </w:pPr>
      <w:r>
        <w:t>Washout Findings</w:t>
      </w:r>
    </w:p>
    <w:p>
      <w:r>
        <w:t>Device withdrawal resulted in increased fatigue, stiffness, reduced confidence, reduced participation and increased tripping.</w:t>
        <w:br/>
        <w:br/>
        <w:t>Participant avoided some activities due to uneven surfaces.</w:t>
      </w:r>
    </w:p>
    <w:p>
      <w:r>
        <w:br w:type="page"/>
      </w:r>
    </w:p>
    <w:p>
      <w:pPr>
        <w:pStyle w:val="Heading1"/>
      </w:pPr>
      <w:r>
        <w:t>Cost Benefit Analysis</w:t>
      </w:r>
    </w:p>
    <w:p>
      <w:r>
        <w:t>Estimated cost exceeds $40,000.</w:t>
        <w:br/>
        <w:br/>
        <w:t>However, preventing increasing support dependency, preserving independence and reducing future disability-related support costs support value for money.</w:t>
      </w:r>
    </w:p>
    <w:p>
      <w:r>
        <w:br w:type="page"/>
      </w:r>
    </w:p>
    <w:p>
      <w:pPr>
        <w:pStyle w:val="Heading1"/>
      </w:pPr>
      <w:r>
        <w:t>NDIS Reasonable and Necessary</w:t>
      </w:r>
    </w:p>
    <w:p>
      <w:r>
        <w:t>✓ Related to disability</w:t>
        <w:br/>
        <w:t>✓ Effective and beneficial</w:t>
        <w:br/>
        <w:t>✓ Value for money</w:t>
        <w:br/>
        <w:t>✓ Most appropriate support</w:t>
        <w:br/>
        <w:t>✓ Supports NDIS goals</w:t>
      </w:r>
    </w:p>
    <w:p>
      <w:r>
        <w:br w:type="page"/>
      </w:r>
    </w:p>
    <w:p>
      <w:pPr>
        <w:pStyle w:val="Heading1"/>
      </w:pPr>
      <w:r>
        <w:t>Final Recommendation</w:t>
      </w:r>
    </w:p>
    <w:p>
      <w:r>
        <w:t>Permanent funding of the Bioness L300 Go is strongly recommended.</w:t>
        <w:br/>
        <w:br/>
        <w:t>The device is clinically justified and cannot be replaced by physiotherapy or passive orthotic interventions alone.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