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spacing w:after="80"/>
              <w:jc w:val="center"/>
            </w:pPr>
            <w:r>
              <w:rPr>
                <w:rFonts w:ascii="Arial" w:cs="Arial" w:eastAsia="Arial" w:hAnsi="Arial"/>
                <w:b/>
                <w:bCs/>
                <w:color w:val="FFFFFF"/>
                <w:sz w:val="36"/>
                <w:szCs w:val="36"/>
              </w:rPr>
              <w:t xml:space="preserve">NDIS ASSISTIVE TECHNOLOGY REPORT</w:t>
            </w:r>
          </w:p>
          <w:p>
            <w:pPr>
              <w:spacing w:after="80"/>
              <w:jc w:val="center"/>
            </w:pPr>
            <w:r>
              <w:rPr>
                <w:rFonts w:ascii="Arial" w:cs="Arial" w:eastAsia="Arial" w:hAnsi="Arial"/>
                <w:color w:val="BDD7EE"/>
                <w:sz w:val="24"/>
                <w:szCs w:val="24"/>
              </w:rPr>
              <w:t xml:space="preserve">Bioness L300 Go Functional Electrical Stimulation System</w:t>
            </w:r>
          </w:p>
          <w:p>
            <w:pPr>
              <w:spacing w:after="80"/>
              <w:jc w:val="center"/>
            </w:pPr>
            <w:r>
              <w:rPr>
                <w:rFonts w:ascii="Arial" w:cs="Arial" w:eastAsia="Arial" w:hAnsi="Arial"/>
                <w:color w:val="9DC3E6"/>
                <w:sz w:val="22"/>
                <w:szCs w:val="22"/>
              </w:rPr>
              <w:t xml:space="preserve">Right Foot Drop Secondary to Multiple Sclerosis</w:t>
            </w:r>
          </w:p>
          <w:p>
            <w:pPr>
              <w:jc w:val="center"/>
            </w:pPr>
            <w:r>
              <w:rPr>
                <w:rFonts w:ascii="Arial" w:cs="Arial" w:eastAsia="Arial" w:hAnsi="Arial"/>
                <w:color w:val="7CB9E8"/>
                <w:sz w:val="19"/>
                <w:szCs w:val="19"/>
              </w:rPr>
              <w:t xml:space="preserve">Initial Assessment  ·  Community Trial  ·  Trial Outcome  ·  Device Purchase Recommendation</w:t>
            </w:r>
          </w:p>
        </w:tc>
      </w:tr>
    </w:tbl>
    <w:p>
      <w:pPr>
        <w:spacing w:after="0"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80"/>
        <w:gridCol w:w="2300"/>
        <w:gridCol w:w="2380"/>
      </w:tblGrid>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Participant Name:</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Date of Birth:</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[DOB — Age 35]</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NDIS Number:</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[NDIS Number]</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Date of Report:</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June 2026</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Diagnosis:</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Multiple Sclerosis</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Report Author:</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[Orthotist Name], CO</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Prescribing Clinician:</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[Orthotist Name], CO</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Practice:</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Korthotics</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AT Device:</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Bioness L300 Go FES System</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In-Clinic Trial Date:</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24 September 2025</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Community Trial Phase 1:</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 weeks with Bioness (18 Mar – 11 May 2026)</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Washout Phase 2:</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 weeks without Bioness (12 May – 1 Jun 2026)</w:t>
            </w:r>
          </w:p>
        </w:tc>
      </w:tr>
      <w:tr>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Estimated Device Cost:</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&gt;$15,000 (High Cost AT)</w:t>
            </w:r>
          </w:p>
        </w:tc>
        <w:tc>
          <w:tcPr>
            <w:tcW w:type="dxa" w:w="23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NDIS Support Category:</w:t>
            </w:r>
          </w:p>
        </w:tc>
        <w:tc>
          <w:tcPr>
            <w:tcW w:type="dxa" w:w="23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Assistive Technology</w:t>
            </w:r>
          </w:p>
        </w:tc>
      </w:tr>
    </w:tbl>
    <w:p>
      <w:pPr>
        <w:spacing w:after="0" w:before="1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280"/>
              <w:bottom w:type="dxa" w:w="160"/>
              <w:right w:type="dxa" w:w="280"/>
            </w:tcMar>
          </w:tcPr>
          <w:p>
            <w:pPr>
              <w:spacing w:after="60"/>
            </w:pPr>
            <w:r>
              <w:rPr>
                <w:rFonts w:ascii="Arial" w:cs="Arial" w:eastAsia="Arial" w:hAnsi="Arial"/>
                <w:b/>
                <w:bCs/>
                <w:color w:val="1F3864"/>
                <w:sz w:val="22"/>
                <w:szCs w:val="22"/>
              </w:rPr>
              <w:t xml:space="preserve">DOCUMENT OVERVIEW</w:t>
            </w:r>
          </w:p>
          <w:p>
            <w:pPr>
              <w:spacing w:after="60"/>
            </w:pPr>
            <w:r>
              <w:rPr>
                <w:rFonts w:ascii="Arial" w:cs="Arial" w:eastAsia="Arial" w:hAnsi="Arial"/>
                <w:b w:val="false"/>
                <w:bCs w:val="false"/>
                <w:color w:val="333333"/>
                <w:sz w:val="20"/>
                <w:szCs w:val="20"/>
              </w:rPr>
              <w:t xml:space="preserve">This report contains two integrated parts:</w:t>
            </w:r>
          </w:p>
          <w:p>
            <w:pPr>
              <w:spacing w:after="60"/>
            </w:pPr>
            <w:r>
              <w:rPr>
                <w:rFonts w:ascii="Arial" w:cs="Arial" w:eastAsia="Arial" w:hAnsi="Arial"/>
                <w:b w:val="false"/>
                <w:bCs w:val="false"/>
                <w:color w:val="333333"/>
                <w:sz w:val="20"/>
                <w:szCs w:val="20"/>
              </w:rPr>
              <w:t xml:space="preserve">Part A — Initial AT Assessment Report: Clinical findings, rationale for FES, alternatives considered, in-clinic trial results, and original community trial application (September 2025).</w:t>
            </w:r>
          </w:p>
          <w:p>
            <w:pPr>
              <w:spacing w:after="60"/>
            </w:pPr>
            <w:r>
              <w:rPr>
                <w:rFonts w:ascii="Arial" w:cs="Arial" w:eastAsia="Arial" w:hAnsi="Arial"/>
                <w:b w:val="false"/>
                <w:bCs w:val="false"/>
                <w:color w:val="333333"/>
                <w:sz w:val="20"/>
                <w:szCs w:val="20"/>
              </w:rPr>
              <w:t xml:space="preserve">Part B — Community Trial Outcome Report: 8-week community trial data, 3-week washout period findings, objective outcome measures, patient and carer feedback, and recommendation for funded device purchase.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A — INITIAL AT ASSESSMENT REPORT</w:t>
            </w:r>
          </w:p>
        </w:tc>
      </w:tr>
    </w:tbl>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BACE" w:sz="1"/>
              <w:left w:val="single" w:color="A0BACE" w:sz="1"/>
              <w:bottom w:val="single" w:color="A0BACE" w:sz="1"/>
              <w:right w:val="single" w:color="A0BACE" w:sz="1"/>
            </w:tcBorders>
            <w:shd w:fill="F5F5F5" w:val="clear"/>
            <w:tcMar>
              <w:top w:type="dxa" w:w="160"/>
              <w:left w:type="dxa" w:w="280"/>
              <w:bottom w:type="dxa" w:w="160"/>
              <w:right w:type="dxa" w:w="280"/>
            </w:tcMar>
          </w:tcPr>
          <w:p>
            <w:pPr>
              <w:spacing w:after="60"/>
            </w:pPr>
            <w:r>
              <w:rPr>
                <w:rFonts w:ascii="Arial" w:cs="Arial" w:eastAsia="Arial" w:hAnsi="Arial"/>
                <w:b w:val="false"/>
                <w:bCs w:val="false"/>
                <w:color w:val="333333"/>
                <w:sz w:val="20"/>
                <w:szCs w:val="20"/>
              </w:rPr>
              <w:t xml:space="preserve">This section documents the initial clinical assessment, diagnosis background, and rationale for the Bioness L300 Go community trial application submitted in September 2025.</w:t>
            </w:r>
          </w:p>
        </w:tc>
      </w:tr>
    </w:tbl>
    <w:p>
      <w:pPr>
        <w:spacing w:after="0" w:before="12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A1.  PURPOSE OF REPORT &amp; REFERRAL REASON</w:t>
      </w:r>
    </w:p>
    <w:p>
      <w:pPr>
        <w:spacing w:after="80" w:before="60"/>
      </w:pPr>
      <w:r>
        <w:rPr>
          <w:rFonts w:ascii="Arial" w:cs="Arial" w:eastAsia="Arial" w:hAnsi="Arial"/>
          <w:sz w:val="20"/>
          <w:szCs w:val="20"/>
        </w:rPr>
        <w:t xml:space="preserve">This report was prepared to support M's application for NDIS-funded community trial of the Bioness L300 Go Functional Electrical Stimulation (FES) system. M is a 35-year-old woman with a confirmed diagnosis of Multiple Sclerosis (MS) who presents with significant right-sided foot drop and associated gait impairment that substantially limits her mobility, community participation, and safety.</w:t>
      </w:r>
    </w:p>
    <w:p>
      <w:pPr>
        <w:spacing w:after="80" w:before="60"/>
      </w:pPr>
      <w:r>
        <w:rPr>
          <w:rFonts w:ascii="Arial" w:cs="Arial" w:eastAsia="Arial" w:hAnsi="Arial"/>
          <w:sz w:val="20"/>
          <w:szCs w:val="20"/>
        </w:rPr>
        <w:t xml:space="preserve">An in-clinic trial was conducted on 24 September 2025 at Korthotics, attended by M, her mother, and her physiotherapist. The trial demonstrated clinically meaningful improvements in gait safety and walking tolerance. This report documents clinical findings, the rationale for FES, alternatives considered, and the evidence base supporting this high-cost AT request.</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A2.  DIAGNOSIS &amp; CLINICAL BACKGROUND</w:t>
      </w:r>
    </w:p>
    <w:p>
      <w:pPr>
        <w:spacing w:after="80" w:before="200"/>
      </w:pPr>
      <w:r>
        <w:rPr>
          <w:rFonts w:ascii="Arial" w:cs="Arial" w:eastAsia="Arial" w:hAnsi="Arial"/>
          <w:b/>
          <w:bCs/>
          <w:color w:val="17375E"/>
          <w:sz w:val="22"/>
          <w:szCs w:val="22"/>
        </w:rPr>
        <w:t xml:space="preserve">A2.1  Medical Diagnosis</w:t>
      </w:r>
    </w:p>
    <w:p>
      <w:pPr>
        <w:spacing w:after="80" w:before="60"/>
      </w:pPr>
      <w:r>
        <w:rPr>
          <w:rFonts w:ascii="Arial" w:cs="Arial" w:eastAsia="Arial" w:hAnsi="Arial"/>
          <w:sz w:val="20"/>
          <w:szCs w:val="20"/>
        </w:rPr>
        <w:t xml:space="preserve">M has a confirmed diagnosis of Multiple Sclerosis (MS), a chronic, progressive autoimmune disease of the central nervous system characterised by demyelination and axonal loss. MS disrupts neural conduction pathways between the brain and peripheral musculature, resulting in variable degrees of motor, sensory, and autonomic dysfunction.</w:t>
      </w:r>
    </w:p>
    <w:p>
      <w:pPr>
        <w:spacing w:after="80" w:before="60"/>
      </w:pPr>
      <w:r>
        <w:rPr>
          <w:rFonts w:ascii="Arial" w:cs="Arial" w:eastAsia="Arial" w:hAnsi="Arial"/>
          <w:sz w:val="20"/>
          <w:szCs w:val="20"/>
        </w:rPr>
        <w:t xml:space="preserve">M presents with upper motor neuron involvement affecting the right lower extremity, producing the characteristic pattern of foot drop with concomitant spasticity and secondary biomechanical consequences outlined below.</w:t>
      </w:r>
    </w:p>
    <w:p>
      <w:pPr>
        <w:spacing w:after="80" w:before="200"/>
      </w:pPr>
      <w:r>
        <w:rPr>
          <w:rFonts w:ascii="Arial" w:cs="Arial" w:eastAsia="Arial" w:hAnsi="Arial"/>
          <w:b/>
          <w:bCs/>
          <w:color w:val="17375E"/>
          <w:sz w:val="22"/>
          <w:szCs w:val="22"/>
        </w:rPr>
        <w:t xml:space="preserve">A2.2  Relevant MS Pathophysiology</w:t>
      </w:r>
    </w:p>
    <w:p>
      <w:pPr>
        <w:spacing w:after="80" w:before="60"/>
      </w:pPr>
      <w:r>
        <w:rPr>
          <w:rFonts w:ascii="Arial" w:cs="Arial" w:eastAsia="Arial" w:hAnsi="Arial"/>
          <w:sz w:val="20"/>
          <w:szCs w:val="20"/>
        </w:rPr>
        <w:t xml:space="preserve">The following MS-related impairments are directly relevant to M's gait dysfunction and AT requirements:</w:t>
      </w:r>
    </w:p>
    <w:p>
      <w:pPr>
        <w:pStyle w:val="ListParagraph"/>
        <w:numPr>
          <w:ilvl w:val="0"/>
          <w:numId w:val="2"/>
        </w:numPr>
        <w:spacing w:after="40" w:before="40"/>
      </w:pPr>
      <w:r>
        <w:rPr>
          <w:rFonts w:ascii="Arial" w:cs="Arial" w:eastAsia="Arial" w:hAnsi="Arial"/>
          <w:sz w:val="20"/>
          <w:szCs w:val="20"/>
        </w:rPr>
        <w:t xml:space="preserve">Demyelination of corticospinal tracts → loss of voluntary ankle dorsiflexion (0/5 MMT)</w:t>
      </w:r>
    </w:p>
    <w:p>
      <w:pPr>
        <w:pStyle w:val="ListParagraph"/>
        <w:numPr>
          <w:ilvl w:val="0"/>
          <w:numId w:val="2"/>
        </w:numPr>
        <w:spacing w:after="40" w:before="40"/>
      </w:pPr>
      <w:r>
        <w:rPr>
          <w:rFonts w:ascii="Arial" w:cs="Arial" w:eastAsia="Arial" w:hAnsi="Arial"/>
          <w:sz w:val="20"/>
          <w:szCs w:val="20"/>
        </w:rPr>
        <w:t xml:space="preserve">Upper motor neuron syndrome → spasticity in plantar flexors and invertors, contributing to equinovarus posturing</w:t>
      </w:r>
    </w:p>
    <w:p>
      <w:pPr>
        <w:pStyle w:val="ListParagraph"/>
        <w:numPr>
          <w:ilvl w:val="0"/>
          <w:numId w:val="2"/>
        </w:numPr>
        <w:spacing w:after="40" w:before="40"/>
      </w:pPr>
      <w:r>
        <w:rPr>
          <w:rFonts w:ascii="Arial" w:cs="Arial" w:eastAsia="Arial" w:hAnsi="Arial"/>
          <w:sz w:val="20"/>
          <w:szCs w:val="20"/>
        </w:rPr>
        <w:t xml:space="preserve">Motor fatigability → neurological fatigue compounds foot drop with increased ambulatory distance</w:t>
      </w:r>
    </w:p>
    <w:p>
      <w:pPr>
        <w:pStyle w:val="ListParagraph"/>
        <w:numPr>
          <w:ilvl w:val="0"/>
          <w:numId w:val="2"/>
        </w:numPr>
        <w:spacing w:after="40" w:before="40"/>
      </w:pPr>
      <w:r>
        <w:rPr>
          <w:rFonts w:ascii="Arial" w:cs="Arial" w:eastAsia="Arial" w:hAnsi="Arial"/>
          <w:sz w:val="20"/>
          <w:szCs w:val="20"/>
        </w:rPr>
        <w:t xml:space="preserve">Uhthoff's phenomenon → heat-induced transient worsening of neurological symptoms may affect functional walking capacity</w:t>
      </w:r>
    </w:p>
    <w:p>
      <w:pPr>
        <w:pStyle w:val="ListParagraph"/>
        <w:numPr>
          <w:ilvl w:val="0"/>
          <w:numId w:val="2"/>
        </w:numPr>
        <w:spacing w:after="40" w:before="40"/>
      </w:pPr>
      <w:r>
        <w:rPr>
          <w:rFonts w:ascii="Arial" w:cs="Arial" w:eastAsia="Arial" w:hAnsi="Arial"/>
          <w:sz w:val="20"/>
          <w:szCs w:val="20"/>
        </w:rPr>
        <w:t xml:space="preserve">Secondary biomechanical consequences → knee hyperextension in stance, altered centre of mass, increased fall risk</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A3.  CLINICAL ASSESSMENT FINDINGS</w:t>
      </w:r>
    </w:p>
    <w:p>
      <w:pPr>
        <w:spacing w:after="80" w:before="200"/>
      </w:pPr>
      <w:r>
        <w:rPr>
          <w:rFonts w:ascii="Arial" w:cs="Arial" w:eastAsia="Arial" w:hAnsi="Arial"/>
          <w:b/>
          <w:bCs/>
          <w:color w:val="17375E"/>
          <w:sz w:val="22"/>
          <w:szCs w:val="22"/>
        </w:rPr>
        <w:t xml:space="preserve">A3.1  Musculoskeletal &amp; Neurological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Muscle Group (Right Side)</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MMT Grade (/5)</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Clinical Significance</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Dorsiflexion</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0/5</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Complete loss — primary cause of foot drop</w:t>
            </w:r>
          </w:p>
        </w:tc>
      </w:tr>
      <w:tr>
        <w:tc>
          <w:tcPr>
            <w:tcW w:type="dxa" w:w="3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Plantarflexion</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3/5</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Reduced — contributes to push-off deficit</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Eversion</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0/5</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Absent — contributes to inversion posture in swing</w:t>
            </w:r>
          </w:p>
        </w:tc>
      </w:tr>
      <w:tr>
        <w:tc>
          <w:tcPr>
            <w:tcW w:type="dxa" w:w="3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Inversion</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1/5</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Trace — combined with spasticity drives equinovarus</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Knee Extensors / Flexors</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4/5</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Mildly reduced — compensatory strategies likely</w:t>
            </w:r>
          </w:p>
        </w:tc>
      </w:tr>
      <w:tr>
        <w:tc>
          <w:tcPr>
            <w:tcW w:type="dxa" w:w="3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Hip Abductors / Extensors</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5/5</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Intact — provides proximal stability</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A3.2  Range of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Measure</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Finding</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Clinical Note</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Dorsiflexion ROM (knee extended)</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~−3°</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Equinus contracture — limits AFO fit and tolerance</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A3.3  Spasticity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Muscle Group</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Spasticity Grade</w:t>
            </w:r>
          </w:p>
        </w:tc>
        <w:tc>
          <w:tcPr>
            <w:tcW w:type="dxa" w:w="2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Clinical Relevance</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Gastrocnemius</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Moderate–High</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Dominant contributor to equinus; limits AFO accommodation</w:t>
            </w:r>
          </w:p>
        </w:tc>
      </w:tr>
      <w:tr>
        <w:tc>
          <w:tcPr>
            <w:tcW w:type="dxa" w:w="3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Soleus</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Moderate</w:t>
            </w:r>
          </w:p>
        </w:tc>
        <w:tc>
          <w:tcPr>
            <w:tcW w:type="dxa" w:w="2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Compound plantar flexion resistance during gait</w:t>
            </w:r>
          </w:p>
        </w:tc>
      </w:tr>
      <w:tr>
        <w:tc>
          <w:tcPr>
            <w:tcW w:type="dxa" w:w="3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Invertors (Tibialis Posterior)</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Mild</w:t>
            </w:r>
          </w:p>
        </w:tc>
        <w:tc>
          <w:tcPr>
            <w:tcW w:type="dxa" w:w="2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Contributes to inversion during swing; increases trip risk</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A3.4  Additional Clinical Observations</w:t>
      </w:r>
    </w:p>
    <w:p>
      <w:pPr>
        <w:pStyle w:val="ListParagraph"/>
        <w:numPr>
          <w:ilvl w:val="0"/>
          <w:numId w:val="2"/>
        </w:numPr>
        <w:spacing w:after="40" w:before="40"/>
      </w:pPr>
      <w:r>
        <w:rPr>
          <w:rFonts w:ascii="Arial" w:cs="Arial" w:eastAsia="Arial" w:hAnsi="Arial"/>
          <w:sz w:val="20"/>
          <w:szCs w:val="20"/>
        </w:rPr>
        <w:t xml:space="preserve">Right-sided toe curling becomes evident with prolonged standing or walking, suggesting progressive neurological fatigue affecting intrinsic foot musculature and spastic flexors.</w:t>
      </w:r>
    </w:p>
    <w:p>
      <w:pPr>
        <w:pStyle w:val="ListParagraph"/>
        <w:numPr>
          <w:ilvl w:val="0"/>
          <w:numId w:val="2"/>
        </w:numPr>
        <w:spacing w:after="40" w:before="40"/>
      </w:pPr>
      <w:r>
        <w:rPr>
          <w:rFonts w:ascii="Arial" w:cs="Arial" w:eastAsia="Arial" w:hAnsi="Arial"/>
          <w:sz w:val="20"/>
          <w:szCs w:val="20"/>
        </w:rPr>
        <w:t xml:space="preserve">Right knee hyperextension observed during stance phase — compensatory mechanism for inadequate ankle dorsiflexion, increasing long-term risk of joint damage.</w:t>
      </w:r>
    </w:p>
    <w:p>
      <w:pPr>
        <w:pStyle w:val="ListParagraph"/>
        <w:numPr>
          <w:ilvl w:val="0"/>
          <w:numId w:val="2"/>
        </w:numPr>
        <w:spacing w:after="40" w:before="40"/>
      </w:pPr>
      <w:r>
        <w:rPr>
          <w:rFonts w:ascii="Arial" w:cs="Arial" w:eastAsia="Arial" w:hAnsi="Arial"/>
          <w:sz w:val="20"/>
          <w:szCs w:val="20"/>
        </w:rPr>
        <w:t xml:space="preserve">Right foot drop and inversion during mid-swing phase, creating a significant trip and fall hazard.</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A4.  FUNCTIONAL STATUS &amp; MOBILITY</w:t>
      </w:r>
    </w:p>
    <w:p>
      <w:pPr>
        <w:spacing w:after="80" w:before="200"/>
      </w:pPr>
      <w:r>
        <w:rPr>
          <w:rFonts w:ascii="Arial" w:cs="Arial" w:eastAsia="Arial" w:hAnsi="Arial"/>
          <w:b/>
          <w:bCs/>
          <w:color w:val="17375E"/>
          <w:sz w:val="22"/>
          <w:szCs w:val="22"/>
        </w:rPr>
        <w:t xml:space="preserve">A4.1  Current Mobility (At Time of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Indoor Mobility:</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Independent with 4-wheeled walker</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Community Mobility:</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Significantly restricted due to fall risk and walking tolerance</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Gait Pattern:</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Right foot drop and inversion in mid-swing; right knee hyperextension on stance</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Walking Tolerance:</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Severely limited — fatigue and foot drop restrict community ambulation</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Fall Risk:</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HIGH — toe drag during swing phase, knee instability in stance, community surfaces</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A4.2  Impact on Daily Life &amp; Participation</w:t>
      </w:r>
    </w:p>
    <w:p>
      <w:pPr>
        <w:pStyle w:val="ListParagraph"/>
        <w:numPr>
          <w:ilvl w:val="0"/>
          <w:numId w:val="2"/>
        </w:numPr>
        <w:spacing w:after="40" w:before="40"/>
      </w:pPr>
      <w:r>
        <w:rPr>
          <w:rFonts w:ascii="Arial" w:cs="Arial" w:eastAsia="Arial" w:hAnsi="Arial"/>
          <w:sz w:val="20"/>
          <w:szCs w:val="20"/>
        </w:rPr>
        <w:t xml:space="preserve">Restricted community access — unable to safely navigate uneven surfaces, shopping centres, or public spaces without high fall risk</w:t>
      </w:r>
    </w:p>
    <w:p>
      <w:pPr>
        <w:pStyle w:val="ListParagraph"/>
        <w:numPr>
          <w:ilvl w:val="0"/>
          <w:numId w:val="2"/>
        </w:numPr>
        <w:spacing w:after="40" w:before="40"/>
      </w:pPr>
      <w:r>
        <w:rPr>
          <w:rFonts w:ascii="Arial" w:cs="Arial" w:eastAsia="Arial" w:hAnsi="Arial"/>
          <w:sz w:val="20"/>
          <w:szCs w:val="20"/>
        </w:rPr>
        <w:t xml:space="preserve">Reduced independence — reliance on 4-wheeled walker limits upper limb function and social participation</w:t>
      </w:r>
    </w:p>
    <w:p>
      <w:pPr>
        <w:pStyle w:val="ListParagraph"/>
        <w:numPr>
          <w:ilvl w:val="0"/>
          <w:numId w:val="2"/>
        </w:numPr>
        <w:spacing w:after="40" w:before="40"/>
      </w:pPr>
      <w:r>
        <w:rPr>
          <w:rFonts w:ascii="Arial" w:cs="Arial" w:eastAsia="Arial" w:hAnsi="Arial"/>
          <w:sz w:val="20"/>
          <w:szCs w:val="20"/>
        </w:rPr>
        <w:t xml:space="preserve">Fatigue-driven activity limitation — neurological fatigue rapidly diminishes walking capacity and confidence</w:t>
      </w:r>
    </w:p>
    <w:p>
      <w:pPr>
        <w:pStyle w:val="ListParagraph"/>
        <w:numPr>
          <w:ilvl w:val="0"/>
          <w:numId w:val="2"/>
        </w:numPr>
        <w:spacing w:after="40" w:before="40"/>
      </w:pPr>
      <w:r>
        <w:rPr>
          <w:rFonts w:ascii="Arial" w:cs="Arial" w:eastAsia="Arial" w:hAnsi="Arial"/>
          <w:sz w:val="20"/>
          <w:szCs w:val="20"/>
        </w:rPr>
        <w:t xml:space="preserve">Social isolation and reduced quality of life — inability to participate in community activities appropriate for a 35-year-old</w:t>
      </w:r>
    </w:p>
    <w:p>
      <w:pPr>
        <w:pStyle w:val="ListParagraph"/>
        <w:numPr>
          <w:ilvl w:val="0"/>
          <w:numId w:val="2"/>
        </w:numPr>
        <w:spacing w:after="40" w:before="40"/>
      </w:pPr>
      <w:r>
        <w:rPr>
          <w:rFonts w:ascii="Arial" w:cs="Arial" w:eastAsia="Arial" w:hAnsi="Arial"/>
          <w:sz w:val="20"/>
          <w:szCs w:val="20"/>
        </w:rPr>
        <w:t xml:space="preserve">Increased carer burden — family support required for community outings due to safety concerns</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A5.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30"/>
        <w:gridCol w:w="4730"/>
      </w:tblGrid>
      <w:tr>
        <w:tc>
          <w:tcPr>
            <w:tcW w:type="dxa" w:w="25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Intervention</w:t>
            </w:r>
          </w:p>
        </w:tc>
        <w:tc>
          <w:tcPr>
            <w:tcW w:type="dxa" w:w="21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Outcome</w:t>
            </w:r>
          </w:p>
        </w:tc>
        <w:tc>
          <w:tcPr>
            <w:tcW w:type="dxa" w:w="473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Reason Insufficient / Clinical Note</w:t>
            </w:r>
          </w:p>
        </w:tc>
      </w:tr>
      <w:tr>
        <w:tc>
          <w:tcPr>
            <w:tcW w:type="dxa" w:w="25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Off-the-shelf AFO (OAPL Supra-Lite)</w:t>
            </w:r>
          </w:p>
        </w:tc>
        <w:tc>
          <w:tcPr>
            <w:tcW w:type="dxa" w:w="21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Trialled — unsuccessful</w:t>
            </w:r>
          </w:p>
        </w:tc>
        <w:tc>
          <w:tcPr>
            <w:tcW w:type="dxa" w:w="4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Ill-fitting due to equinus contracture (−3° DF ROM); discomfort from spasticity; patient found device too bulky; did not adequately address inversion posture</w:t>
            </w:r>
          </w:p>
        </w:tc>
      </w:tr>
      <w:tr>
        <w:tc>
          <w:tcPr>
            <w:tcW w:type="dxa" w:w="25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Custom-Made AFO (Korthotics — in progress)</w:t>
            </w:r>
          </w:p>
        </w:tc>
        <w:tc>
          <w:tcPr>
            <w:tcW w:type="dxa" w:w="21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Pending NDIS orthotics funding</w:t>
            </w:r>
          </w:p>
        </w:tc>
        <w:tc>
          <w:tcPr>
            <w:tcW w:type="dxa" w:w="4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Being pursued concurrently; however M does not currently have NDIS orthotics funding. Even if funded, rigid/semi-rigid AFO provides passive support only — cannot replicate neuroplasticity-promoting benefits of FES. Does not address neuromuscular fatigue component.</w:t>
            </w:r>
          </w:p>
        </w:tc>
      </w:tr>
      <w:tr>
        <w:tc>
          <w:tcPr>
            <w:tcW w:type="dxa" w:w="25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Physiotherapy / Exercise alone</w:t>
            </w:r>
          </w:p>
        </w:tc>
        <w:tc>
          <w:tcPr>
            <w:tcW w:type="dxa" w:w="21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Ongoing — insufficient alone</w:t>
            </w:r>
          </w:p>
        </w:tc>
        <w:tc>
          <w:tcPr>
            <w:tcW w:type="dxa" w:w="473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 is engaged with physiotherapy. With 0/5 ankle dorsiflexion, voluntary movement cannot be recruited without external neuromuscular facilitation. FES provides active assistance beyond physiotherapy alone.</w:t>
            </w:r>
          </w:p>
        </w:tc>
      </w:tr>
      <w:tr>
        <w:tc>
          <w:tcPr>
            <w:tcW w:type="dxa" w:w="25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Bioness L300 Go FES System</w:t>
            </w:r>
          </w:p>
        </w:tc>
        <w:tc>
          <w:tcPr>
            <w:tcW w:type="dxa" w:w="213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In-clinic trial — POSITIVE</w:t>
            </w:r>
          </w:p>
        </w:tc>
        <w:tc>
          <w:tcPr>
            <w:tcW w:type="dxa" w:w="473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Demonstrated immediate improvement in foot clearance, stance stability, walking speed, and walking tolerance. Recommended for community trial.</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A6.  IN-CLINIC TRIAL — BIONESS L300 GO (24 SEPTEMBER 2025)</w:t>
      </w:r>
    </w:p>
    <w:p>
      <w:pPr>
        <w:spacing w:after="80" w:before="200"/>
      </w:pPr>
      <w:r>
        <w:rPr>
          <w:rFonts w:ascii="Arial" w:cs="Arial" w:eastAsia="Arial" w:hAnsi="Arial"/>
          <w:b/>
          <w:bCs/>
          <w:color w:val="17375E"/>
          <w:sz w:val="22"/>
          <w:szCs w:val="22"/>
        </w:rPr>
        <w:t xml:space="preserve">A6.1  Trial Setup</w:t>
      </w:r>
    </w:p>
    <w:p>
      <w:pPr>
        <w:spacing w:after="80" w:before="60"/>
      </w:pPr>
      <w:r>
        <w:rPr>
          <w:rFonts w:ascii="Arial" w:cs="Arial" w:eastAsia="Arial" w:hAnsi="Arial"/>
          <w:sz w:val="20"/>
          <w:szCs w:val="20"/>
        </w:rPr>
        <w:t xml:space="preserve">M attended Korthotics on 24 September 2025 accompanied by her mother and physiotherapist. The Bioness L300 Go was fitted to M's right lower limb. Electrode placement was optimised over the common peroneal nerve to elicit selective ankle dorsiflexion with appropriate foot eversion. Stimulation parameters were adjusted to achieve functional dorsiflexion throughout the swing phase without discomfort or undue co-contraction.</w:t>
      </w:r>
    </w:p>
    <w:p>
      <w:pPr>
        <w:spacing w:after="80" w:before="200"/>
      </w:pPr>
      <w:r>
        <w:rPr>
          <w:rFonts w:ascii="Arial" w:cs="Arial" w:eastAsia="Arial" w:hAnsi="Arial"/>
          <w:b/>
          <w:bCs/>
          <w:color w:val="17375E"/>
          <w:sz w:val="22"/>
          <w:szCs w:val="22"/>
        </w:rPr>
        <w:t xml:space="preserve">A6.2  In-Clinic Trial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Outcome Domain</w:t>
            </w:r>
          </w:p>
        </w:tc>
        <w:tc>
          <w:tcPr>
            <w:tcW w:type="dxa" w:w="32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Without L300 Go</w:t>
            </w:r>
          </w:p>
        </w:tc>
        <w:tc>
          <w:tcPr>
            <w:tcW w:type="dxa" w:w="32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With L300 Go</w:t>
            </w:r>
          </w:p>
        </w:tc>
      </w:tr>
      <w:tr>
        <w:tc>
          <w:tcPr>
            <w:tcW w:type="dxa" w:w="28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Foot Clearance in Swing</w:t>
            </w:r>
          </w:p>
        </w:tc>
        <w:tc>
          <w:tcPr>
            <w:tcW w:type="dxa" w:w="32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Absent — toe drag, foot inversion</w:t>
            </w:r>
          </w:p>
        </w:tc>
        <w:tc>
          <w:tcPr>
            <w:tcW w:type="dxa" w:w="32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Increased — full clearance achieved</w:t>
            </w:r>
          </w:p>
        </w:tc>
      </w:tr>
      <w:tr>
        <w:tc>
          <w:tcPr>
            <w:tcW w:type="dxa" w:w="28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Stance Phase Stability</w:t>
            </w:r>
          </w:p>
        </w:tc>
        <w:tc>
          <w:tcPr>
            <w:tcW w:type="dxa" w:w="32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Compromised — knee hyperextension</w:t>
            </w:r>
          </w:p>
        </w:tc>
        <w:tc>
          <w:tcPr>
            <w:tcW w:type="dxa" w:w="32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Improved — more controlled stance</w:t>
            </w:r>
          </w:p>
        </w:tc>
      </w:tr>
      <w:tr>
        <w:tc>
          <w:tcPr>
            <w:tcW w:type="dxa" w:w="28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Walking Speed</w:t>
            </w:r>
          </w:p>
        </w:tc>
        <w:tc>
          <w:tcPr>
            <w:tcW w:type="dxa" w:w="32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Reduced</w:t>
            </w:r>
          </w:p>
        </w:tc>
        <w:tc>
          <w:tcPr>
            <w:tcW w:type="dxa" w:w="32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Increased</w:t>
            </w:r>
          </w:p>
        </w:tc>
      </w:tr>
      <w:tr>
        <w:tc>
          <w:tcPr>
            <w:tcW w:type="dxa" w:w="28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Walking Tolerance / Endurance</w:t>
            </w:r>
          </w:p>
        </w:tc>
        <w:tc>
          <w:tcPr>
            <w:tcW w:type="dxa" w:w="32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Severely limited</w:t>
            </w:r>
          </w:p>
        </w:tc>
        <w:tc>
          <w:tcPr>
            <w:tcW w:type="dxa" w:w="32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r>
              <w:rPr>
                <w:rFonts w:ascii="Arial" w:cs="Arial" w:eastAsia="Arial" w:hAnsi="Arial"/>
                <w:b/>
                <w:bCs/>
                <w:color w:val="1E7145"/>
                <w:sz w:val="20"/>
                <w:szCs w:val="20"/>
              </w:rPr>
              <w:t xml:space="preserve">Walked approximately 5× further than usual</w:t>
            </w:r>
          </w:p>
          <w:p>
            <w:r>
              <w:rPr>
                <w:rFonts w:ascii="Arial" w:cs="Arial" w:eastAsia="Arial" w:hAnsi="Arial"/>
                <w:b w:val="false"/>
                <w:bCs w:val="false"/>
                <w:color w:val="000000"/>
                <w:sz w:val="20"/>
                <w:szCs w:val="20"/>
              </w:rPr>
              <w:t xml:space="preserve"> — significant reduction in perceived fatigue</w:t>
            </w:r>
          </w:p>
        </w:tc>
      </w:tr>
      <w:tr>
        <w:tc>
          <w:tcPr>
            <w:tcW w:type="dxa" w:w="28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Patient Feedback</w:t>
            </w:r>
          </w:p>
        </w:tc>
        <w:tc>
          <w:tcPr>
            <w:tcW w:type="dxa" w:w="32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N/A</w:t>
            </w:r>
          </w:p>
        </w:tc>
        <w:tc>
          <w:tcPr>
            <w:tcW w:type="dxa" w:w="32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Positive — M reported improved confidence and reduced effort</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A7.  EVIDENCE BASE FOR FES IN MS-RELATED FOOT DROP</w:t>
      </w:r>
    </w:p>
    <w:p>
      <w:pPr>
        <w:pStyle w:val="ListParagraph"/>
        <w:numPr>
          <w:ilvl w:val="0"/>
          <w:numId w:val="2"/>
        </w:numPr>
        <w:spacing w:after="40" w:before="40"/>
      </w:pPr>
      <w:r>
        <w:rPr>
          <w:rFonts w:ascii="Arial" w:cs="Arial" w:eastAsia="Arial" w:hAnsi="Arial"/>
          <w:sz w:val="20"/>
          <w:szCs w:val="20"/>
        </w:rPr>
        <w:t xml:space="preserve">Systematic review and meta-analysis (Archives of Physical Medicine and Rehabilitation, 2017): FES demonstrated statistically significant improvements in gait speed on short and long walking tests in MS, with both orthotic (immediate) and therapeutic (long-term training) effects established.</w:t>
      </w:r>
    </w:p>
    <w:p>
      <w:pPr>
        <w:pStyle w:val="ListParagraph"/>
        <w:numPr>
          <w:ilvl w:val="0"/>
          <w:numId w:val="2"/>
        </w:numPr>
        <w:spacing w:after="40" w:before="40"/>
      </w:pPr>
      <w:r>
        <w:rPr>
          <w:rFonts w:ascii="Arial" w:cs="Arial" w:eastAsia="Arial" w:hAnsi="Arial"/>
          <w:sz w:val="20"/>
          <w:szCs w:val="20"/>
        </w:rPr>
        <w:t xml:space="preserve">RCT pilot study (PLoS ONE, 2014): 12 weeks of habitual FES use produced statistically significant improvements in peak ankle dorsiflexion during swing (p=0.006), 10m walk test (p=0.006), and 2-minute walk test (p=0.002).</w:t>
      </w:r>
    </w:p>
    <w:p>
      <w:pPr>
        <w:pStyle w:val="ListParagraph"/>
        <w:numPr>
          <w:ilvl w:val="0"/>
          <w:numId w:val="2"/>
        </w:numPr>
        <w:spacing w:after="40" w:before="40"/>
      </w:pPr>
      <w:r>
        <w:rPr>
          <w:rFonts w:ascii="Arial" w:cs="Arial" w:eastAsia="Arial" w:hAnsi="Arial"/>
          <w:sz w:val="20"/>
          <w:szCs w:val="20"/>
        </w:rPr>
        <w:t xml:space="preserve">Feasibility study (Journal of Neuroengineering and Rehabilitation, 2015): FES resulted in walking distance improvements from 52m to 506m and from 517m to 1,884m, with both patients reporting reduced pain and fatigue.</w:t>
      </w:r>
    </w:p>
    <w:p>
      <w:pPr>
        <w:pStyle w:val="ListParagraph"/>
        <w:numPr>
          <w:ilvl w:val="0"/>
          <w:numId w:val="2"/>
        </w:numPr>
        <w:spacing w:after="40" w:before="40"/>
      </w:pPr>
      <w:r>
        <w:rPr>
          <w:rFonts w:ascii="Arial" w:cs="Arial" w:eastAsia="Arial" w:hAnsi="Arial"/>
          <w:sz w:val="20"/>
          <w:szCs w:val="20"/>
        </w:rPr>
        <w:t xml:space="preserve">FES improves gait performance, reduces physiological cost of walking, decreases fall frequency, and improves quality of life in MS (touchNEUROLOGY review, 2015).</w:t>
      </w:r>
    </w:p>
    <w:p>
      <w:pPr>
        <w:pStyle w:val="ListParagraph"/>
        <w:numPr>
          <w:ilvl w:val="0"/>
          <w:numId w:val="2"/>
        </w:numPr>
        <w:spacing w:after="40" w:before="40"/>
      </w:pPr>
      <w:r>
        <w:rPr>
          <w:rFonts w:ascii="Arial" w:cs="Arial" w:eastAsia="Arial" w:hAnsi="Arial"/>
          <w:sz w:val="20"/>
          <w:szCs w:val="20"/>
        </w:rPr>
        <w:t xml:space="preserve">Motor fatigability means clinical short-walk tests may underestimate foot drop severity; community trials using 6MWT are recommended to capture the full functional picture (van der Linden et al., 2018).</w:t>
      </w:r>
    </w:p>
    <w:p>
      <w:pPr>
        <w:spacing w:after="0" w:before="80"/>
      </w:pPr>
      <w:r>
        <w:rPr>
          <w:sz w:val="20"/>
          <w:szCs w:val="20"/>
        </w:rPr>
        <w:t xml:space="preserve"/>
      </w:r>
    </w:p>
    <w:p>
      <w:pPr>
        <w:spacing w:after="80" w:before="60"/>
      </w:pPr>
      <w:r>
        <w:rPr>
          <w:rFonts w:ascii="Arial" w:cs="Arial" w:eastAsia="Arial" w:hAnsi="Arial"/>
          <w:sz w:val="20"/>
          <w:szCs w:val="20"/>
        </w:rPr>
        <w:t xml:space="preserve">The Bioness L300 Go specifically offers 3D motion detection for precise gait-event-triggered stimulation, independent medial/lateral channel control to manage inversion posture, and a mobile monitoring application — features that are clinically advantageous for M's combined foot drop and inversion presentation.</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A8.  NDIS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Goal</w:t>
            </w:r>
          </w:p>
        </w:tc>
        <w:tc>
          <w:tcPr>
            <w:tcW w:type="dxa" w:w="84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Statement</w:t>
            </w:r>
          </w:p>
        </w:tc>
      </w:tr>
      <w:tr>
        <w:tc>
          <w:tcPr>
            <w:tcW w:type="dxa" w:w="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1</w:t>
            </w:r>
          </w:p>
        </w:tc>
        <w:tc>
          <w:tcPr>
            <w:tcW w:type="dxa" w:w="84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Increase my mobility, core strength and stability to prevent risk of falls and increase my independence.</w:t>
            </w:r>
          </w:p>
        </w:tc>
      </w:tr>
      <w:tr>
        <w:tc>
          <w:tcPr>
            <w:tcW w:type="dxa" w:w="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2</w:t>
            </w:r>
          </w:p>
        </w:tc>
        <w:tc>
          <w:tcPr>
            <w:tcW w:type="dxa" w:w="84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Lose weight with a special diet to increase my mobility.</w:t>
            </w:r>
          </w:p>
        </w:tc>
      </w:tr>
      <w:tr>
        <w:tc>
          <w:tcPr>
            <w:tcW w:type="dxa" w:w="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3</w:t>
            </w:r>
          </w:p>
        </w:tc>
        <w:tc>
          <w:tcPr>
            <w:tcW w:type="dxa" w:w="84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Be safe in my home.</w:t>
            </w:r>
          </w:p>
        </w:tc>
      </w:tr>
      <w:tr>
        <w:tc>
          <w:tcPr>
            <w:tcW w:type="dxa" w:w="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4</w:t>
            </w:r>
          </w:p>
        </w:tc>
        <w:tc>
          <w:tcPr>
            <w:tcW w:type="dxa" w:w="84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Learn coping skills to increase my independence.</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A9.  NDIS FUNDING CRITERIA — REASONABLE &amp; NECESSARY (INITIAL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NDIS Criterion</w:t>
            </w:r>
          </w:p>
        </w:tc>
        <w:tc>
          <w:tcPr>
            <w:tcW w:type="dxa" w:w="65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How This Request Meets the Criterion</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Related to disability</w:t>
            </w:r>
          </w:p>
        </w:tc>
        <w:tc>
          <w:tcPr>
            <w:tcW w:type="dxa" w:w="65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Foot drop is a direct consequence of MS-related upper motor neuron injury and corticospinal demyelination</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Represents value for money</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Community trial precedes full purchase, ensuring evidence-based investment. FES reduces future costs associated with falls, hospitalisation, and increasing carer support needs.</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Effective &amp; beneficial</w:t>
            </w:r>
          </w:p>
        </w:tc>
        <w:tc>
          <w:tcPr>
            <w:tcW w:type="dxa" w:w="65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In-clinic trial demonstrated 5× improvement in walking endurance. Strong peer-reviewed evidence base supports FES efficacy in MS-related foot drop.</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Considers informal supports</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M's mother provides carer support; the device aims to increase M's independence and reduce reliance on informal supports for community participation.</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Most appropriate way to meet need</w:t>
            </w:r>
          </w:p>
        </w:tc>
        <w:tc>
          <w:tcPr>
            <w:tcW w:type="dxa" w:w="65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Off-the-shelf AFO failed. Custom AFO is passive only. FES is the clinically recommended next intervention given 0/5 dorsiflexion strength.</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A10.  PROPOSED COMMUNITY TRIAL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Trial Duration:</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8–12 weeks</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Device:</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Bioness L300 Go FES System (right lower limb)</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Trial Environment:</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Home and community settings (indoor and outdoor surfaces)</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Outcome Measures:</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10m Walk Test (10MWT), Timed Up and Go (TUG), 6-Minute Walk Test (6MWT), DGI, PSFS, patient-reported outcomes, fall diary</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Monitoring:</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Fortnightly review with prescribing orthotist; physiotherapist to monitor gait quality and neuroplastic outcomes</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Outcome of Trial:</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Outcome report submitted to NDIS to support consideration of device purchase funding</w:t>
            </w:r>
          </w:p>
        </w:tc>
      </w:tr>
    </w:tbl>
    <w:p>
      <w:pPr>
        <w:spacing w:after="0" w:before="10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2CC" w:val="clear"/>
            <w:tcMar>
              <w:top w:type="dxa" w:w="160"/>
              <w:left w:type="dxa" w:w="280"/>
              <w:bottom w:type="dxa" w:w="160"/>
              <w:right w:type="dxa" w:w="280"/>
            </w:tcMar>
          </w:tcPr>
          <w:p>
            <w:pPr>
              <w:spacing w:after="60"/>
            </w:pPr>
            <w:r>
              <w:rPr>
                <w:rFonts w:ascii="Arial" w:cs="Arial" w:eastAsia="Arial" w:hAnsi="Arial"/>
                <w:b w:val="false"/>
                <w:bCs w:val="false"/>
                <w:color w:val="555555"/>
                <w:sz w:val="20"/>
                <w:szCs w:val="20"/>
              </w:rPr>
              <w:t xml:space="preserve">Part B of this report presents the community trial outcome data gathered over the 8-week trial period and 3-week washout phase, fulfilling the above community trial plan.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B — COMMUNITY TRIAL OUTCOME REPORT</w:t>
            </w:r>
          </w:p>
        </w:tc>
      </w:tr>
    </w:tbl>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BACE" w:sz="1"/>
              <w:left w:val="single" w:color="A0BACE" w:sz="1"/>
              <w:bottom w:val="single" w:color="A0BACE" w:sz="1"/>
              <w:right w:val="single" w:color="A0BACE" w:sz="1"/>
            </w:tcBorders>
            <w:shd w:fill="F5F5F5" w:val="clear"/>
            <w:tcMar>
              <w:top w:type="dxa" w:w="160"/>
              <w:left w:type="dxa" w:w="280"/>
              <w:bottom w:type="dxa" w:w="160"/>
              <w:right w:type="dxa" w:w="280"/>
            </w:tcMar>
          </w:tcPr>
          <w:p>
            <w:pPr>
              <w:spacing w:after="60"/>
            </w:pPr>
            <w:r>
              <w:rPr>
                <w:rFonts w:ascii="Arial" w:cs="Arial" w:eastAsia="Arial" w:hAnsi="Arial"/>
                <w:b w:val="false"/>
                <w:bCs w:val="false"/>
                <w:color w:val="333333"/>
                <w:sz w:val="20"/>
                <w:szCs w:val="20"/>
              </w:rPr>
              <w:t xml:space="preserve">This section presents the outcomes of the 8-week Bioness L300 Go community trial (18 March – 11 May 2026) and 3-week washout period (12 May – 1 June 2026), including objective outcome measures, logbook data, patient and carer feedback, and clinical recommendation for device purchase.</w:t>
            </w:r>
          </w:p>
        </w:tc>
      </w:tr>
    </w:tbl>
    <w:p>
      <w:pPr>
        <w:spacing w:after="0" w:before="12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B1.  OBJECTIVE OUTCOME MEASURES (PHYSIOTHERAPIST ASSESSMENT)</w:t>
      </w:r>
    </w:p>
    <w:p>
      <w:pPr>
        <w:spacing w:after="80" w:before="60"/>
      </w:pPr>
      <w:r>
        <w:rPr>
          <w:rFonts w:ascii="Arial" w:cs="Arial" w:eastAsia="Arial" w:hAnsi="Arial"/>
          <w:sz w:val="20"/>
          <w:szCs w:val="20"/>
        </w:rPr>
        <w:t xml:space="preserve">All outcome measures were administered by M's physiotherapist at pre-trial, mid-trial (Week 4), end of trial (Week 8), and post-trial (4 weeks post-washout). All functional assessments conducted with 4-wheeled walker.</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Outcome Measure</w:t>
            </w:r>
          </w:p>
        </w:tc>
        <w:tc>
          <w:tcPr>
            <w:tcW w:type="dxa" w:w="179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Pre-Trial</w:t>
            </w:r>
          </w:p>
        </w:tc>
        <w:tc>
          <w:tcPr>
            <w:tcW w:type="dxa" w:w="179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Mid-Trial (Wk 4)</w:t>
            </w:r>
          </w:p>
        </w:tc>
        <w:tc>
          <w:tcPr>
            <w:tcW w:type="dxa" w:w="179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End of Trial (Wk 8)</w:t>
            </w:r>
          </w:p>
        </w:tc>
        <w:tc>
          <w:tcPr>
            <w:tcW w:type="dxa" w:w="179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Post-Trial (4 wk washout)</w:t>
            </w:r>
          </w:p>
        </w:tc>
      </w:tr>
      <w:tr>
        <w:tc>
          <w:tcPr>
            <w:tcW w:type="dxa" w:w="2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Timed Up &amp; Go (TUG)</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42.57 sec
8 steps to turn</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43.52 sec</w:t>
            </w:r>
          </w:p>
        </w:tc>
        <w:tc>
          <w:tcPr>
            <w:tcW w:type="dxa" w:w="179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33.11 sec ↓22%</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35.42 sec</w:t>
            </w:r>
          </w:p>
        </w:tc>
      </w:tr>
      <w:tr>
        <w:tc>
          <w:tcPr>
            <w:tcW w:type="dxa" w:w="2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30s Sit-to-Stand (30s STS)</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c>
          <w:tcPr>
            <w:tcW w:type="dxa" w:w="179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10 ↑</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9</w:t>
            </w:r>
          </w:p>
        </w:tc>
      </w:tr>
      <w:tr>
        <w:tc>
          <w:tcPr>
            <w:tcW w:type="dxa" w:w="2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10m Walk Test (10MWT)</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35.19 sec
24 steps</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28.5 sec
29 steps</w:t>
            </w:r>
          </w:p>
        </w:tc>
        <w:tc>
          <w:tcPr>
            <w:tcW w:type="dxa" w:w="179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29.31 sec
29 steps ↑</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31 sec
29 steps</w:t>
            </w:r>
          </w:p>
        </w:tc>
      </w:tr>
      <w:tr>
        <w:tc>
          <w:tcPr>
            <w:tcW w:type="dxa" w:w="2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6-Minute Walk Test (6MWT)</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57 m</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60 m</w:t>
            </w:r>
          </w:p>
        </w:tc>
        <w:tc>
          <w:tcPr>
            <w:tcW w:type="dxa" w:w="179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90 m ↑58%</w:t>
            </w:r>
          </w:p>
        </w:tc>
        <w:tc>
          <w:tcPr>
            <w:tcW w:type="dxa" w:w="179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75 m</w:t>
            </w:r>
          </w:p>
        </w:tc>
      </w:tr>
      <w:tr>
        <w:tc>
          <w:tcPr>
            <w:tcW w:type="dxa" w:w="2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Dynamic Gait Index (DGI /24)</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11/24</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14/24</w:t>
            </w:r>
          </w:p>
        </w:tc>
        <w:tc>
          <w:tcPr>
            <w:tcW w:type="dxa" w:w="179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~14/24 ↑</w:t>
            </w:r>
          </w:p>
        </w:tc>
        <w:tc>
          <w:tcPr>
            <w:tcW w:type="dxa" w:w="179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12/24</w:t>
            </w:r>
          </w:p>
        </w:tc>
      </w:tr>
    </w:tbl>
    <w:p>
      <w:pPr>
        <w:spacing w:after="0" w:before="100"/>
      </w:pPr>
      <w:r>
        <w:rPr>
          <w:sz w:val="20"/>
          <w:szCs w:val="20"/>
        </w:rPr>
        <w:t xml:space="preserve"/>
      </w:r>
    </w:p>
    <w:p>
      <w:pPr>
        <w:spacing w:after="80" w:before="60"/>
      </w:pPr>
      <w:r>
        <w:rPr>
          <w:rFonts w:ascii="Arial" w:cs="Arial" w:eastAsia="Arial" w:hAnsi="Arial"/>
          <w:sz w:val="20"/>
          <w:szCs w:val="20"/>
        </w:rPr>
        <w:t xml:space="preserve">Key findings: The 6MWT demonstrated a 58% increase in walking distance (57m → 90m), the most clinically significant improvement. TUG improved 22% (42.57 → 33.11 sec). All measures regressed toward pre-trial baseline following the 3-week washout, confirming device-dependent functional gains.</w:t>
      </w:r>
    </w:p>
    <w:p>
      <w:pPr>
        <w:spacing w:after="0" w:before="80"/>
      </w:pPr>
      <w:r>
        <w:rPr>
          <w:sz w:val="20"/>
          <w:szCs w:val="20"/>
        </w:rPr>
        <w:t xml:space="preserve"/>
      </w:r>
    </w:p>
    <w:p>
      <w:pPr>
        <w:spacing w:after="80" w:before="200"/>
      </w:pPr>
      <w:r>
        <w:rPr>
          <w:rFonts w:ascii="Arial" w:cs="Arial" w:eastAsia="Arial" w:hAnsi="Arial"/>
          <w:b/>
          <w:bCs/>
          <w:color w:val="17375E"/>
          <w:sz w:val="22"/>
          <w:szCs w:val="22"/>
        </w:rPr>
        <w:t xml:space="preserve">B1.1  Patient-Specific Functional Scale (PSFS)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c>
          <w:tcPr>
            <w:tcW w:type="dxa" w:w="31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Patient-Identified Activity</w:t>
            </w:r>
          </w:p>
        </w:tc>
        <w:tc>
          <w:tcPr>
            <w:tcW w:type="dxa" w:w="20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Initial
(Pre-trial)</w:t>
            </w:r>
          </w:p>
        </w:tc>
        <w:tc>
          <w:tcPr>
            <w:tcW w:type="dxa" w:w="20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Mid-Trial
(Wk 4)</w:t>
            </w:r>
          </w:p>
        </w:tc>
        <w:tc>
          <w:tcPr>
            <w:tcW w:type="dxa" w:w="22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 Wks Post
Washout</w:t>
            </w:r>
          </w:p>
        </w:tc>
      </w:tr>
      <w:tr>
        <w:tc>
          <w:tcPr>
            <w:tcW w:type="dxa" w:w="3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to corner shops from home</w:t>
            </w:r>
          </w:p>
        </w:tc>
        <w:tc>
          <w:tcPr>
            <w:tcW w:type="dxa" w:w="20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0/10</w:t>
            </w:r>
          </w:p>
        </w:tc>
        <w:tc>
          <w:tcPr>
            <w:tcW w:type="dxa" w:w="200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6/10</w:t>
            </w:r>
          </w:p>
        </w:tc>
        <w:tc>
          <w:tcPr>
            <w:tcW w:type="dxa" w:w="22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1/10</w:t>
            </w:r>
          </w:p>
        </w:tc>
      </w:tr>
      <w:tr>
        <w:tc>
          <w:tcPr>
            <w:tcW w:type="dxa" w:w="3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on uneven surfaces</w:t>
            </w:r>
          </w:p>
        </w:tc>
        <w:tc>
          <w:tcPr>
            <w:tcW w:type="dxa" w:w="20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2/10</w:t>
            </w:r>
          </w:p>
        </w:tc>
        <w:tc>
          <w:tcPr>
            <w:tcW w:type="dxa" w:w="200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7/10</w:t>
            </w:r>
          </w:p>
        </w:tc>
        <w:tc>
          <w:tcPr>
            <w:tcW w:type="dxa" w:w="22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2/10</w:t>
            </w:r>
          </w:p>
        </w:tc>
      </w:tr>
      <w:tr>
        <w:tc>
          <w:tcPr>
            <w:tcW w:type="dxa" w:w="3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Confidence walking to/navigating medical appointments</w:t>
            </w:r>
          </w:p>
        </w:tc>
        <w:tc>
          <w:tcPr>
            <w:tcW w:type="dxa" w:w="20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1/10</w:t>
            </w:r>
          </w:p>
        </w:tc>
        <w:tc>
          <w:tcPr>
            <w:tcW w:type="dxa" w:w="200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8/10</w:t>
            </w:r>
          </w:p>
        </w:tc>
        <w:tc>
          <w:tcPr>
            <w:tcW w:type="dxa" w:w="22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1/10</w:t>
            </w:r>
          </w:p>
        </w:tc>
      </w:tr>
      <w:tr>
        <w:tc>
          <w:tcPr>
            <w:tcW w:type="dxa" w:w="3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Confidence to walk at local Westfield</w:t>
            </w:r>
          </w:p>
        </w:tc>
        <w:tc>
          <w:tcPr>
            <w:tcW w:type="dxa" w:w="20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0/10</w:t>
            </w:r>
          </w:p>
        </w:tc>
        <w:tc>
          <w:tcPr>
            <w:tcW w:type="dxa" w:w="20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3/10</w:t>
            </w:r>
          </w:p>
        </w:tc>
        <w:tc>
          <w:tcPr>
            <w:tcW w:type="dxa" w:w="22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0/10</w:t>
            </w:r>
          </w:p>
        </w:tc>
      </w:tr>
      <w:tr>
        <w:tc>
          <w:tcPr>
            <w:tcW w:type="dxa" w:w="3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Able to do stairs</w:t>
            </w:r>
          </w:p>
        </w:tc>
        <w:tc>
          <w:tcPr>
            <w:tcW w:type="dxa" w:w="20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2/10</w:t>
            </w:r>
          </w:p>
        </w:tc>
        <w:tc>
          <w:tcPr>
            <w:tcW w:type="dxa" w:w="200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5/10</w:t>
            </w:r>
          </w:p>
        </w:tc>
        <w:tc>
          <w:tcPr>
            <w:tcW w:type="dxa" w:w="22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2/10</w:t>
            </w:r>
          </w:p>
        </w:tc>
      </w:tr>
    </w:tbl>
    <w:p>
      <w:pPr>
        <w:spacing w:after="0" w:before="80"/>
      </w:pPr>
      <w:r>
        <w:rPr>
          <w:sz w:val="20"/>
          <w:szCs w:val="20"/>
        </w:rPr>
        <w:t xml:space="preserve"/>
      </w:r>
    </w:p>
    <w:p>
      <w:pPr>
        <w:spacing w:after="80" w:before="60"/>
      </w:pPr>
      <w:r>
        <w:rPr>
          <w:rFonts w:ascii="Arial" w:cs="Arial" w:eastAsia="Arial" w:hAnsi="Arial"/>
          <w:sz w:val="20"/>
          <w:szCs w:val="20"/>
        </w:rPr>
        <w:t xml:space="preserve">PSFS scores regressed to near-baseline at 4-week post-washout assessment, confirming functional gains were device-dependent and not retained through neuroplastic carry-over alone.</w:t>
      </w:r>
    </w:p>
    <w:p>
      <w:pPr>
        <w:spacing w:after="0" w:before="80"/>
      </w:pPr>
      <w:r>
        <w:rPr>
          <w:sz w:val="20"/>
          <w:szCs w:val="20"/>
        </w:rPr>
        <w:t xml:space="preserve"/>
      </w:r>
    </w:p>
    <w:p>
      <w:pPr>
        <w:spacing w:after="80" w:before="200"/>
      </w:pPr>
      <w:r>
        <w:rPr>
          <w:rFonts w:ascii="Arial" w:cs="Arial" w:eastAsia="Arial" w:hAnsi="Arial"/>
          <w:b/>
          <w:bCs/>
          <w:color w:val="17375E"/>
          <w:sz w:val="22"/>
          <w:szCs w:val="22"/>
        </w:rPr>
        <w:t xml:space="preserve">B1.2  Activities-Specific Balance Confidence (ABC) Scale — 4-Week Post-Trial</w:t>
      </w:r>
    </w:p>
    <w:p>
      <w:pPr>
        <w:spacing w:after="80" w:before="60"/>
      </w:pPr>
      <w:r>
        <w:rPr>
          <w:rFonts w:ascii="Arial" w:cs="Arial" w:eastAsia="Arial" w:hAnsi="Arial"/>
          <w:sz w:val="20"/>
          <w:szCs w:val="20"/>
        </w:rPr>
        <w:t xml:space="preserve">Completed 4 weeks post-trial. Total ABC score: 290/1600 = 18.1% overall balance confidence. A score below 67% is associated with high fall risk (Powell &amp; Myers, 1995). Selected community mobility scores:</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Activity</w:t>
            </w:r>
          </w:p>
        </w:tc>
        <w:tc>
          <w:tcPr>
            <w:tcW w:type="dxa" w:w="32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Confidence Score</w:t>
            </w:r>
          </w:p>
        </w:tc>
      </w:tr>
      <w:tr>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around the house</w:t>
            </w:r>
          </w:p>
        </w:tc>
        <w:tc>
          <w:tcPr>
            <w:tcW w:type="dxa" w:w="32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70%</w:t>
            </w:r>
          </w:p>
        </w:tc>
      </w:tr>
      <w:tr>
        <w:tc>
          <w:tcPr>
            <w:tcW w:type="dxa" w:w="6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up or down stairs</w:t>
            </w:r>
          </w:p>
        </w:tc>
        <w:tc>
          <w:tcPr>
            <w:tcW w:type="dxa" w:w="32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w:t>
            </w:r>
          </w:p>
        </w:tc>
      </w:tr>
      <w:tr>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outside the house to car in driveway</w:t>
            </w:r>
          </w:p>
        </w:tc>
        <w:tc>
          <w:tcPr>
            <w:tcW w:type="dxa" w:w="32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20%</w:t>
            </w:r>
          </w:p>
        </w:tc>
      </w:tr>
      <w:tr>
        <w:tc>
          <w:tcPr>
            <w:tcW w:type="dxa" w:w="6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 across a parking lot to the mall</w:t>
            </w:r>
          </w:p>
        </w:tc>
        <w:tc>
          <w:tcPr>
            <w:tcW w:type="dxa" w:w="32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10%</w:t>
            </w:r>
          </w:p>
        </w:tc>
      </w:tr>
      <w:tr>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Being bumped by people in a crowded mall</w:t>
            </w:r>
          </w:p>
        </w:tc>
        <w:tc>
          <w:tcPr>
            <w:tcW w:type="dxa" w:w="320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0%</w:t>
            </w:r>
          </w:p>
        </w:tc>
      </w:tr>
      <w:tr>
        <w:tc>
          <w:tcPr>
            <w:tcW w:type="dxa" w:w="6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Step onto/off an escalator</w:t>
            </w:r>
          </w:p>
        </w:tc>
        <w:tc>
          <w:tcPr>
            <w:tcW w:type="dxa" w:w="320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0%</w:t>
            </w:r>
          </w:p>
        </w:tc>
      </w:tr>
      <w:tr>
        <w:tc>
          <w:tcPr>
            <w:tcW w:type="dxa" w:w="616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TOTAL ABC SCORE</w:t>
            </w:r>
          </w:p>
        </w:tc>
        <w:tc>
          <w:tcPr>
            <w:tcW w:type="dxa" w:w="320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18.1% — HIGH FALL RISK</w:t>
            </w:r>
          </w:p>
        </w:tc>
      </w:tr>
    </w:tbl>
    <w:p>
      <w:pPr>
        <w:spacing w:after="0" w:before="80"/>
      </w:pPr>
      <w:r>
        <w:rPr>
          <w:sz w:val="20"/>
          <w:szCs w:val="20"/>
        </w:rPr>
        <w:t xml:space="preserve"/>
      </w:r>
    </w:p>
    <w:p>
      <w:pPr>
        <w:spacing w:after="80" w:before="200"/>
      </w:pPr>
      <w:r>
        <w:rPr>
          <w:rFonts w:ascii="Arial" w:cs="Arial" w:eastAsia="Arial" w:hAnsi="Arial"/>
          <w:b/>
          <w:bCs/>
          <w:color w:val="17375E"/>
          <w:sz w:val="22"/>
          <w:szCs w:val="22"/>
        </w:rPr>
        <w:t xml:space="preserve">B1.3  Falls Efficacy Scale (FES) — 4-Week Post-Trial</w:t>
      </w:r>
    </w:p>
    <w:p>
      <w:pPr>
        <w:spacing w:after="80" w:before="60"/>
      </w:pPr>
      <w:r>
        <w:rPr>
          <w:rFonts w:ascii="Arial" w:cs="Arial" w:eastAsia="Arial" w:hAnsi="Arial"/>
          <w:sz w:val="20"/>
          <w:szCs w:val="20"/>
        </w:rPr>
        <w:t xml:space="preserve">Total FES score: 42/100. A score greater than 70 indicates clinically significant fear of falling (Tinetti et al., 1990). M's score of 42 reflects moderate fear across daily activities. Elevated scores for preparing meals involving carrying (7/10), answering the door (6/10), and bathing (6/10) indicate fall fear extending beyond ambulation to basic ADLs.</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B2.  COMMUNITY TRIAL LOGBOOK SUMMARY — PHASE 1 (8 WEEKS WITH BIONESS)</w:t>
      </w:r>
    </w:p>
    <w:p>
      <w:pPr>
        <w:spacing w:after="80" w:before="200"/>
      </w:pPr>
      <w:r>
        <w:rPr>
          <w:rFonts w:ascii="Arial" w:cs="Arial" w:eastAsia="Arial" w:hAnsi="Arial"/>
          <w:b/>
          <w:bCs/>
          <w:color w:val="17375E"/>
          <w:sz w:val="22"/>
          <w:szCs w:val="22"/>
        </w:rPr>
        <w:t xml:space="preserve">B2.1  Weekly Overview — Safety, Endurance &amp;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680"/>
        <w:gridCol w:w="1680"/>
        <w:gridCol w:w="1680"/>
        <w:gridCol w:w="3540"/>
      </w:tblGrid>
      <w:tr>
        <w:tc>
          <w:tcPr>
            <w:tcW w:type="dxa" w:w="7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Wk</w:t>
            </w:r>
          </w:p>
        </w:tc>
        <w:tc>
          <w:tcPr>
            <w:tcW w:type="dxa" w:w="16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Walking Safety
(vs no Bioness)</w:t>
            </w:r>
          </w:p>
        </w:tc>
        <w:tc>
          <w:tcPr>
            <w:tcW w:type="dxa" w:w="16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Walking
Endurance</w:t>
            </w:r>
          </w:p>
        </w:tc>
        <w:tc>
          <w:tcPr>
            <w:tcW w:type="dxa" w:w="16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Fatigue</w:t>
            </w:r>
          </w:p>
        </w:tc>
        <w:tc>
          <w:tcPr>
            <w:tcW w:type="dxa" w:w="354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Key Activities &amp; Highlights</w:t>
            </w:r>
          </w:p>
        </w:tc>
      </w:tr>
      <w:tr>
        <w:tc>
          <w:tcPr>
            <w:tcW w:type="dxa" w:w="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1</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Disagreed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Home + outdoor decking. 134–776 steps/day. Foot lifting notably improved from Day 3.</w:t>
            </w:r>
          </w:p>
        </w:tc>
      </w:tr>
      <w:tr>
        <w:tc>
          <w:tcPr>
            <w:tcW w:type="dxa" w:w="7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2</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Not recorded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Community: doctors, nursing home, outdoor footpaths. 334–410 steps. Improving confidence.</w:t>
            </w:r>
          </w:p>
        </w:tc>
      </w:tr>
      <w:tr>
        <w:tc>
          <w:tcPr>
            <w:tcW w:type="dxa" w:w="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3</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Not recorded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DFO Liverpool, nail salon. 290–640 steps. 'Not dragging right foot.' Anxiety noted in community.</w:t>
            </w:r>
          </w:p>
        </w:tc>
      </w:tr>
      <w:tr>
        <w:tc>
          <w:tcPr>
            <w:tcW w:type="dxa" w:w="7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4</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'Feel more steady and confident with Bioness on.' 934–1,504 steps/day. Thigh cuff discomfort noted.</w:t>
            </w:r>
          </w:p>
        </w:tc>
      </w:tr>
      <w:tr>
        <w:tc>
          <w:tcPr>
            <w:tcW w:type="dxa" w:w="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5</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MS Clinic Liverpool Hospital: 1,688 steps (28 min walk). Physio walk down street + return. Easier walking + balance on different surfaces.</w:t>
            </w:r>
          </w:p>
        </w:tc>
      </w:tr>
      <w:tr>
        <w:tc>
          <w:tcPr>
            <w:tcW w:type="dxa" w:w="7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6</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center"/>
            </w:pPr>
            <w:r>
              <w:rPr>
                <w:rFonts w:ascii="Arial" w:cs="Arial" w:eastAsia="Arial" w:hAnsi="Arial"/>
                <w:b/>
                <w:bCs/>
                <w:color w:val="1E7145"/>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Shoalhaven Heads holiday — climbed into 4WD, shops on uneven path (1,028 steps, gravel). Social outings with family.</w:t>
            </w:r>
          </w:p>
        </w:tc>
      </w:tr>
      <w:tr>
        <w:tc>
          <w:tcPr>
            <w:tcW w:type="dxa" w:w="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7</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Strongly Agreed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Not recorded</w:t>
            </w:r>
          </w:p>
        </w:tc>
        <w:tc>
          <w:tcPr>
            <w:tcW w:type="dxa" w:w="16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Increased</w:t>
            </w:r>
          </w:p>
        </w:tc>
        <w:tc>
          <w:tcPr>
            <w:tcW w:type="dxa" w:w="354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Hairdresser (868 steps, steep driveway). Nursing home visit (928 steps, ramps). 1,268 steps home/yard.</w:t>
            </w:r>
          </w:p>
        </w:tc>
      </w:tr>
      <w:tr>
        <w:tc>
          <w:tcPr>
            <w:tcW w:type="dxa" w:w="7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8</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Agreed</w:t>
            </w:r>
          </w:p>
        </w:tc>
        <w:tc>
          <w:tcPr>
            <w:tcW w:type="dxa" w:w="16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No Change</w:t>
            </w:r>
          </w:p>
        </w:tc>
        <w:tc>
          <w:tcPr>
            <w:tcW w:type="dxa" w:w="354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Mother's Day outing 1,334 steps. NSW Services 686 steps. Grandmother nursing home 324 steps. Fatigue and emotional exhaustion in final week.</w:t>
            </w:r>
          </w:p>
        </w:tc>
      </w:tr>
    </w:tbl>
    <w:p>
      <w:pPr>
        <w:spacing w:after="0" w:before="80"/>
      </w:pPr>
      <w:r>
        <w:rPr>
          <w:sz w:val="20"/>
          <w:szCs w:val="20"/>
        </w:rPr>
        <w:t xml:space="preserve"/>
      </w:r>
    </w:p>
    <w:p>
      <w:pPr>
        <w:spacing w:after="80" w:before="200"/>
      </w:pPr>
      <w:r>
        <w:rPr>
          <w:rFonts w:ascii="Arial" w:cs="Arial" w:eastAsia="Arial" w:hAnsi="Arial"/>
          <w:b/>
          <w:bCs/>
          <w:color w:val="17375E"/>
          <w:sz w:val="22"/>
          <w:szCs w:val="22"/>
        </w:rPr>
        <w:t xml:space="preserve">B2.2  Falls &amp; Safety Events — Phase 1 (8 Weeks With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Period</w:t>
            </w:r>
          </w:p>
        </w:tc>
        <w:tc>
          <w:tcPr>
            <w:tcW w:type="dxa" w:w="77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Safety Record</w:t>
            </w:r>
          </w:p>
        </w:tc>
      </w:tr>
      <w:tr>
        <w:tc>
          <w:tcPr>
            <w:tcW w:type="dxa" w:w="16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Weeks 1–8</w:t>
            </w:r>
          </w:p>
        </w:tc>
        <w:tc>
          <w:tcPr>
            <w:tcW w:type="dxa" w:w="77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ZERO falls recorded across the full 8-week active trial period, despite engagement across diverse community environments including ramps, steps, uneven surfaces, shopping centres, hospitals, and outdoor footpaths.</w:t>
            </w:r>
          </w:p>
        </w:tc>
      </w:tr>
      <w:tr>
        <w:tc>
          <w:tcPr>
            <w:tcW w:type="dxa" w:w="16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Near-falls
(×2)</w:t>
            </w:r>
          </w:p>
        </w:tc>
        <w:tc>
          <w:tcPr>
            <w:tcW w:type="dxa" w:w="77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Two near-falls occurred on very warm days (30°C) BEFORE the Bioness was applied. Consistent with Uhthoff's phenomenon (heat-induced MS symptom worsening). Not attributable to device failure.</w:t>
            </w:r>
          </w:p>
        </w:tc>
      </w:tr>
      <w:tr>
        <w:tc>
          <w:tcPr>
            <w:tcW w:type="dxa" w:w="16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Device issues</w:t>
            </w:r>
          </w:p>
        </w:tc>
        <w:tc>
          <w:tcPr>
            <w:tcW w:type="dxa" w:w="77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Thigh cuff skin irritation/marks noted Weeks 4–5 — resolved through foam padding modification at Korthotics review Week 5. No technical device failures reported.</w:t>
            </w:r>
          </w:p>
        </w:tc>
      </w:tr>
    </w:tbl>
    <w:p>
      <w:pPr>
        <w:spacing w:after="0" w:before="80"/>
      </w:pPr>
      <w:r>
        <w:rPr>
          <w:sz w:val="20"/>
          <w:szCs w:val="20"/>
        </w:rPr>
        <w:t xml:space="preserve"/>
      </w:r>
    </w:p>
    <w:p>
      <w:pPr>
        <w:spacing w:after="80" w:before="200"/>
      </w:pPr>
      <w:r>
        <w:rPr>
          <w:rFonts w:ascii="Arial" w:cs="Arial" w:eastAsia="Arial" w:hAnsi="Arial"/>
          <w:b/>
          <w:bCs/>
          <w:color w:val="17375E"/>
          <w:sz w:val="22"/>
          <w:szCs w:val="22"/>
        </w:rPr>
        <w:t xml:space="preserve">B2.3  End-of-Trial Patient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Question</w:t>
            </w:r>
          </w:p>
        </w:tc>
        <w:tc>
          <w:tcPr>
            <w:tcW w:type="dxa" w:w="61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M's Response</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Activities now possible with Bioness:</w:t>
            </w:r>
          </w:p>
        </w:tc>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r>
              <w:rPr>
                <w:rFonts w:ascii="Arial" w:cs="Arial" w:eastAsia="Arial" w:hAnsi="Arial"/>
                <w:b w:val="false"/>
                <w:bCs w:val="false"/>
                <w:color w:val="000000"/>
                <w:sz w:val="20"/>
                <w:szCs w:val="20"/>
              </w:rPr>
              <w:t xml:space="preserve">Walking longer distances, attending appointments, outdoor walking, social outings.</w:t>
            </w:r>
          </w:p>
          <w:p>
            <w:r>
              <w:rPr>
                <w:rFonts w:ascii="Arial" w:cs="Arial" w:eastAsia="Arial" w:hAnsi="Arial"/>
                <w:b/>
                <w:bCs/>
                <w:color w:val="000000"/>
                <w:sz w:val="20"/>
                <w:szCs w:val="20"/>
              </w:rPr>
              <w:t xml:space="preserve"> Marked ticks on all four categories.</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Risk of tripping/falling with Bioness:</w:t>
            </w:r>
          </w:p>
        </w:tc>
        <w:tc>
          <w:tcPr>
            <w:tcW w:type="dxa" w:w="616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bCs/>
                <w:color w:val="1E7145"/>
                <w:sz w:val="20"/>
                <w:szCs w:val="20"/>
              </w:rPr>
              <w:t xml:space="preserve">Much lower</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Is Bioness necessary for daily community mobility?</w:t>
            </w:r>
          </w:p>
        </w:tc>
        <w:tc>
          <w:tcPr>
            <w:tcW w:type="dxa" w:w="616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bCs/>
                <w:color w:val="1E7145"/>
                <w:sz w:val="20"/>
                <w:szCs w:val="20"/>
              </w:rPr>
              <w:t xml:space="preserve">YES</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Would you continue using long-term?</w:t>
            </w:r>
          </w:p>
        </w:tc>
        <w:tc>
          <w:tcPr>
            <w:tcW w:type="dxa" w:w="6160"/>
            <w:tcBorders>
              <w:top w:val="single" w:color="A0BACE" w:sz="1"/>
              <w:left w:val="single" w:color="A0BACE" w:sz="1"/>
              <w:bottom w:val="single" w:color="A0BACE" w:sz="1"/>
              <w:right w:val="single" w:color="A0BACE" w:sz="1"/>
            </w:tcBorders>
            <w:shd w:fill="E2EFDA" w:val="clear"/>
            <w:tcMar>
              <w:top w:type="dxa" w:w="80"/>
              <w:left w:type="dxa" w:w="130"/>
              <w:bottom w:type="dxa" w:w="80"/>
              <w:right w:type="dxa" w:w="130"/>
            </w:tcMar>
            <w:vAlign w:val="center"/>
          </w:tcPr>
          <w:p>
            <w:pPr>
              <w:jc w:val="left"/>
            </w:pPr>
            <w:r>
              <w:rPr>
                <w:rFonts w:ascii="Arial" w:cs="Arial" w:eastAsia="Arial" w:hAnsi="Arial"/>
                <w:b/>
                <w:bCs/>
                <w:color w:val="1E7145"/>
                <w:sz w:val="20"/>
                <w:szCs w:val="20"/>
              </w:rPr>
              <w:t xml:space="preserve">YES</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B3.  WASHOUT PHASE SUMMARY — PHASE 2 (3 WEEKS WITHOUT BIONESS)</w:t>
      </w:r>
    </w:p>
    <w:p>
      <w:pPr>
        <w:spacing w:after="80" w:before="60"/>
      </w:pPr>
      <w:r>
        <w:rPr>
          <w:rFonts w:ascii="Arial" w:cs="Arial" w:eastAsia="Arial" w:hAnsi="Arial"/>
          <w:sz w:val="20"/>
          <w:szCs w:val="20"/>
        </w:rPr>
        <w:t xml:space="preserve">Following the 8-week active trial, M returned the device and completed a 3-week washout period. Daily logbooks were maintained documenting walking safety, fatigue, and functional participation compared to the device phase.</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80"/>
        <w:gridCol w:w="1780"/>
        <w:gridCol w:w="4900"/>
      </w:tblGrid>
      <w:tr>
        <w:tc>
          <w:tcPr>
            <w:tcW w:type="dxa" w:w="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Week</w:t>
            </w:r>
          </w:p>
        </w:tc>
        <w:tc>
          <w:tcPr>
            <w:tcW w:type="dxa" w:w="17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Walking Safety</w:t>
            </w:r>
          </w:p>
        </w:tc>
        <w:tc>
          <w:tcPr>
            <w:tcW w:type="dxa" w:w="178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vs. Bioness Phase</w:t>
            </w:r>
          </w:p>
        </w:tc>
        <w:tc>
          <w:tcPr>
            <w:tcW w:type="dxa" w:w="49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Key Observations</w:t>
            </w:r>
          </w:p>
        </w:tc>
      </w:tr>
      <w:tr>
        <w:tc>
          <w:tcPr>
            <w:tcW w:type="dxa" w:w="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Wk 1
12–18 May</w:t>
            </w:r>
          </w:p>
        </w:tc>
        <w:tc>
          <w:tcPr>
            <w:tcW w:type="dxa" w:w="1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Very difficult
(6 of 7 days)</w:t>
            </w:r>
          </w:p>
        </w:tc>
        <w:tc>
          <w:tcPr>
            <w:tcW w:type="dxa" w:w="178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Worse to
Much Worse</w:t>
            </w:r>
          </w:p>
        </w:tc>
        <w:tc>
          <w:tcPr>
            <w:tcW w:type="dxa" w:w="4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Tripped through door taking dog out. Near-fall from bathroom. Legs barely moving, standing a challenge. Avoided niece's birthday party (uneven surfaces). Anxiety preventing leaving home.</w:t>
            </w:r>
          </w:p>
        </w:tc>
      </w:tr>
      <w:tr>
        <w:tc>
          <w:tcPr>
            <w:tcW w:type="dxa" w:w="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Wk 2
19–25 May</w:t>
            </w:r>
          </w:p>
        </w:tc>
        <w:tc>
          <w:tcPr>
            <w:tcW w:type="dxa" w:w="178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Difficult to
Very difficult</w:t>
            </w:r>
          </w:p>
        </w:tc>
        <w:tc>
          <w:tcPr>
            <w:tcW w:type="dxa" w:w="178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Much Worse
(nursing home day)</w:t>
            </w:r>
          </w:p>
        </w:tc>
        <w:tc>
          <w:tcPr>
            <w:tcW w:type="dxa" w:w="49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Nursing home visit — very slow, scared, not confident. Ankle rolling out. Near-fall (ankle gave way). 'Not very confident, walking very slow, scared I would trip.' Weak in legs, keeps giving way.</w:t>
            </w:r>
          </w:p>
        </w:tc>
      </w:tr>
      <w:tr>
        <w:tc>
          <w:tcPr>
            <w:tcW w:type="dxa" w:w="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bCs/>
                <w:color w:val="000000"/>
                <w:sz w:val="20"/>
                <w:szCs w:val="20"/>
              </w:rPr>
              <w:t xml:space="preserve">Wk 3
26 May–
1 Jun</w:t>
            </w:r>
          </w:p>
        </w:tc>
        <w:tc>
          <w:tcPr>
            <w:tcW w:type="dxa" w:w="178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20"/>
                <w:szCs w:val="20"/>
              </w:rPr>
              <w:t xml:space="preserve">Very difficult
(all days)</w:t>
            </w:r>
          </w:p>
        </w:tc>
        <w:tc>
          <w:tcPr>
            <w:tcW w:type="dxa" w:w="178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center"/>
            </w:pPr>
            <w:r>
              <w:rPr>
                <w:rFonts w:ascii="Arial" w:cs="Arial" w:eastAsia="Arial" w:hAnsi="Arial"/>
                <w:b/>
                <w:bCs/>
                <w:color w:val="C00000"/>
                <w:sz w:val="20"/>
                <w:szCs w:val="20"/>
              </w:rPr>
              <w:t xml:space="preserve">Strongly Worse</w:t>
            </w:r>
          </w:p>
        </w:tc>
        <w:tc>
          <w:tcPr>
            <w:tcW w:type="dxa" w:w="49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'Stiff legs, shaky, weak ankles.' Legs tripping over own feet. Foot dragging. Avoided girls' cross-country race. Spoke to physio — 'terribly, haven't felt myself, very low self-esteem, avoiding walking due to pain in legs and feet.'</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B3.1  Falls &amp; Near-Falls — Washout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Event</w:t>
            </w:r>
          </w:p>
        </w:tc>
        <w:tc>
          <w:tcPr>
            <w:tcW w:type="dxa" w:w="75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Trip + near-fall
Wk 1 Day 4</w:t>
            </w:r>
          </w:p>
        </w:tc>
        <w:tc>
          <w:tcPr>
            <w:tcW w:type="dxa" w:w="75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Tripped through door (dog washing). Tripped exiting bathroom — 'almost completely falling, thankful for the wall.' Legs stiff and barely moving.</w:t>
            </w:r>
          </w:p>
        </w:tc>
      </w:tr>
      <w:tr>
        <w:tc>
          <w:tcPr>
            <w:tcW w:type="dxa" w:w="18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Near-fall
Wk 1 Day 5</w:t>
            </w:r>
          </w:p>
        </w:tc>
        <w:tc>
          <w:tcPr>
            <w:tcW w:type="dxa" w:w="7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Did not leave house — legs extremely tight on right, scared of falling.</w:t>
            </w:r>
          </w:p>
        </w:tc>
      </w:tr>
      <w:tr>
        <w:tc>
          <w:tcPr>
            <w:tcW w:type="dxa" w:w="180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Near-fall
Wk 2 Day 7</w:t>
            </w:r>
          </w:p>
        </w:tc>
        <w:tc>
          <w:tcPr>
            <w:tcW w:type="dxa" w:w="75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Ankle gave way — near full fall. Sat with support worker. 'Feet not stable, legs very tired.'</w:t>
            </w:r>
          </w:p>
        </w:tc>
      </w:tr>
      <w:tr>
        <w:tc>
          <w:tcPr>
            <w:tcW w:type="dxa" w:w="180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Trips
Wk 3 Day 5</w:t>
            </w:r>
          </w:p>
        </w:tc>
        <w:tc>
          <w:tcPr>
            <w:tcW w:type="dxa" w:w="7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Legs tripping over own feet, foot does not bend, knees lock and snap. 'Slow trip to Chinese dinner trying to get indoors — came home to very sore cramping legs.'</w:t>
            </w:r>
          </w:p>
        </w:tc>
      </w:tr>
      <w:tr>
        <w:tc>
          <w:tcPr>
            <w:tcW w:type="dxa" w:w="180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left"/>
            </w:pPr>
            <w:r>
              <w:rPr>
                <w:rFonts w:ascii="Arial" w:cs="Arial" w:eastAsia="Arial" w:hAnsi="Arial"/>
                <w:b/>
                <w:bCs/>
                <w:color w:val="000000"/>
                <w:sz w:val="20"/>
                <w:szCs w:val="20"/>
              </w:rPr>
              <w:t xml:space="preserve">TOTAL</w:t>
            </w:r>
          </w:p>
        </w:tc>
        <w:tc>
          <w:tcPr>
            <w:tcW w:type="dxa" w:w="7560"/>
            <w:tcBorders>
              <w:top w:val="single" w:color="A0BACE" w:sz="1"/>
              <w:left w:val="single" w:color="A0BACE" w:sz="1"/>
              <w:bottom w:val="single" w:color="A0BACE" w:sz="1"/>
              <w:right w:val="single" w:color="A0BACE" w:sz="1"/>
            </w:tcBorders>
            <w:shd w:fill="FCE4D6" w:val="clear"/>
            <w:tcMar>
              <w:top w:type="dxa" w:w="80"/>
              <w:left w:type="dxa" w:w="130"/>
              <w:bottom w:type="dxa" w:w="80"/>
              <w:right w:type="dxa" w:w="130"/>
            </w:tcMar>
            <w:vAlign w:val="center"/>
          </w:tcPr>
          <w:p>
            <w:pPr>
              <w:jc w:val="left"/>
            </w:pPr>
            <w:r>
              <w:rPr>
                <w:rFonts w:ascii="Arial" w:cs="Arial" w:eastAsia="Arial" w:hAnsi="Arial"/>
                <w:b/>
                <w:bCs/>
                <w:color w:val="C00000"/>
                <w:sz w:val="20"/>
                <w:szCs w:val="20"/>
              </w:rPr>
              <w:t xml:space="preserve">4 trip/near-fall events across 3 weeks WITHOUT device  ·  vs.  0 falls across 8 weeks WITH device</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B3.2  End-of-Washout Final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Question</w:t>
            </w:r>
          </w:p>
        </w:tc>
        <w:tc>
          <w:tcPr>
            <w:tcW w:type="dxa" w:w="61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M's Response</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How has walking changed without Bioness?</w:t>
            </w:r>
          </w:p>
        </w:tc>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'Walking has become a lot slower, confidence is not there. Overthink walking generally — watch where feet are at all times.'</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What activities are harder or not possible?</w:t>
            </w:r>
          </w:p>
        </w:tc>
        <w:tc>
          <w:tcPr>
            <w:tcW w:type="dxa" w:w="6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'Cooking, steep hills, walking.'</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Do you feel less safe?</w:t>
            </w:r>
          </w:p>
        </w:tc>
        <w:tc>
          <w:tcPr>
            <w:tcW w:type="dxa" w:w="61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YES — 'Legs feel too weak to go the distance, anxiety is high, I avoid wanting to leave home. I cry more, hurt more, my foot is stuck.'</w:t>
            </w:r>
          </w:p>
        </w:tc>
      </w:tr>
      <w:tr>
        <w:tc>
          <w:tcPr>
            <w:tcW w:type="dxa" w:w="32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Is Bioness necessary for daily mobility?</w:t>
            </w:r>
          </w:p>
        </w:tc>
        <w:tc>
          <w:tcPr>
            <w:tcW w:type="dxa" w:w="61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YES — 'Absolutely. I find I have more strength, more confidence. I enjoyed getting around without the worry of tripping. My joints didn't hurt as much and I slept better. I generally felt like the old happy me.'</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B4.  PATIENT &amp; CARER FEEDBACK</w:t>
      </w:r>
    </w:p>
    <w:p>
      <w:pPr>
        <w:spacing w:after="80" w:before="200"/>
      </w:pPr>
      <w:r>
        <w:rPr>
          <w:rFonts w:ascii="Arial" w:cs="Arial" w:eastAsia="Arial" w:hAnsi="Arial"/>
          <w:b/>
          <w:bCs/>
          <w:color w:val="17375E"/>
          <w:sz w:val="22"/>
          <w:szCs w:val="22"/>
        </w:rPr>
        <w:t xml:space="preserve">B4.1  M's Written Feedback — End of 8-Week Trial</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280"/>
              <w:bottom w:type="dxa" w:w="160"/>
              <w:right w:type="dxa" w:w="280"/>
            </w:tcMar>
          </w:tcPr>
          <w:p>
            <w:pPr>
              <w:spacing w:after="60"/>
            </w:pPr>
            <w:r>
              <w:rPr>
                <w:rFonts w:ascii="Arial" w:cs="Arial" w:eastAsia="Arial" w:hAnsi="Arial"/>
                <w:i/>
                <w:iCs/>
                <w:color w:val="333333"/>
                <w:sz w:val="20"/>
                <w:szCs w:val="20"/>
              </w:rPr>
              <w:t xml:space="preserve">8 weeks of trial — first week was hard but I pushed through. Second week got better, by the third week was amazing. By week five and six I wasn't second-guessing myself. By the seventh week my brain went into overdrive as my body was aching. By the eighth week I was emotionally drained wondering what it would be like to walk on my own again.</w:t>
            </w:r>
          </w:p>
          <w:p>
            <w:pPr>
              <w:spacing w:after="60"/>
            </w:pPr>
            <w:r>
              <w:rPr>
                <w:rFonts w:ascii="Arial" w:cs="Arial" w:eastAsia="Arial" w:hAnsi="Arial"/>
                <w:i/>
                <w:iCs/>
                <w:color w:val="333333"/>
                <w:sz w:val="20"/>
                <w:szCs w:val="20"/>
              </w:rPr>
              <w:t xml:space="preserve">After using the Bioness, my neurologist said my foot has improved within the 6 weeks — I have more strength in my right leg and foot. I got to spend time with family, go on outings with my nieces, pack away groceries without being off-balanced. I got to cook and bake like I used to without the tears. I stopped overthinking every step I took, I felt stable, I felt happy — slightly more confident, stable, happy and less fearful of falling.</w:t>
            </w:r>
          </w:p>
          <w:p>
            <w:pPr>
              <w:spacing w:after="60"/>
            </w:pPr>
            <w:r>
              <w:rPr>
                <w:rFonts w:ascii="Arial" w:cs="Arial" w:eastAsia="Arial" w:hAnsi="Arial"/>
                <w:i/>
                <w:iCs/>
                <w:color w:val="333333"/>
                <w:sz w:val="20"/>
                <w:szCs w:val="20"/>
              </w:rPr>
              <w:t xml:space="preserve">Without this device I know I'll be at a loss. I know my anxiety will prevent me from making split decisions for the fear of falling. In 5 years of being diagnosed, I have lost a lot of myself. In 8 weeks I gained so much normality back.</w:t>
            </w:r>
          </w:p>
        </w:tc>
      </w:tr>
    </w:tbl>
    <w:p>
      <w:pPr>
        <w:spacing w:after="0" w:before="100"/>
      </w:pPr>
      <w:r>
        <w:rPr>
          <w:sz w:val="20"/>
          <w:szCs w:val="20"/>
        </w:rPr>
        <w:t xml:space="preserve"/>
      </w:r>
    </w:p>
    <w:p>
      <w:pPr>
        <w:spacing w:after="80" w:before="200"/>
      </w:pPr>
      <w:r>
        <w:rPr>
          <w:rFonts w:ascii="Arial" w:cs="Arial" w:eastAsia="Arial" w:hAnsi="Arial"/>
          <w:b/>
          <w:bCs/>
          <w:color w:val="17375E"/>
          <w:sz w:val="22"/>
          <w:szCs w:val="22"/>
        </w:rPr>
        <w:t xml:space="preserve">B4.2  Carer (Mother) Written Feedback — End of 8-Week Trial</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1"/>
              <w:left w:val="single" w:color="1E7145" w:sz="1"/>
              <w:bottom w:val="single" w:color="1E7145" w:sz="1"/>
              <w:right w:val="single" w:color="1E7145" w:sz="1"/>
            </w:tcBorders>
            <w:shd w:fill="E2EFDA" w:val="clear"/>
            <w:tcMar>
              <w:top w:type="dxa" w:w="160"/>
              <w:left w:type="dxa" w:w="280"/>
              <w:bottom w:type="dxa" w:w="160"/>
              <w:right w:type="dxa" w:w="280"/>
            </w:tcMar>
          </w:tcPr>
          <w:p>
            <w:pPr>
              <w:spacing w:after="60"/>
            </w:pPr>
            <w:r>
              <w:rPr>
                <w:rFonts w:ascii="Arial" w:cs="Arial" w:eastAsia="Arial" w:hAnsi="Arial"/>
                <w:i/>
                <w:iCs/>
                <w:color w:val="333333"/>
                <w:sz w:val="20"/>
                <w:szCs w:val="20"/>
              </w:rPr>
              <w:t xml:space="preserve">My name is C, I am first a mother to M, my youngest daughter. I am her carer. Over the past 8 weeks of trialling the Bioness L300 Go, I have watched my daughter — 36 years old, low self-esteem, barely mobile, unstable, anxious, depressed — wake up, shower herself, get dressed and come outside with a smile wanting to walk.</w:t>
            </w:r>
          </w:p>
          <w:p>
            <w:pPr>
              <w:spacing w:after="60"/>
            </w:pPr>
            <w:r>
              <w:rPr>
                <w:rFonts w:ascii="Arial" w:cs="Arial" w:eastAsia="Arial" w:hAnsi="Arial"/>
                <w:i/>
                <w:iCs/>
                <w:color w:val="333333"/>
                <w:sz w:val="20"/>
                <w:szCs w:val="20"/>
              </w:rPr>
              <w:t xml:space="preserve">I have watched her push herself, her confidence grow — a glimmer of hope in her eyes. I saw my daughter back to her happy self. I watched her participate in family outings instead of excluding herself with fear.</w:t>
            </w:r>
          </w:p>
          <w:p>
            <w:pPr>
              <w:spacing w:after="60"/>
            </w:pPr>
            <w:r>
              <w:rPr>
                <w:rFonts w:ascii="Arial" w:cs="Arial" w:eastAsia="Arial" w:hAnsi="Arial"/>
                <w:i/>
                <w:iCs/>
                <w:color w:val="333333"/>
                <w:sz w:val="20"/>
                <w:szCs w:val="20"/>
              </w:rPr>
              <w:t xml:space="preserve">The Bioness L300 Go gave my daughter 8 weeks of hope, smiles, confidence. I will forever be thankful for giving my daughter back her smile.</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B5.  CLINICAL ANALYSIS</w:t>
      </w:r>
    </w:p>
    <w:p>
      <w:pPr>
        <w:spacing w:after="80" w:before="200"/>
      </w:pPr>
      <w:r>
        <w:rPr>
          <w:rFonts w:ascii="Arial" w:cs="Arial" w:eastAsia="Arial" w:hAnsi="Arial"/>
          <w:b/>
          <w:bCs/>
          <w:color w:val="17375E"/>
          <w:sz w:val="22"/>
          <w:szCs w:val="22"/>
        </w:rPr>
        <w:t xml:space="preserve">B5.1  Gait &amp; Mobility</w:t>
      </w:r>
    </w:p>
    <w:p>
      <w:pPr>
        <w:spacing w:after="80" w:before="60"/>
      </w:pPr>
      <w:r>
        <w:rPr>
          <w:rFonts w:ascii="Arial" w:cs="Arial" w:eastAsia="Arial" w:hAnsi="Arial"/>
          <w:sz w:val="20"/>
          <w:szCs w:val="20"/>
        </w:rPr>
        <w:t xml:space="preserve">Over 8 weeks, M demonstrated clinically meaningful improvements across all objective outcome measures. The 6MWT improved by 58% (57m → 90m), exceeding the MDC for community ambulation. TUG improved by 22% (42.57s → 33.11s). Logbook step count data showed progressive increase from ~330–400 steps/day at baseline to a peak of 1,688 steps (Week 5, Liverpool Hospital). M's neurologist confirmed improved right leg and foot strength at 6 weeks, providing corroborating evidence of a neuroplastic therapeutic benefit.</w:t>
      </w:r>
    </w:p>
    <w:p>
      <w:pPr>
        <w:spacing w:after="80" w:before="200"/>
      </w:pPr>
      <w:r>
        <w:rPr>
          <w:rFonts w:ascii="Arial" w:cs="Arial" w:eastAsia="Arial" w:hAnsi="Arial"/>
          <w:b/>
          <w:bCs/>
          <w:color w:val="17375E"/>
          <w:sz w:val="22"/>
          <w:szCs w:val="22"/>
        </w:rPr>
        <w:t xml:space="preserve">B5.2  Falls &amp; Safety</w:t>
      </w:r>
    </w:p>
    <w:p>
      <w:pPr>
        <w:spacing w:after="80" w:before="60"/>
      </w:pPr>
      <w:r>
        <w:rPr>
          <w:rFonts w:ascii="Arial" w:cs="Arial" w:eastAsia="Arial" w:hAnsi="Arial"/>
          <w:sz w:val="20"/>
          <w:szCs w:val="20"/>
        </w:rPr>
        <w:t xml:space="preserve">Zero falls were recorded across the full 8-week active trial, despite engagement across a wide range of community environments including uneven surfaces, ramps, steps, shopping centres, hospitals, and outdoor footpaths. This contrasts markedly with the washout phase, during which 4 trip/near-fall events occurred within 3 weeks. This direct comparison confirms the Bioness L300 Go provides meaningful and essential fall risk reduction for M.</w:t>
      </w:r>
    </w:p>
    <w:p>
      <w:pPr>
        <w:spacing w:after="80" w:before="200"/>
      </w:pPr>
      <w:r>
        <w:rPr>
          <w:rFonts w:ascii="Arial" w:cs="Arial" w:eastAsia="Arial" w:hAnsi="Arial"/>
          <w:b/>
          <w:bCs/>
          <w:color w:val="17375E"/>
          <w:sz w:val="22"/>
          <w:szCs w:val="22"/>
        </w:rPr>
        <w:t xml:space="preserve">B5.3  Functional Participation &amp; Quality of Life</w:t>
      </w:r>
    </w:p>
    <w:p>
      <w:pPr>
        <w:spacing w:after="80" w:before="60"/>
      </w:pPr>
      <w:r>
        <w:rPr>
          <w:rFonts w:ascii="Arial" w:cs="Arial" w:eastAsia="Arial" w:hAnsi="Arial"/>
          <w:sz w:val="20"/>
          <w:szCs w:val="20"/>
        </w:rPr>
        <w:t xml:space="preserve">Qualitative logbook data and participant/carer feedback consistently demonstrate that the device enabled M to engage in activities previously unsafe or impossible: community outings with family, grocery management, nursing home visits with confidence navigating ramps, cooking, self-care, and attending medical appointments. Reduced anxiety, improved sleep, and improved psychological wellbeing were reported during the active phase.</w:t>
      </w:r>
    </w:p>
    <w:p>
      <w:pPr>
        <w:spacing w:after="80" w:before="200"/>
      </w:pPr>
      <w:r>
        <w:rPr>
          <w:rFonts w:ascii="Arial" w:cs="Arial" w:eastAsia="Arial" w:hAnsi="Arial"/>
          <w:b/>
          <w:bCs/>
          <w:color w:val="17375E"/>
          <w:sz w:val="22"/>
          <w:szCs w:val="22"/>
        </w:rPr>
        <w:t xml:space="preserve">B5.4  Washout Findings — Device Dependency Confirmed</w:t>
      </w:r>
    </w:p>
    <w:p>
      <w:pPr>
        <w:spacing w:after="80" w:before="60"/>
      </w:pPr>
      <w:r>
        <w:rPr>
          <w:rFonts w:ascii="Arial" w:cs="Arial" w:eastAsia="Arial" w:hAnsi="Arial"/>
          <w:sz w:val="20"/>
          <w:szCs w:val="20"/>
        </w:rPr>
        <w:t xml:space="preserve">Rapid functional regression upon device removal confirms that M's gains were device-dependent and not neuroplastically retained within the 3-week washout window. PSFS scores returned to near-baseline. Multiple near-falls occurred. Activity avoidance increased markedly. These findings strongly support the case for ongoing device access and funded purchase.</w:t>
      </w:r>
    </w:p>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B6.  NDIS GOAL OUTCOMES — TRIAL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NDIS Goal</w:t>
            </w:r>
          </w:p>
        </w:tc>
        <w:tc>
          <w:tcPr>
            <w:tcW w:type="dxa" w:w="69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Trial Outcome Evidence</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Goal 1: Mobility, strength, stability, fall prevention</w:t>
            </w:r>
          </w:p>
        </w:tc>
        <w:tc>
          <w:tcPr>
            <w:tcW w:type="dxa" w:w="69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6MWT +58%, TUG +22%, DGI 11→14. Zero falls in 8 weeks vs. 4 near-falls in 3 weeks without device. Neurologist confirmed strength improvements. 30s STS improved 9→10.</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Goal 2: Lose weight / increase mobility</w:t>
            </w:r>
          </w:p>
        </w:tc>
        <w:tc>
          <w:tcPr>
            <w:tcW w:type="dxa" w:w="69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Daily ambulatory activity increased from ~330 to 1,688 steps/day peak. Greater walking tolerance enables sustained physical activity.</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Goal 3: Be safe in my home</w:t>
            </w:r>
          </w:p>
        </w:tc>
        <w:tc>
          <w:tcPr>
            <w:tcW w:type="dxa" w:w="69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Zero falls at home during active trial. All trips/near-falls at home occurred during washout. Improved ramp and step navigation throughout trial.</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Goal 4: Coping skills / independence</w:t>
            </w:r>
          </w:p>
        </w:tc>
        <w:tc>
          <w:tcPr>
            <w:tcW w:type="dxa" w:w="69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Reduced anticipatory anxiety. Greater community decision-making confidence. Able to attend outings, appointments, and social events independently with device.</w:t>
            </w:r>
          </w:p>
        </w:tc>
      </w:tr>
    </w:tbl>
    <w:p>
      <w:pPr>
        <w:spacing w:after="0" w:before="8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B7.  NDIS REASONABLE &amp; NECESSARY — DEVICE PURCHASE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NDIS Criterion</w:t>
            </w:r>
          </w:p>
        </w:tc>
        <w:tc>
          <w:tcPr>
            <w:tcW w:type="dxa" w:w="6960"/>
            <w:gridSpan w:val="1"/>
            <w:tcBorders>
              <w:top w:val="single" w:color="FFFFFF" w:sz="1"/>
              <w:left w:val="single" w:color="FFFFFF" w:sz="1"/>
              <w:bottom w:val="single" w:color="FFFFFF" w:sz="1"/>
              <w:right w:val="single" w:color="FFFFFF" w:sz="1"/>
            </w:tcBorders>
            <w:shd w:fill="1F3864"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How Trial Evidence Meets This Criterion</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Related to disability</w:t>
            </w:r>
          </w:p>
        </w:tc>
        <w:tc>
          <w:tcPr>
            <w:tcW w:type="dxa" w:w="69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Foot drop is a direct neurological consequence of MS-related demyelination. All functional impairments directly attributable to diagnosis and confirmed by neurologist.</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Represents value for money</w:t>
            </w:r>
          </w:p>
        </w:tc>
        <w:tc>
          <w:tcPr>
            <w:tcW w:type="dxa" w:w="69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Community trial has generated objective evidence justifying purchase. Device reduces falls and associated hospitalisation/carer costs. Enables independence, reducing informal support requirements.</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Effective &amp; beneficial</w:t>
            </w:r>
          </w:p>
        </w:tc>
        <w:tc>
          <w:tcPr>
            <w:tcW w:type="dxa" w:w="69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6MWT +58%, TUG +22%, 0 falls vs. 4 near-falls washout. PSFS, ABC, FES data support benefit. Neurologist confirmed strength improvements at 6 weeks.</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Considers informal supports</w:t>
            </w:r>
          </w:p>
        </w:tc>
        <w:tc>
          <w:tcPr>
            <w:tcW w:type="dxa" w:w="69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Device increases independence from mother's carer support for community outings. Reduces informal carer burden as confirmed by carer feedback.</w:t>
            </w:r>
          </w:p>
        </w:tc>
      </w:tr>
      <w:tr>
        <w:tc>
          <w:tcPr>
            <w:tcW w:type="dxa" w:w="24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Most appropriate way to meet need</w:t>
            </w:r>
          </w:p>
        </w:tc>
        <w:tc>
          <w:tcPr>
            <w:tcW w:type="dxa" w:w="6960"/>
            <w:tcBorders>
              <w:top w:val="single" w:color="A0BACE" w:sz="1"/>
              <w:left w:val="single" w:color="A0BACE" w:sz="1"/>
              <w:bottom w:val="single" w:color="A0BACE" w:sz="1"/>
              <w:right w:val="single" w:color="A0BACE" w:sz="1"/>
            </w:tcBorders>
            <w:shd w:fill="F5F5F5"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OTS AFO failed. Custom AFO passive only. No alternative meets M's functional need for active dorsiflexion support with neuroplastic benefit. Trial evidence confirms device is both effective and necessary.</w:t>
            </w:r>
          </w:p>
        </w:tc>
      </w:tr>
    </w:tbl>
    <w:p>
      <w:pPr>
        <w:spacing w:after="0" w:before="10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B8.  CLINICAL RECOMMENDATION</w:t>
      </w:r>
    </w:p>
    <w:p>
      <w:pPr>
        <w:spacing w:after="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280"/>
              <w:bottom w:type="dxa" w:w="160"/>
              <w:right w:type="dxa" w:w="280"/>
            </w:tcMar>
          </w:tcPr>
          <w:p>
            <w:pPr>
              <w:spacing w:after="60"/>
            </w:pPr>
            <w:r>
              <w:rPr>
                <w:rFonts w:ascii="Arial" w:cs="Arial" w:eastAsia="Arial" w:hAnsi="Arial"/>
                <w:b/>
                <w:bCs/>
                <w:color w:val="1F3864"/>
                <w:sz w:val="23"/>
                <w:szCs w:val="23"/>
              </w:rPr>
              <w:t xml:space="preserve">RECOMMENDATION: FUNDED PURCHASE — BIONESS L300 GO FES SYSTEM</w:t>
            </w:r>
          </w:p>
          <w:p>
            <w:pPr>
              <w:spacing w:after="60"/>
            </w:pPr>
            <w:r>
              <w:rPr>
                <w:rFonts w:ascii="Arial" w:cs="Arial" w:eastAsia="Arial" w:hAnsi="Arial"/>
                <w:b w:val="false"/>
                <w:bCs w:val="false"/>
                <w:color w:val="333333"/>
                <w:sz w:val="20"/>
                <w:szCs w:val="20"/>
              </w:rPr>
              <w:t xml:space="preserve"/>
            </w:r>
          </w:p>
          <w:p>
            <w:pPr>
              <w:spacing w:after="60"/>
            </w:pPr>
            <w:r>
              <w:rPr>
                <w:rFonts w:ascii="Arial" w:cs="Arial" w:eastAsia="Arial" w:hAnsi="Arial"/>
                <w:b w:val="false"/>
                <w:bCs w:val="false"/>
                <w:color w:val="000000"/>
                <w:sz w:val="20"/>
                <w:szCs w:val="20"/>
              </w:rPr>
              <w:t xml:space="preserve">Based on the totality of evidence gathered across the 8-week community trial and 3-week washout period, it is the clinical recommendation of the prescribing orthotist that M be funded by the NDIS to purchase the Bioness L300 Go Functional Electrical Stimulation system.</w:t>
            </w:r>
          </w:p>
          <w:p>
            <w:pPr>
              <w:spacing w:after="60"/>
            </w:pPr>
            <w:r>
              <w:rPr>
                <w:rFonts w:ascii="Arial" w:cs="Arial" w:eastAsia="Arial" w:hAnsi="Arial"/>
                <w:b w:val="false"/>
                <w:bCs w:val="false"/>
                <w:color w:val="333333"/>
                <w:sz w:val="20"/>
                <w:szCs w:val="20"/>
              </w:rPr>
              <w:t xml:space="preserve"/>
            </w:r>
          </w:p>
          <w:p>
            <w:pPr>
              <w:spacing w:after="60"/>
            </w:pPr>
            <w:r>
              <w:rPr>
                <w:rFonts w:ascii="Arial" w:cs="Arial" w:eastAsia="Arial" w:hAnsi="Arial"/>
                <w:b/>
                <w:bCs/>
                <w:color w:val="1F3864"/>
                <w:sz w:val="20"/>
                <w:szCs w:val="20"/>
              </w:rPr>
              <w:t xml:space="preserve">The trial has demonstrated:</w:t>
            </w:r>
          </w:p>
          <w:p>
            <w:pPr>
              <w:spacing w:after="60"/>
            </w:pPr>
            <w:r>
              <w:rPr>
                <w:rFonts w:ascii="Arial" w:cs="Arial" w:eastAsia="Arial" w:hAnsi="Arial"/>
                <w:b w:val="false"/>
                <w:bCs w:val="false"/>
                <w:color w:val="000000"/>
                <w:sz w:val="20"/>
                <w:szCs w:val="20"/>
              </w:rPr>
              <w:t xml:space="preserve">(1) Clinically significant improvements in gait speed, walking endurance, balance confidence, and community participation during the active phase;</w:t>
            </w:r>
          </w:p>
          <w:p>
            <w:pPr>
              <w:spacing w:after="60"/>
            </w:pPr>
            <w:r>
              <w:rPr>
                <w:rFonts w:ascii="Arial" w:cs="Arial" w:eastAsia="Arial" w:hAnsi="Arial"/>
                <w:b w:val="false"/>
                <w:bCs w:val="false"/>
                <w:color w:val="000000"/>
                <w:sz w:val="20"/>
                <w:szCs w:val="20"/>
              </w:rPr>
              <w:t xml:space="preserve">(2) Zero falls during 8 weeks of device use across diverse community environments;</w:t>
            </w:r>
          </w:p>
          <w:p>
            <w:pPr>
              <w:spacing w:after="60"/>
            </w:pPr>
            <w:r>
              <w:rPr>
                <w:rFonts w:ascii="Arial" w:cs="Arial" w:eastAsia="Arial" w:hAnsi="Arial"/>
                <w:b w:val="false"/>
                <w:bCs w:val="false"/>
                <w:color w:val="000000"/>
                <w:sz w:val="20"/>
                <w:szCs w:val="20"/>
              </w:rPr>
              <w:t xml:space="preserve">(3) Immediate and significant functional regression upon device removal — 4 trip/near-fall events in 3 weeks;</w:t>
            </w:r>
          </w:p>
          <w:p>
            <w:pPr>
              <w:spacing w:after="60"/>
            </w:pPr>
            <w:r>
              <w:rPr>
                <w:rFonts w:ascii="Arial" w:cs="Arial" w:eastAsia="Arial" w:hAnsi="Arial"/>
                <w:b w:val="false"/>
                <w:bCs w:val="false"/>
                <w:color w:val="000000"/>
                <w:sz w:val="20"/>
                <w:szCs w:val="20"/>
              </w:rPr>
              <w:t xml:space="preserve">(4) Strong alignment with all four of M's NDIS goals, supported by objective and patient-reported data;</w:t>
            </w:r>
          </w:p>
          <w:p>
            <w:pPr>
              <w:spacing w:after="60"/>
            </w:pPr>
            <w:r>
              <w:rPr>
                <w:rFonts w:ascii="Arial" w:cs="Arial" w:eastAsia="Arial" w:hAnsi="Arial"/>
                <w:b w:val="false"/>
                <w:bCs w:val="false"/>
                <w:color w:val="000000"/>
                <w:sz w:val="20"/>
                <w:szCs w:val="20"/>
              </w:rPr>
              <w:t xml:space="preserve">(5) Compelling participant and carer-reported improvements in safety, confidence, independence, and quality of life; and</w:t>
            </w:r>
          </w:p>
          <w:p>
            <w:pPr>
              <w:spacing w:after="60"/>
            </w:pPr>
            <w:r>
              <w:rPr>
                <w:rFonts w:ascii="Arial" w:cs="Arial" w:eastAsia="Arial" w:hAnsi="Arial"/>
                <w:b w:val="false"/>
                <w:bCs w:val="false"/>
                <w:color w:val="000000"/>
                <w:sz w:val="20"/>
                <w:szCs w:val="20"/>
              </w:rPr>
              <w:t xml:space="preserve">(6) Neurologist-confirmed improvement in right leg and foot strength at 6 weeks of FES use.</w:t>
            </w:r>
          </w:p>
          <w:p>
            <w:pPr>
              <w:spacing w:after="60"/>
            </w:pPr>
            <w:r>
              <w:rPr>
                <w:rFonts w:ascii="Arial" w:cs="Arial" w:eastAsia="Arial" w:hAnsi="Arial"/>
                <w:b w:val="false"/>
                <w:bCs w:val="false"/>
                <w:color w:val="333333"/>
                <w:sz w:val="20"/>
                <w:szCs w:val="20"/>
              </w:rPr>
              <w:t xml:space="preserve"/>
            </w:r>
          </w:p>
          <w:p>
            <w:pPr>
              <w:spacing w:after="60"/>
            </w:pPr>
            <w:r>
              <w:rPr>
                <w:rFonts w:ascii="Arial" w:cs="Arial" w:eastAsia="Arial" w:hAnsi="Arial"/>
                <w:b/>
                <w:bCs/>
                <w:color w:val="1F3864"/>
                <w:sz w:val="20"/>
                <w:szCs w:val="20"/>
              </w:rPr>
              <w:t xml:space="preserve">The device meets all five NDIS Reasonable and Necessary criteria. The prescribing clinician strongly supports this application for device purchase.</w:t>
            </w:r>
          </w:p>
        </w:tc>
      </w:tr>
    </w:tbl>
    <w:p>
      <w:pPr>
        <w:spacing w:after="0" w:before="120"/>
      </w:pPr>
      <w:r>
        <w:rPr>
          <w:sz w:val="20"/>
          <w:szCs w:val="20"/>
        </w:rPr>
        <w:t xml:space="preserve"/>
      </w:r>
    </w:p>
    <w:p>
      <w:pPr>
        <w:pBdr>
          <w:bottom w:val="single" w:color="2E75B6" w:sz="8" w:space="4"/>
        </w:pBdr>
        <w:spacing w:after="100" w:before="300"/>
      </w:pPr>
      <w:r>
        <w:rPr>
          <w:rFonts w:ascii="Arial" w:cs="Arial" w:eastAsia="Arial" w:hAnsi="Arial"/>
          <w:b/>
          <w:bCs/>
          <w:color w:val="1F3864"/>
          <w:sz w:val="26"/>
          <w:szCs w:val="26"/>
        </w:rPr>
        <w:t xml:space="preserve">CLINICIAN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Prescribing Clinician:</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[Name], CO (Certified Orthotist)</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AHPRA / AOPA Registration No.:</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[Registration Number]</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Practice:</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Korthotics — 45/575 Woodville Rd, Guildford NSW 2161</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Phone / Email:</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(02) 8710 4183  |  www.korthotics.com.au</w:t>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Signature:</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r>
        <w:tc>
          <w:tcPr>
            <w:tcW w:type="dxa" w:w="2800"/>
            <w:tcBorders>
              <w:top w:val="single" w:color="A0BACE" w:sz="1"/>
              <w:left w:val="single" w:color="A0BACE" w:sz="1"/>
              <w:bottom w:val="single" w:color="A0BACE" w:sz="1"/>
              <w:right w:val="single" w:color="A0BACE" w:sz="1"/>
            </w:tcBorders>
            <w:shd w:fill="D6E4F0" w:val="clear"/>
            <w:tcMar>
              <w:top w:type="dxa" w:w="80"/>
              <w:left w:type="dxa" w:w="130"/>
              <w:bottom w:type="dxa" w:w="80"/>
              <w:right w:type="dxa" w:w="130"/>
            </w:tcMar>
            <w:vAlign w:val="center"/>
          </w:tcPr>
          <w:p>
            <w:r>
              <w:rPr>
                <w:rFonts w:ascii="Arial" w:cs="Arial" w:eastAsia="Arial" w:hAnsi="Arial"/>
                <w:b/>
                <w:bCs/>
                <w:color w:val="1F3864"/>
                <w:sz w:val="20"/>
                <w:szCs w:val="20"/>
              </w:rPr>
              <w:t xml:space="preserve">Date:</w:t>
            </w:r>
          </w:p>
        </w:tc>
        <w:tc>
          <w:tcPr>
            <w:tcW w:type="dxa" w:w="6560"/>
            <w:tcBorders>
              <w:top w:val="single" w:color="A0BACE" w:sz="1"/>
              <w:left w:val="single" w:color="A0BACE" w:sz="1"/>
              <w:bottom w:val="single" w:color="A0BACE" w:sz="1"/>
              <w:right w:val="single" w:color="A0BACE"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
            </w:r>
          </w:p>
        </w:tc>
      </w:tr>
    </w:tbl>
    <w:p>
      <w:pPr>
        <w:spacing w:after="0" w:before="100"/>
      </w:pPr>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I confirm that the clinical information contained in this report is accurate and reflects my professional opinion.</w:t>
      </w:r>
    </w:p>
    <w:p>
      <w:pPr>
        <w:pStyle w:val="ListParagraph"/>
        <w:numPr>
          <w:ilvl w:val="0"/>
          <w:numId w:val="2"/>
        </w:numPr>
        <w:spacing w:after="40" w:before="40"/>
      </w:pPr>
      <w:r>
        <w:rPr>
          <w:rFonts w:ascii="Arial" w:cs="Arial" w:eastAsia="Arial" w:hAnsi="Arial"/>
          <w:sz w:val="20"/>
          <w:szCs w:val="20"/>
        </w:rPr>
        <w:t xml:space="preserve">I am a qualified Certified Orthotist with appropriate expertise to prescribe and assess assistive technology of this nature.</w:t>
      </w:r>
    </w:p>
    <w:p>
      <w:pPr>
        <w:pStyle w:val="ListParagraph"/>
        <w:numPr>
          <w:ilvl w:val="0"/>
          <w:numId w:val="2"/>
        </w:numPr>
        <w:spacing w:after="40" w:before="40"/>
      </w:pPr>
      <w:r>
        <w:rPr>
          <w:rFonts w:ascii="Arial" w:cs="Arial" w:eastAsia="Arial" w:hAnsi="Arial"/>
          <w:sz w:val="20"/>
          <w:szCs w:val="20"/>
        </w:rPr>
        <w:t xml:space="preserve">This report has been prepared in accordance with NDIS AT assessment requirements for high-cost assistive technology.</w:t>
      </w:r>
    </w:p>
    <w:p>
      <w:pPr>
        <w:pStyle w:val="ListParagraph"/>
        <w:numPr>
          <w:ilvl w:val="0"/>
          <w:numId w:val="2"/>
        </w:numPr>
        <w:spacing w:after="40" w:before="40"/>
      </w:pPr>
      <w:r>
        <w:rPr>
          <w:rFonts w:ascii="Arial" w:cs="Arial" w:eastAsia="Arial" w:hAnsi="Arial"/>
          <w:sz w:val="20"/>
          <w:szCs w:val="20"/>
        </w:rPr>
        <w:t xml:space="preserve">I have no conflict of interest in relation to the recommendation of the Bioness L300 Go system.</w:t>
      </w:r>
    </w:p>
    <w:p>
      <w:pPr>
        <w:spacing w:after="0" w:before="120"/>
      </w:pPr>
      <w:r>
        <w:rPr>
          <w:sz w:val="20"/>
          <w:szCs w:val="20"/>
        </w:rPr>
        <w:t xml:space="preserve"/>
      </w:r>
    </w:p>
    <w:p>
      <w:pPr>
        <w:spacing w:after="80" w:before="60"/>
      </w:pPr>
      <w:r>
        <w:rPr>
          <w:rFonts w:ascii="Arial" w:cs="Arial" w:eastAsia="Arial" w:hAnsi="Arial"/>
          <w:sz w:val="20"/>
          <w:szCs w:val="20"/>
        </w:rPr>
        <w:t xml:space="preserve">─────────────────────────────────────────────────────────────────────</w:t>
      </w:r>
    </w:p>
    <w:p>
      <w:pPr>
        <w:spacing w:after="80" w:before="60"/>
      </w:pPr>
      <w:r>
        <w:rPr>
          <w:rFonts w:ascii="Arial" w:cs="Arial" w:eastAsia="Arial" w:hAnsi="Arial"/>
          <w:sz w:val="20"/>
          <w:szCs w:val="20"/>
        </w:rPr>
        <w:t xml:space="preserve">For queries regarding this report, please contact Korthotics on (02) 8710 4183  |  www.korthotics.com.au</w:t>
      </w:r>
    </w:p>
    <w:p>
      <w:pPr>
        <w:spacing w:after="80" w:before="60"/>
      </w:pPr>
      <w:r>
        <w:rPr>
          <w:rFonts w:ascii="Arial" w:cs="Arial" w:eastAsia="Arial" w:hAnsi="Arial"/>
          <w:sz w:val="20"/>
          <w:szCs w:val="20"/>
        </w:rPr>
        <w:t xml:space="preserve">This document is CONFIDENTIAL and intended solely for NDIS assessment purposes.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888888"/>
        <w:sz w:val="16"/>
        <w:szCs w:val="16"/>
      </w:rPr>
      <w:t xml:space="preserve">Korthotics  |  45/575 Woodville Rd, Guildford NSW 2161  |  (02) 8710 4183</w:t>
    </w:r>
    <w:r>
      <w:rPr>
        <w:rFonts w:ascii="Arial" w:cs="Arial" w:eastAsia="Arial" w:hAnsi="Arial"/>
        <w:color w:val="888888"/>
        <w:sz w:val="16"/>
        <w:szCs w:val="16"/>
      </w:rPr>
      <w:t xml:space="preserve">	CONFIDENTIAL — NDIS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F3864"/>
        <w:sz w:val="18"/>
        <w:szCs w:val="18"/>
      </w:rPr>
      <w:t xml:space="preserve">NDIS Assistive Technology Report  |  Bioness L300 Go FES System  |  Multiple Sclerosis — Right Foot Drop</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2026-06-12T07:15:34.807Z</dcterms:created>
  <dcterms:modified xsi:type="dcterms:W3CDTF">2026-06-12T07:15:34.821Z</dcterms:modified>
</cp:coreProperties>
</file>

<file path=docProps/custom.xml><?xml version="1.0" encoding="utf-8"?>
<Properties xmlns="http://schemas.openxmlformats.org/officeDocument/2006/custom-properties" xmlns:vt="http://schemas.openxmlformats.org/officeDocument/2006/docPropsVTypes"/>
</file>