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NDIS HIGH COST ASSISTIVE TECHNOLOGY ASSESSMENT REPORT</w:t>
        <w:br/>
      </w:r>
    </w:p>
    <w:p>
      <w:pPr>
        <w:jc w:val="center"/>
      </w:pPr>
      <w:r>
        <w:rPr>
          <w:b/>
          <w:sz w:val="32"/>
        </w:rPr>
        <w:br/>
        <w:t>Bioness L300 Go Functional Electrical Stimulation (FES) System</w:t>
        <w:br/>
        <w:br/>
        <w:t>Funding Recommendation for Ongoing Use</w:t>
      </w:r>
    </w:p>
    <w:p/>
    <w:p>
      <w:pPr>
        <w:pStyle w:val="Heading1"/>
      </w:pPr>
      <w:r>
        <w:t>Participant Details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Participant Name</w:t>
            </w:r>
          </w:p>
        </w:tc>
        <w:tc>
          <w:tcPr>
            <w:tcW w:type="dxa" w:w="4320"/>
          </w:tcPr>
          <w:p>
            <w:r>
              <w:t>M</w:t>
            </w:r>
          </w:p>
        </w:tc>
      </w:tr>
      <w:tr>
        <w:tc>
          <w:tcPr>
            <w:tcW w:type="dxa" w:w="4320"/>
          </w:tcPr>
          <w:p>
            <w:r>
              <w:t>NDIS Number</w:t>
            </w:r>
          </w:p>
        </w:tc>
        <w:tc>
          <w:tcPr>
            <w:tcW w:type="dxa" w:w="4320"/>
          </w:tcPr>
          <w:p>
            <w:r>
              <w:t>To be completed</w:t>
            </w:r>
          </w:p>
        </w:tc>
      </w:tr>
      <w:tr>
        <w:tc>
          <w:tcPr>
            <w:tcW w:type="dxa" w:w="4320"/>
          </w:tcPr>
          <w:p>
            <w:r>
              <w:t>Date of Birth</w:t>
            </w:r>
          </w:p>
        </w:tc>
        <w:tc>
          <w:tcPr>
            <w:tcW w:type="dxa" w:w="4320"/>
          </w:tcPr>
          <w:p>
            <w:r>
              <w:t>To be completed</w:t>
            </w:r>
          </w:p>
        </w:tc>
      </w:tr>
      <w:tr>
        <w:tc>
          <w:tcPr>
            <w:tcW w:type="dxa" w:w="4320"/>
          </w:tcPr>
          <w:p>
            <w:r>
              <w:t>Primary Diagnosis</w:t>
            </w:r>
          </w:p>
        </w:tc>
        <w:tc>
          <w:tcPr>
            <w:tcW w:type="dxa" w:w="4320"/>
          </w:tcPr>
          <w:p>
            <w:r>
              <w:t>Multiple Sclerosis (MS)</w:t>
            </w:r>
          </w:p>
        </w:tc>
      </w:tr>
      <w:tr>
        <w:tc>
          <w:tcPr>
            <w:tcW w:type="dxa" w:w="4320"/>
          </w:tcPr>
          <w:p>
            <w:r>
              <w:t>Secondary Diagnosis</w:t>
            </w:r>
          </w:p>
        </w:tc>
        <w:tc>
          <w:tcPr>
            <w:tcW w:type="dxa" w:w="4320"/>
          </w:tcPr>
          <w:p>
            <w:r>
              <w:t>N/A</w:t>
            </w:r>
          </w:p>
        </w:tc>
      </w:tr>
      <w:tr>
        <w:tc>
          <w:tcPr>
            <w:tcW w:type="dxa" w:w="4320"/>
          </w:tcPr>
          <w:p>
            <w:r>
              <w:t>NDIS Plan Dates</w:t>
            </w:r>
          </w:p>
        </w:tc>
        <w:tc>
          <w:tcPr>
            <w:tcW w:type="dxa" w:w="4320"/>
          </w:tcPr>
          <w:p>
            <w:r>
              <w:t>To be completed</w:t>
            </w:r>
          </w:p>
        </w:tc>
      </w:tr>
    </w:tbl>
    <w:p>
      <w:pPr>
        <w:pStyle w:val="Heading1"/>
      </w:pPr>
      <w:r>
        <w:t>Recommended Assistive Technology</w:t>
      </w:r>
    </w:p>
    <w:p>
      <w:r>
        <w:t>- Bioness L300 Go Functional Electrical Stimulation System</w:t>
        <w:br/>
        <w:t>- Clinician Programming</w:t>
        <w:br/>
        <w:t>- Participant Training</w:t>
        <w:br/>
        <w:t>- Initial Set-up and Calibration</w:t>
        <w:br/>
        <w:t>- Follow-up Reviews and Optimisation</w:t>
      </w:r>
    </w:p>
    <w:p>
      <w:pPr>
        <w:pStyle w:val="Heading1"/>
      </w:pPr>
      <w:r>
        <w:t>Report Prepared By</w:t>
      </w:r>
    </w:p>
    <w:p>
      <w:r>
        <w:t>Assessor Name: Mee Young Lee</w:t>
        <w:br/>
        <w:t>Profession: Orthotist</w:t>
        <w:br/>
        <w:t>Organisation: KOrthotics</w:t>
        <w:br/>
        <w:t>Provider Number: To be completed</w:t>
        <w:br/>
        <w:t>Email: To be completed</w:t>
        <w:br/>
        <w:t>Phone: To be completed</w:t>
        <w:br/>
        <w:t>Date of Report: To be completed</w:t>
      </w:r>
    </w:p>
    <w:p>
      <w:r>
        <w:br w:type="page"/>
      </w:r>
    </w:p>
    <w:p>
      <w:pPr>
        <w:pStyle w:val="Heading1"/>
      </w:pPr>
      <w:r>
        <w:t>2. Executive Summary</w:t>
      </w:r>
    </w:p>
    <w:p>
      <w:r>
        <w:t>This report supports NDIS funding for the long-term provision of the Bioness L300 Go Functional Electrical Stimulation (FES) System for M, a 35-year-old participant living with Multiple Sclerosis (MS).</w:t>
      </w:r>
    </w:p>
    <w:p>
      <w:r>
        <w:t>M experiences significant disability-related mobility impairments including right foot drop, ankle inversion, lower limb weakness, spasticity, gait instability, reduced endurance, increased fatigue and elevated falls risk.</w:t>
      </w:r>
    </w:p>
    <w:p>
      <w:pPr>
        <w:pStyle w:val="Heading2"/>
      </w:pPr>
      <w:r>
        <w:t>Key Disability-Related Challenges</w:t>
      </w:r>
    </w:p>
    <w:p>
      <w:pPr>
        <w:pStyle w:val="ListBullet"/>
      </w:pPr>
      <w:r>
        <w:t>Right foot drop</w:t>
      </w:r>
    </w:p>
    <w:p>
      <w:pPr>
        <w:pStyle w:val="ListBullet"/>
      </w:pPr>
      <w:r>
        <w:t>Right ankle inversion during gait</w:t>
      </w:r>
    </w:p>
    <w:p>
      <w:pPr>
        <w:pStyle w:val="ListBullet"/>
      </w:pPr>
      <w:r>
        <w:t>Knee instability during stance</w:t>
      </w:r>
    </w:p>
    <w:p>
      <w:pPr>
        <w:pStyle w:val="ListBullet"/>
      </w:pPr>
      <w:r>
        <w:t>Reduced walking endurance</w:t>
      </w:r>
    </w:p>
    <w:p>
      <w:pPr>
        <w:pStyle w:val="ListBullet"/>
      </w:pPr>
      <w:r>
        <w:t>Increased fatigue</w:t>
      </w:r>
    </w:p>
    <w:p>
      <w:pPr>
        <w:pStyle w:val="ListBullet"/>
      </w:pPr>
      <w:r>
        <w:t>Reduced confidence during community mobility</w:t>
      </w:r>
    </w:p>
    <w:p>
      <w:pPr>
        <w:pStyle w:val="ListBullet"/>
      </w:pPr>
      <w:r>
        <w:t>Increased cognitive effort required for safe ambulation</w:t>
      </w:r>
    </w:p>
    <w:p>
      <w:pPr>
        <w:pStyle w:val="Heading2"/>
      </w:pPr>
      <w:r>
        <w:t>Summary of Trial Outcomes</w:t>
      </w:r>
    </w:p>
    <w:tbl>
      <w:tblPr>
        <w:tblW w:type="auto" w:w="0"/>
        <w:tblLook w:firstColumn="1" w:firstRow="1" w:lastColumn="0" w:lastRow="0" w:noHBand="0" w:noVBand="1" w:val="04A0"/>
      </w:tblPr>
      <w:tblGrid>
        <w:gridCol w:w="2160"/>
        <w:gridCol w:w="2160"/>
        <w:gridCol w:w="2160"/>
        <w:gridCol w:w="2160"/>
      </w:tblGrid>
      <w:tr>
        <w:tc>
          <w:tcPr>
            <w:tcW w:type="dxa" w:w="2160"/>
          </w:tcPr>
          <w:p>
            <w:r>
              <w:t>Outcome Measure</w:t>
            </w:r>
          </w:p>
        </w:tc>
        <w:tc>
          <w:tcPr>
            <w:tcW w:type="dxa" w:w="2160"/>
          </w:tcPr>
          <w:p>
            <w:r>
              <w:t>Pre-Trial</w:t>
            </w:r>
          </w:p>
        </w:tc>
        <w:tc>
          <w:tcPr>
            <w:tcW w:type="dxa" w:w="2160"/>
          </w:tcPr>
          <w:p>
            <w:r>
              <w:t>End of Trial</w:t>
            </w:r>
          </w:p>
        </w:tc>
        <w:tc>
          <w:tcPr>
            <w:tcW w:type="dxa" w:w="2160"/>
          </w:tcPr>
          <w:p>
            <w:r>
              <w:t>Change</w:t>
            </w:r>
          </w:p>
        </w:tc>
      </w:tr>
      <w:tr>
        <w:tc>
          <w:tcPr>
            <w:tcW w:type="dxa" w:w="2160"/>
          </w:tcPr>
          <w:p>
            <w:r>
              <w:t>TUG</w:t>
            </w:r>
          </w:p>
        </w:tc>
        <w:tc>
          <w:tcPr>
            <w:tcW w:type="dxa" w:w="2160"/>
          </w:tcPr>
          <w:p>
            <w:r>
              <w:t>42.57 sec</w:t>
            </w:r>
          </w:p>
        </w:tc>
        <w:tc>
          <w:tcPr>
            <w:tcW w:type="dxa" w:w="2160"/>
          </w:tcPr>
          <w:p>
            <w:r>
              <w:t>33.11 sec</w:t>
            </w:r>
          </w:p>
        </w:tc>
        <w:tc>
          <w:tcPr>
            <w:tcW w:type="dxa" w:w="2160"/>
          </w:tcPr>
          <w:p>
            <w:r>
              <w:t>22% improvement</w:t>
            </w:r>
          </w:p>
        </w:tc>
      </w:tr>
      <w:tr>
        <w:tc>
          <w:tcPr>
            <w:tcW w:type="dxa" w:w="2160"/>
          </w:tcPr>
          <w:p>
            <w:r>
              <w:t>6MWT</w:t>
            </w:r>
          </w:p>
        </w:tc>
        <w:tc>
          <w:tcPr>
            <w:tcW w:type="dxa" w:w="2160"/>
          </w:tcPr>
          <w:p>
            <w:r>
              <w:t>57 m</w:t>
            </w:r>
          </w:p>
        </w:tc>
        <w:tc>
          <w:tcPr>
            <w:tcW w:type="dxa" w:w="2160"/>
          </w:tcPr>
          <w:p>
            <w:r>
              <w:t>90 m</w:t>
            </w:r>
          </w:p>
        </w:tc>
        <w:tc>
          <w:tcPr>
            <w:tcW w:type="dxa" w:w="2160"/>
          </w:tcPr>
          <w:p>
            <w:r>
              <w:t>58% improvement</w:t>
            </w:r>
          </w:p>
        </w:tc>
      </w:tr>
      <w:tr>
        <w:tc>
          <w:tcPr>
            <w:tcW w:type="dxa" w:w="2160"/>
          </w:tcPr>
          <w:p>
            <w:r>
              <w:t>DGI</w:t>
            </w:r>
          </w:p>
        </w:tc>
        <w:tc>
          <w:tcPr>
            <w:tcW w:type="dxa" w:w="2160"/>
          </w:tcPr>
          <w:p>
            <w:r>
              <w:t>11/24</w:t>
            </w:r>
          </w:p>
        </w:tc>
        <w:tc>
          <w:tcPr>
            <w:tcW w:type="dxa" w:w="2160"/>
          </w:tcPr>
          <w:p>
            <w:r>
              <w:t>14/24</w:t>
            </w:r>
          </w:p>
        </w:tc>
        <w:tc>
          <w:tcPr>
            <w:tcW w:type="dxa" w:w="2160"/>
          </w:tcPr>
          <w:p>
            <w:r>
              <w:t>Improved</w:t>
            </w:r>
          </w:p>
        </w:tc>
      </w:tr>
    </w:tbl>
    <w:p>
      <w:pPr>
        <w:pStyle w:val="Heading2"/>
      </w:pPr>
      <w:r>
        <w:t>Clinical Recommendation</w:t>
      </w:r>
    </w:p>
    <w:p>
      <w:r>
        <w:t>Based on the assessment findings, trial outcomes, washout results and supporting evidence, ongoing access to the Bioness L300 Go Functional Electrical Stimulation System is strongly recommended as High Cost Assistive Technology under the NDIS.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