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630F" w14:textId="732EF437" w:rsidR="00774F0D" w:rsidRPr="00447A17" w:rsidRDefault="000B7462" w:rsidP="00B331EC">
      <w:pPr>
        <w:pStyle w:val="PaperTitle"/>
        <w:rPr>
          <w:sz w:val="48"/>
          <w:szCs w:val="48"/>
        </w:rPr>
      </w:pPr>
      <w:r>
        <w:rPr>
          <w:sz w:val="48"/>
          <w:szCs w:val="48"/>
        </w:rPr>
        <w:t>Application of Quadtrees in Image Processing</w:t>
      </w:r>
    </w:p>
    <w:p w14:paraId="5A0E239E" w14:textId="77777777" w:rsidR="00774F0D" w:rsidRDefault="00774F0D">
      <w:pPr>
        <w:jc w:val="center"/>
        <w:rPr>
          <w:szCs w:val="24"/>
        </w:rPr>
      </w:pPr>
    </w:p>
    <w:p w14:paraId="6B795743" w14:textId="371C6E76" w:rsidR="00774F0D" w:rsidRDefault="007F7FAC" w:rsidP="00B331EC">
      <w:pPr>
        <w:pStyle w:val="Authors"/>
        <w:rPr>
          <w:szCs w:val="22"/>
        </w:rPr>
      </w:pPr>
      <w:r>
        <w:rPr>
          <w:szCs w:val="22"/>
        </w:rPr>
        <w:t>Matthew Kevin Amadeus</w:t>
      </w:r>
      <w:r w:rsidR="00B331EC">
        <w:rPr>
          <w:szCs w:val="22"/>
        </w:rPr>
        <w:t xml:space="preserve"> </w:t>
      </w:r>
      <w:r>
        <w:rPr>
          <w:szCs w:val="22"/>
        </w:rPr>
        <w:t>13518035</w:t>
      </w:r>
      <w:r w:rsidR="00774F0D">
        <w:rPr>
          <w:szCs w:val="22"/>
        </w:rPr>
        <w:t xml:space="preserve"> </w:t>
      </w:r>
    </w:p>
    <w:p w14:paraId="291590A4"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3B5A9B40" w14:textId="77777777" w:rsidR="00B331EC" w:rsidRDefault="00B331EC" w:rsidP="00B331EC">
      <w:pPr>
        <w:pStyle w:val="Affiliations"/>
      </w:pPr>
      <w:proofErr w:type="spellStart"/>
      <w:r>
        <w:t>Sekolah</w:t>
      </w:r>
      <w:proofErr w:type="spellEnd"/>
      <w:r>
        <w:t xml:space="preserve"> Teknik </w:t>
      </w:r>
      <w:proofErr w:type="spellStart"/>
      <w:r>
        <w:t>Elektro</w:t>
      </w:r>
      <w:proofErr w:type="spellEnd"/>
      <w:r>
        <w:t xml:space="preserve"> dan </w:t>
      </w:r>
      <w:proofErr w:type="spellStart"/>
      <w:r>
        <w:t>Informatika</w:t>
      </w:r>
      <w:proofErr w:type="spellEnd"/>
    </w:p>
    <w:p w14:paraId="1E02BE85" w14:textId="77777777" w:rsidR="00774F0D" w:rsidRPr="00B331EC" w:rsidRDefault="00774F0D">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w:t>
      </w:r>
      <w:proofErr w:type="spellStart"/>
      <w:r w:rsidRPr="00B331EC">
        <w:t>Ganesha</w:t>
      </w:r>
      <w:proofErr w:type="spellEnd"/>
      <w:r w:rsidRPr="00B331EC">
        <w:t xml:space="preserve">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6A53A6BE" w14:textId="6540D2E6" w:rsidR="00774F0D" w:rsidRDefault="007F7FAC" w:rsidP="00B331EC">
      <w:pPr>
        <w:pStyle w:val="Affiliations"/>
      </w:pPr>
      <w:r>
        <w:t>mkamadeus.mka@gmail.com 13518035</w:t>
      </w:r>
      <w:r w:rsidR="00774F0D">
        <w:t>@</w:t>
      </w:r>
      <w:r>
        <w:t>std.stei.</w:t>
      </w:r>
      <w:r w:rsidR="00774F0D">
        <w:t>itb.ac.id</w:t>
      </w:r>
    </w:p>
    <w:p w14:paraId="2630AA3B" w14:textId="77777777" w:rsidR="00774F0D" w:rsidRDefault="00774F0D">
      <w:pPr>
        <w:jc w:val="center"/>
      </w:pPr>
    </w:p>
    <w:p w14:paraId="33FF5FCB" w14:textId="77777777" w:rsidR="00774F0D" w:rsidRDefault="00774F0D">
      <w:pPr>
        <w:jc w:val="center"/>
      </w:pPr>
    </w:p>
    <w:p w14:paraId="670AB7B9" w14:textId="77777777" w:rsidR="00774F0D" w:rsidRDefault="00774F0D">
      <w:pPr>
        <w:jc w:val="center"/>
      </w:pPr>
    </w:p>
    <w:p w14:paraId="21373144" w14:textId="77777777" w:rsidR="00774F0D" w:rsidRDefault="00774F0D">
      <w:pPr>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5D69B73F" w14:textId="0809D731" w:rsidR="00774F0D" w:rsidRDefault="00774F0D">
      <w:pPr>
        <w:pStyle w:val="Abstract"/>
      </w:pPr>
      <w:r>
        <w:rPr>
          <w:i/>
          <w:iCs/>
        </w:rPr>
        <w:t>Abstract</w:t>
      </w:r>
      <w:r>
        <w:t>—</w:t>
      </w:r>
      <w:r w:rsidR="008B5AF6">
        <w:t xml:space="preserve">This paper elaborates the practical uses of quadtrees; a data structure that stores information of an image in a tree-like manner. With </w:t>
      </w:r>
      <w:r w:rsidR="00EB0591">
        <w:t>quadtrees, image can be represented quite efficiently and a lot of algorithms depend on this quadtree model of an image in order for it to work.</w:t>
      </w:r>
    </w:p>
    <w:p w14:paraId="3BA7D8E8" w14:textId="77777777" w:rsidR="00774F0D" w:rsidRDefault="00774F0D">
      <w:pPr>
        <w:pStyle w:val="Abstract"/>
      </w:pPr>
    </w:p>
    <w:p w14:paraId="31392123" w14:textId="45311D38" w:rsidR="00774F0D" w:rsidRDefault="00447A17">
      <w:pPr>
        <w:pStyle w:val="Abstract"/>
      </w:pPr>
      <w:bookmarkStart w:id="0" w:name="PointTmp"/>
      <w:r>
        <w:rPr>
          <w:i/>
          <w:iCs/>
        </w:rPr>
        <w:t>Keywords</w:t>
      </w:r>
      <w:r w:rsidR="00774F0D">
        <w:t>—</w:t>
      </w:r>
      <w:r w:rsidR="00803F37">
        <w:t xml:space="preserve">quadtrees, image processing, trees, recursive. </w:t>
      </w:r>
    </w:p>
    <w:p w14:paraId="77B901EB" w14:textId="77777777" w:rsidR="00774F0D" w:rsidRDefault="00774F0D">
      <w:pPr>
        <w:pStyle w:val="Text"/>
      </w:pPr>
    </w:p>
    <w:p w14:paraId="0F8B9C25" w14:textId="77777777" w:rsidR="00774F0D" w:rsidRDefault="00774F0D">
      <w:pPr>
        <w:pStyle w:val="Text"/>
      </w:pPr>
    </w:p>
    <w:bookmarkEnd w:id="0"/>
    <w:p w14:paraId="79F1F002" w14:textId="77777777" w:rsidR="00774F0D" w:rsidRDefault="00774F0D">
      <w:pPr>
        <w:pStyle w:val="Heading1"/>
        <w:tabs>
          <w:tab w:val="left" w:pos="0"/>
        </w:tabs>
      </w:pPr>
      <w:r>
        <w:t>I.   Introduction</w:t>
      </w:r>
    </w:p>
    <w:p w14:paraId="3B6A77B8" w14:textId="103A0F64" w:rsidR="00774F0D" w:rsidRDefault="00803F37">
      <w:pPr>
        <w:pStyle w:val="Text"/>
      </w:pPr>
      <w:r>
        <w:t>Whether you are a</w:t>
      </w:r>
      <w:r w:rsidR="00A81AB8">
        <w:t xml:space="preserve"> person that never touches programs relating to graphic design,</w:t>
      </w:r>
      <w:r w:rsidR="00AB1C99">
        <w:t xml:space="preserve"> you have encountered or will encounter </w:t>
      </w:r>
      <w:bookmarkStart w:id="1" w:name="_Hlk26045829"/>
      <w:r w:rsidR="00AB1C99">
        <w:t xml:space="preserve">things relating to image processing. Back in the days, analog image processing is preferable, as there are no technologies to </w:t>
      </w:r>
      <w:r w:rsidR="00166127">
        <w:t xml:space="preserve">do it digitally; yet. In this era, it is very common to use computers as the brains to do that process </w:t>
      </w:r>
      <w:bookmarkEnd w:id="1"/>
      <w:r w:rsidR="00166127">
        <w:t>digitally. Photo editing, 2D or even 3D animations are all created in a computer.</w:t>
      </w:r>
    </w:p>
    <w:p w14:paraId="1E6D21E8" w14:textId="09D003C4" w:rsidR="00166127" w:rsidRDefault="00166127">
      <w:pPr>
        <w:pStyle w:val="Text"/>
      </w:pPr>
      <w:r>
        <w:t>Humans and computers are different in the</w:t>
      </w:r>
      <w:r w:rsidR="00C27D38">
        <w:t xml:space="preserve"> way of perceiving </w:t>
      </w:r>
      <w:r w:rsidR="006E0183">
        <w:t xml:space="preserve">visual contents, such as images. </w:t>
      </w:r>
      <w:r w:rsidR="00431F69">
        <w:t>Humans can directly perceive it as light that is being processed by ou</w:t>
      </w:r>
      <w:r w:rsidR="00785689">
        <w:t>r</w:t>
      </w:r>
      <w:r w:rsidR="00431F69">
        <w:t xml:space="preserve"> brains as colors, as for computers, it can only read numbers as an input. By using an appropriate data structure, such as </w:t>
      </w:r>
      <w:r w:rsidR="00431F69">
        <w:rPr>
          <w:i/>
          <w:iCs/>
        </w:rPr>
        <w:t>quadtrees</w:t>
      </w:r>
      <w:r w:rsidR="00431F69">
        <w:t>, can help computers to access information faster and efficiently.</w:t>
      </w:r>
      <w:r w:rsidR="00BD6B46">
        <w:t xml:space="preserve"> </w:t>
      </w:r>
    </w:p>
    <w:p w14:paraId="7E7FAE6C" w14:textId="77777777" w:rsidR="00447A17" w:rsidRDefault="00447A17">
      <w:pPr>
        <w:pStyle w:val="Text"/>
      </w:pPr>
    </w:p>
    <w:p w14:paraId="03536A9C" w14:textId="1FEF0F24" w:rsidR="00774F0D" w:rsidRDefault="00774F0D">
      <w:pPr>
        <w:pStyle w:val="Heading1"/>
        <w:tabs>
          <w:tab w:val="left" w:pos="0"/>
        </w:tabs>
      </w:pPr>
      <w:r>
        <w:t xml:space="preserve">II.  </w:t>
      </w:r>
      <w:r w:rsidR="00CD6765">
        <w:t>Theoretical Basis</w:t>
      </w:r>
    </w:p>
    <w:p w14:paraId="58B1FB31" w14:textId="00AC8A27" w:rsidR="00CD6765" w:rsidRDefault="00CD6765" w:rsidP="00CD6765">
      <w:pPr>
        <w:pStyle w:val="Heading2"/>
        <w:tabs>
          <w:tab w:val="left" w:pos="142"/>
        </w:tabs>
      </w:pPr>
      <w:r>
        <w:t xml:space="preserve">A. </w:t>
      </w:r>
      <w:r w:rsidR="00785689">
        <w:t>Quadtrees</w:t>
      </w:r>
    </w:p>
    <w:p w14:paraId="55AEE917" w14:textId="3925361E" w:rsidR="00774F0D" w:rsidRDefault="00785689" w:rsidP="00810AE3">
      <w:pPr>
        <w:pStyle w:val="Text"/>
        <w:rPr>
          <w:ins w:id="2" w:author="Matthew Kevin Amadeus" w:date="2019-11-30T23:25:00Z"/>
        </w:rPr>
      </w:pPr>
      <w:r>
        <w:t xml:space="preserve">The most common form of trees that is used in computer science is of course; </w:t>
      </w:r>
      <w:r>
        <w:rPr>
          <w:i/>
          <w:iCs/>
        </w:rPr>
        <w:t>the Binary Tree</w:t>
      </w:r>
      <w:r>
        <w:t xml:space="preserve">. With quadtrees, things are a little bit different. </w:t>
      </w:r>
      <w:r w:rsidR="007E4996">
        <w:t xml:space="preserve">Binary trees, as named for its count of children, has two children. Whereas for quadtrees, they </w:t>
      </w:r>
      <w:r w:rsidR="00BF672E">
        <w:t xml:space="preserve">have </w:t>
      </w:r>
      <w:r w:rsidR="00BF672E">
        <w:rPr>
          <w:i/>
          <w:iCs/>
        </w:rPr>
        <w:t xml:space="preserve">four </w:t>
      </w:r>
      <w:r w:rsidR="00BF672E">
        <w:t>children.</w:t>
      </w:r>
      <w:r w:rsidR="00810AE3">
        <w:t xml:space="preserve"> </w:t>
      </w:r>
      <w:r w:rsidR="00D97FA2">
        <w:t xml:space="preserve">Formally </w:t>
      </w:r>
      <w:r w:rsidR="00BA4CCF">
        <w:t xml:space="preserve">elaborated, </w:t>
      </w:r>
      <w:r w:rsidR="00BA4CCF" w:rsidRPr="00BA4CCF">
        <w:t>Quadtrees are hierarchical spatial tree data structures that are based on the principle of recursive decomposition of space</w:t>
      </w:r>
      <w:r w:rsidR="00BA4CCF">
        <w:t xml:space="preserve"> [1]</w:t>
      </w:r>
      <w:r w:rsidR="00BA4CCF" w:rsidRPr="00BA4CCF">
        <w:t>.</w:t>
      </w:r>
    </w:p>
    <w:p w14:paraId="6399FA55" w14:textId="77777777" w:rsidR="00701634" w:rsidRDefault="00701634" w:rsidP="00810AE3">
      <w:pPr>
        <w:pStyle w:val="Text"/>
      </w:pPr>
    </w:p>
    <w:p w14:paraId="0DE6197E" w14:textId="1CC66A3A" w:rsidR="00D97FA2" w:rsidRDefault="00FD6E03" w:rsidP="00CD6765">
      <w:pPr>
        <w:pStyle w:val="Text"/>
      </w:pPr>
      <w:r>
        <w:rPr>
          <w:noProof/>
        </w:rPr>
        <w:drawing>
          <wp:inline distT="0" distB="0" distL="0" distR="0" wp14:anchorId="2AB2B8D4" wp14:editId="6B274D18">
            <wp:extent cx="2956955" cy="7756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9688" cy="786909"/>
                    </a:xfrm>
                    <a:prstGeom prst="rect">
                      <a:avLst/>
                    </a:prstGeom>
                    <a:noFill/>
                    <a:ln>
                      <a:noFill/>
                    </a:ln>
                  </pic:spPr>
                </pic:pic>
              </a:graphicData>
            </a:graphic>
          </wp:inline>
        </w:drawing>
      </w:r>
    </w:p>
    <w:p w14:paraId="7ED10A00" w14:textId="5B380854" w:rsidR="009272C4" w:rsidRPr="00531CCF" w:rsidRDefault="009272C4" w:rsidP="00531CCF">
      <w:pPr>
        <w:pStyle w:val="Text"/>
        <w:ind w:firstLine="0"/>
        <w:rPr>
          <w:ins w:id="3" w:author="Matthew Kevin Amadeus" w:date="2019-11-30T23:15:00Z"/>
          <w:i/>
          <w:iCs/>
          <w:rPrChange w:id="4" w:author="Matthew Kevin Amadeus" w:date="2019-11-30T23:16:00Z">
            <w:rPr>
              <w:ins w:id="5" w:author="Matthew Kevin Amadeus" w:date="2019-11-30T23:15:00Z"/>
            </w:rPr>
          </w:rPrChange>
        </w:rPr>
        <w:pPrChange w:id="6" w:author="Matthew Kevin Amadeus" w:date="2019-11-30T23:15:00Z">
          <w:pPr>
            <w:pStyle w:val="Text"/>
          </w:pPr>
        </w:pPrChange>
      </w:pPr>
      <w:r w:rsidRPr="00531CCF">
        <w:rPr>
          <w:i/>
          <w:iCs/>
          <w:rPrChange w:id="7" w:author="Matthew Kevin Amadeus" w:date="2019-11-30T23:16:00Z">
            <w:rPr/>
          </w:rPrChange>
        </w:rPr>
        <w:t xml:space="preserve">(Fig 1: </w:t>
      </w:r>
      <w:ins w:id="8" w:author="Matthew Kevin Amadeus" w:date="2019-11-30T23:12:00Z">
        <w:r w:rsidR="000E75B4" w:rsidRPr="00531CCF">
          <w:rPr>
            <w:i/>
            <w:iCs/>
            <w:rPrChange w:id="9" w:author="Matthew Kevin Amadeus" w:date="2019-11-30T23:16:00Z">
              <w:rPr/>
            </w:rPrChange>
          </w:rPr>
          <w:t>A simple diagram explaining quadtrees</w:t>
        </w:r>
      </w:ins>
      <w:ins w:id="10" w:author="Matthew Kevin Amadeus" w:date="2019-11-30T23:14:00Z">
        <w:r w:rsidR="000E75B4" w:rsidRPr="00531CCF">
          <w:rPr>
            <w:i/>
            <w:iCs/>
            <w:rPrChange w:id="11" w:author="Matthew Kevin Amadeus" w:date="2019-11-30T23:16:00Z">
              <w:rPr/>
            </w:rPrChange>
          </w:rPr>
          <w:t>. [2]</w:t>
        </w:r>
      </w:ins>
      <w:ins w:id="12" w:author="Matthew Kevin Amadeus" w:date="2019-11-30T23:12:00Z">
        <w:r w:rsidR="000E75B4" w:rsidRPr="00531CCF">
          <w:rPr>
            <w:i/>
            <w:iCs/>
            <w:rPrChange w:id="13" w:author="Matthew Kevin Amadeus" w:date="2019-11-30T23:16:00Z">
              <w:rPr/>
            </w:rPrChange>
          </w:rPr>
          <w:t>)</w:t>
        </w:r>
      </w:ins>
    </w:p>
    <w:p w14:paraId="2A17AB06" w14:textId="77777777" w:rsidR="00701634" w:rsidRDefault="00701634" w:rsidP="009272C4">
      <w:pPr>
        <w:pStyle w:val="Text"/>
        <w:rPr>
          <w:ins w:id="14" w:author="Matthew Kevin Amadeus" w:date="2019-11-30T23:25:00Z"/>
        </w:rPr>
      </w:pPr>
    </w:p>
    <w:p w14:paraId="0FA46AF1" w14:textId="25257C20" w:rsidR="00531CCF" w:rsidRDefault="00EA44D6" w:rsidP="009272C4">
      <w:pPr>
        <w:pStyle w:val="Text"/>
        <w:rPr>
          <w:ins w:id="15" w:author="Matthew Kevin Amadeus" w:date="2019-11-30T23:25:00Z"/>
        </w:rPr>
      </w:pPr>
      <w:ins w:id="16" w:author="Matthew Kevin Amadeus" w:date="2019-11-30T23:16:00Z">
        <w:r>
          <w:t>Quadtrees work in a recursive manner; some quadtrees like shown</w:t>
        </w:r>
      </w:ins>
      <w:ins w:id="17" w:author="Matthew Kevin Amadeus" w:date="2019-11-30T23:17:00Z">
        <w:r>
          <w:t xml:space="preserve"> in Figure 1 stores information of regions. It divides a rather large image into four subsections (northwest, northeast southeast, and southwest</w:t>
        </w:r>
        <w:r w:rsidR="00665034">
          <w:t>).</w:t>
        </w:r>
      </w:ins>
      <w:ins w:id="18" w:author="Matthew Kevin Amadeus" w:date="2019-11-30T23:18:00Z">
        <w:r w:rsidR="00665034">
          <w:t xml:space="preserve"> At that example, it divides until a </w:t>
        </w:r>
        <w:r w:rsidR="00665034">
          <w:t>region is homogenous, hence no need of further decomposition.</w:t>
        </w:r>
      </w:ins>
      <w:ins w:id="19" w:author="Matthew Kevin Amadeus" w:date="2019-11-30T23:24:00Z">
        <w:r w:rsidR="00701634">
          <w:t xml:space="preserve"> This property of the quadtree makes it rather efficient in </w:t>
        </w:r>
      </w:ins>
      <w:ins w:id="20" w:author="Matthew Kevin Amadeus" w:date="2019-11-30T23:25:00Z">
        <w:r w:rsidR="00701634">
          <w:t>storing spatial data.</w:t>
        </w:r>
      </w:ins>
    </w:p>
    <w:p w14:paraId="770321BD" w14:textId="4348337F" w:rsidR="00701634" w:rsidRPr="00BF672E" w:rsidRDefault="00701634" w:rsidP="009272C4">
      <w:pPr>
        <w:pStyle w:val="Text"/>
      </w:pPr>
      <w:ins w:id="21" w:author="Matthew Kevin Amadeus" w:date="2019-11-30T23:25:00Z">
        <w:r>
          <w:t xml:space="preserve">Quadtrees </w:t>
        </w:r>
      </w:ins>
      <w:ins w:id="22" w:author="Matthew Kevin Amadeus" w:date="2019-11-30T23:31:00Z">
        <w:r w:rsidR="001231F0">
          <w:t>are</w:t>
        </w:r>
      </w:ins>
      <w:ins w:id="23" w:author="Matthew Kevin Amadeus" w:date="2019-11-30T23:28:00Z">
        <w:r w:rsidR="008571F4">
          <w:t xml:space="preserve"> </w:t>
        </w:r>
      </w:ins>
      <w:ins w:id="24" w:author="Matthew Kevin Amadeus" w:date="2019-11-30T23:31:00Z">
        <w:r w:rsidR="001231F0">
          <w:t>a quintessential</w:t>
        </w:r>
      </w:ins>
      <w:ins w:id="25" w:author="Matthew Kevin Amadeus" w:date="2019-11-30T23:28:00Z">
        <w:r w:rsidR="008571F4">
          <w:t xml:space="preserve"> data structure to store </w:t>
        </w:r>
      </w:ins>
      <w:ins w:id="26" w:author="Matthew Kevin Amadeus" w:date="2019-11-30T23:31:00Z">
        <w:r w:rsidR="008571F4">
          <w:t>spatial related data.</w:t>
        </w:r>
      </w:ins>
      <w:ins w:id="27" w:author="Matthew Kevin Amadeus" w:date="2019-11-30T23:32:00Z">
        <w:r w:rsidR="004D0DE9">
          <w:t xml:space="preserve"> Figure 1 shows a variation of a quadtree, namely the region quadtree.</w:t>
        </w:r>
      </w:ins>
      <w:ins w:id="28" w:author="Matthew Kevin Amadeus" w:date="2019-11-30T23:33:00Z">
        <w:r w:rsidR="005A2C22">
          <w:t xml:space="preserve"> Another variation of the quadtree is to store point information in </w:t>
        </w:r>
      </w:ins>
      <w:ins w:id="29" w:author="Matthew Kevin Amadeus" w:date="2019-11-30T23:34:00Z">
        <w:r w:rsidR="005A2C22">
          <w:t>an efficient manner.</w:t>
        </w:r>
        <w:r w:rsidR="005C6CE1">
          <w:t xml:space="preserve"> </w:t>
        </w:r>
      </w:ins>
      <w:bookmarkStart w:id="30" w:name="_GoBack"/>
      <w:bookmarkEnd w:id="30"/>
      <w:ins w:id="31" w:author="Matthew Kevin Amadeus" w:date="2019-11-30T23:32:00Z">
        <w:r w:rsidR="004D0DE9">
          <w:t xml:space="preserve"> </w:t>
        </w:r>
      </w:ins>
    </w:p>
    <w:p w14:paraId="3230F192" w14:textId="77777777" w:rsidR="00774F0D" w:rsidRDefault="00774F0D">
      <w:pPr>
        <w:pStyle w:val="Heading1"/>
        <w:tabs>
          <w:tab w:val="left" w:pos="0"/>
        </w:tabs>
      </w:pPr>
      <w:r>
        <w:t>III.   Helpful Hints</w:t>
      </w:r>
    </w:p>
    <w:p w14:paraId="1AB03C31" w14:textId="77777777" w:rsidR="00774F0D" w:rsidRDefault="00774F0D">
      <w:pPr>
        <w:pStyle w:val="Heading2"/>
        <w:tabs>
          <w:tab w:val="left" w:pos="142"/>
        </w:tabs>
      </w:pPr>
      <w:r>
        <w:t>A. Figures and Tables</w:t>
      </w:r>
    </w:p>
    <w:p w14:paraId="7601E895"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2449297"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220D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10" o:title=""/>
          </v:shape>
          <o:OLEObject Type="Embed" ProgID="Equation.3" ShapeID="_x0000_i1025" DrawAspect="Content" ObjectID="_1636662061" r:id="rId11"/>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5BB88B70"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51CA26B2" w14:textId="77777777" w:rsidR="00774F0D" w:rsidRDefault="00774F0D">
      <w:pPr>
        <w:pStyle w:val="Text"/>
      </w:pPr>
    </w:p>
    <w:p w14:paraId="533B60CA" w14:textId="77777777" w:rsidR="00774F0D" w:rsidRDefault="00774F0D">
      <w:pPr>
        <w:pStyle w:val="Heading2"/>
        <w:tabs>
          <w:tab w:val="left" w:pos="142"/>
        </w:tabs>
      </w:pPr>
      <w:r>
        <w:t>B. References</w:t>
      </w:r>
    </w:p>
    <w:p w14:paraId="27FD1554"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3327F93B" w14:textId="77777777" w:rsidR="00774F0D" w:rsidRDefault="00774F0D">
      <w:pPr>
        <w:pStyle w:val="Text"/>
      </w:pPr>
      <w:r>
        <w:t xml:space="preserve">Number footnotes separately in superscripts (Insert | </w:t>
      </w:r>
      <w:r>
        <w:lastRenderedPageBreak/>
        <w:t>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1F910B60"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A6E2B88" w14:textId="77777777" w:rsidR="00774F0D" w:rsidRDefault="00774F0D">
      <w:pPr>
        <w:pStyle w:val="Text"/>
      </w:pPr>
    </w:p>
    <w:p w14:paraId="0F88C917" w14:textId="77777777" w:rsidR="00774F0D" w:rsidRDefault="00774F0D">
      <w:pPr>
        <w:pStyle w:val="Heading2"/>
        <w:tabs>
          <w:tab w:val="left" w:pos="142"/>
        </w:tabs>
      </w:pPr>
      <w:r>
        <w:t>C. Abbreviations and Acronyms</w:t>
      </w:r>
    </w:p>
    <w:p w14:paraId="0D97322D"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7C6CB260" w14:textId="77777777" w:rsidR="00447A17" w:rsidRDefault="00447A17">
      <w:pPr>
        <w:pStyle w:val="Text"/>
      </w:pPr>
    </w:p>
    <w:p w14:paraId="7103F865" w14:textId="77777777" w:rsidR="00774F0D" w:rsidRDefault="00774F0D">
      <w:pPr>
        <w:pStyle w:val="Heading2"/>
        <w:tabs>
          <w:tab w:val="left" w:pos="142"/>
        </w:tabs>
      </w:pPr>
      <w:r>
        <w:t>D. Equations</w:t>
      </w:r>
    </w:p>
    <w:p w14:paraId="405D2D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1AF4BB3" w14:textId="77777777" w:rsidR="00774F0D" w:rsidRDefault="00774F0D"/>
    <w:p w14:paraId="4CF7EECA" w14:textId="77777777" w:rsidR="00774F0D" w:rsidRDefault="00774F0D">
      <w:pPr>
        <w:pStyle w:val="Equation"/>
        <w:tabs>
          <w:tab w:val="clear" w:pos="5040"/>
          <w:tab w:val="right" w:pos="4678"/>
        </w:tabs>
      </w:pPr>
      <w:r>
        <w:rPr>
          <w:position w:val="-28"/>
        </w:rPr>
        <w:object w:dxaOrig="5355" w:dyaOrig="764" w14:anchorId="016871FD">
          <v:shape id="_x0000_i1026" type="#_x0000_t75" style="width:267.6pt;height:38.4pt" o:ole="" filled="t">
            <v:fill color2="black"/>
            <v:imagedata r:id="rId12" o:title=""/>
          </v:shape>
          <o:OLEObject Type="Embed" ProgID="Equation.3" ShapeID="_x0000_i1026" DrawAspect="Content" ObjectID="_1636662062" r:id="rId13"/>
        </w:object>
      </w:r>
      <w:r>
        <w:tab/>
        <w:t>(1)</w:t>
      </w:r>
    </w:p>
    <w:p w14:paraId="5E909046" w14:textId="77777777" w:rsidR="00774F0D" w:rsidRDefault="00774F0D"/>
    <w:p w14:paraId="6AFBC5E9"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57E47ED8" w14:textId="165DD4A4" w:rsidR="00774F0D" w:rsidRDefault="00FD6E03">
      <w:pPr>
        <w:pStyle w:val="Text"/>
      </w:pPr>
      <w:r>
        <w:rPr>
          <w:noProof/>
        </w:rPr>
        <w:drawing>
          <wp:inline distT="0" distB="0" distL="0" distR="0" wp14:anchorId="7F0B5A1C" wp14:editId="5AAF690C">
            <wp:extent cx="3231515" cy="8477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1515" cy="847725"/>
                    </a:xfrm>
                    <a:prstGeom prst="rect">
                      <a:avLst/>
                    </a:prstGeom>
                    <a:noFill/>
                    <a:ln>
                      <a:noFill/>
                    </a:ln>
                  </pic:spPr>
                </pic:pic>
              </a:graphicData>
            </a:graphic>
          </wp:inline>
        </w:drawing>
      </w:r>
    </w:p>
    <w:p w14:paraId="73E30067" w14:textId="77777777" w:rsidR="00774F0D" w:rsidRDefault="00774F0D">
      <w:pPr>
        <w:pStyle w:val="Heading2"/>
        <w:tabs>
          <w:tab w:val="left" w:pos="142"/>
        </w:tabs>
      </w:pPr>
      <w:r>
        <w:t>E. Other Recommendations</w:t>
      </w:r>
    </w:p>
    <w:p w14:paraId="66936ABF" w14:textId="77777777" w:rsidR="00774F0D" w:rsidRDefault="00774F0D">
      <w:pPr>
        <w:pStyle w:val="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w:t>
      </w:r>
      <w:r>
        <w:t>potential.”</w:t>
      </w:r>
    </w:p>
    <w:p w14:paraId="407320F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BC57090"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7C1850"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3BD59EE" w14:textId="77777777" w:rsidR="00774F0D" w:rsidRDefault="00774F0D">
      <w:pPr>
        <w:pStyle w:val="Text"/>
      </w:pPr>
    </w:p>
    <w:p w14:paraId="022FC107" w14:textId="77777777" w:rsidR="00774F0D" w:rsidRDefault="00774F0D">
      <w:pPr>
        <w:pStyle w:val="Text"/>
      </w:pPr>
    </w:p>
    <w:p w14:paraId="7D0CE60B" w14:textId="77777777" w:rsidR="00774F0D" w:rsidRDefault="00774F0D">
      <w:pPr>
        <w:pStyle w:val="Heading1"/>
        <w:tabs>
          <w:tab w:val="left" w:pos="0"/>
        </w:tabs>
      </w:pPr>
      <w:r>
        <w:t>IV.   Some Common Mistakes</w:t>
      </w:r>
    </w:p>
    <w:p w14:paraId="72E23AE7"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6BFAB5AA"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0C181D71"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42E3412" w14:textId="77777777" w:rsidR="00774F0D" w:rsidRDefault="00774F0D">
      <w:pPr>
        <w:pStyle w:val="Text"/>
      </w:pPr>
    </w:p>
    <w:p w14:paraId="4B905CF9" w14:textId="77777777" w:rsidR="00774F0D" w:rsidRDefault="00774F0D">
      <w:pPr>
        <w:pStyle w:val="Text"/>
      </w:pPr>
    </w:p>
    <w:p w14:paraId="7C4B8C67" w14:textId="77777777" w:rsidR="00774F0D" w:rsidRDefault="00774F0D">
      <w:pPr>
        <w:pStyle w:val="Heading1"/>
        <w:tabs>
          <w:tab w:val="left" w:pos="0"/>
        </w:tabs>
      </w:pPr>
      <w:r>
        <w:t>V.   Conclusion</w:t>
      </w:r>
    </w:p>
    <w:p w14:paraId="79564459"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D891120" w14:textId="77777777" w:rsidR="00774F0D" w:rsidRDefault="00774F0D">
      <w:pPr>
        <w:pStyle w:val="Text"/>
      </w:pPr>
    </w:p>
    <w:p w14:paraId="0E62F024" w14:textId="77777777" w:rsidR="00774F0D" w:rsidRDefault="00774F0D">
      <w:pPr>
        <w:pStyle w:val="Text"/>
      </w:pPr>
    </w:p>
    <w:p w14:paraId="04A33DC5" w14:textId="77777777" w:rsidR="00774F0D" w:rsidRDefault="00774F0D">
      <w:pPr>
        <w:pStyle w:val="Heading1"/>
        <w:tabs>
          <w:tab w:val="left" w:pos="0"/>
        </w:tabs>
      </w:pPr>
      <w:r>
        <w:t>VI.   Appendix</w:t>
      </w:r>
    </w:p>
    <w:p w14:paraId="058553E2" w14:textId="77777777" w:rsidR="00774F0D" w:rsidRDefault="00774F0D">
      <w:pPr>
        <w:pStyle w:val="Text"/>
      </w:pPr>
      <w:r>
        <w:t>Appendixes, if needed, appear before the acknowledgment.</w:t>
      </w:r>
    </w:p>
    <w:p w14:paraId="66EFCA1C" w14:textId="77777777" w:rsidR="00774F0D" w:rsidRDefault="00774F0D">
      <w:pPr>
        <w:pStyle w:val="Text"/>
      </w:pPr>
    </w:p>
    <w:p w14:paraId="1829792E" w14:textId="77777777" w:rsidR="00774F0D" w:rsidRDefault="00774F0D">
      <w:pPr>
        <w:pStyle w:val="Text"/>
      </w:pPr>
    </w:p>
    <w:p w14:paraId="0A1A877F" w14:textId="77777777" w:rsidR="00774F0D" w:rsidRDefault="00774F0D">
      <w:pPr>
        <w:pStyle w:val="Heading1"/>
        <w:tabs>
          <w:tab w:val="left" w:pos="0"/>
        </w:tabs>
      </w:pPr>
      <w:r>
        <w:t>VII.   Acknowledgment</w:t>
      </w:r>
    </w:p>
    <w:p w14:paraId="36CCC5F0"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8D267DE" w14:textId="77777777" w:rsidR="00CC7F0B" w:rsidRDefault="00CC7F0B">
      <w:pPr>
        <w:pStyle w:val="Text"/>
      </w:pPr>
    </w:p>
    <w:p w14:paraId="6AE7AE20" w14:textId="77777777" w:rsidR="00774F0D" w:rsidRDefault="00774F0D">
      <w:pPr>
        <w:pStyle w:val="Heading1"/>
        <w:tabs>
          <w:tab w:val="left" w:pos="0"/>
        </w:tabs>
      </w:pPr>
      <w:r>
        <w:t>References</w:t>
      </w:r>
    </w:p>
    <w:p w14:paraId="550FF2D7" w14:textId="44F61B9C" w:rsidR="00774F0D" w:rsidRDefault="00BA4CCF">
      <w:pPr>
        <w:pStyle w:val="References"/>
        <w:tabs>
          <w:tab w:val="left" w:pos="360"/>
        </w:tabs>
        <w:ind w:left="360" w:hanging="360"/>
        <w:rPr>
          <w:ins w:id="32" w:author="Matthew Kevin Amadeus" w:date="2019-11-30T23:14:00Z"/>
        </w:rPr>
      </w:pPr>
      <w:r>
        <w:t xml:space="preserve">S. </w:t>
      </w:r>
      <w:proofErr w:type="spellStart"/>
      <w:r>
        <w:t>Aluru</w:t>
      </w:r>
      <w:proofErr w:type="spellEnd"/>
      <w:r w:rsidR="00774F0D">
        <w:t>, “</w:t>
      </w:r>
      <w:r>
        <w:t>Handbook of Data Structures and Applications, Second Edition</w:t>
      </w:r>
      <w:r w:rsidR="00774F0D">
        <w:t xml:space="preserve">”.  </w:t>
      </w:r>
      <w:r w:rsidR="00810AE3">
        <w:t>Florida</w:t>
      </w:r>
      <w:r w:rsidR="00774F0D">
        <w:t xml:space="preserve">: </w:t>
      </w:r>
      <w:r w:rsidR="00810AE3">
        <w:t>CRC Press</w:t>
      </w:r>
      <w:r w:rsidR="00774F0D">
        <w:t xml:space="preserve">, </w:t>
      </w:r>
      <w:r w:rsidR="00810AE3">
        <w:t>2018</w:t>
      </w:r>
      <w:r w:rsidR="00774F0D">
        <w:t xml:space="preserve">, pp. </w:t>
      </w:r>
      <w:r>
        <w:t>309</w:t>
      </w:r>
      <w:r w:rsidR="00774F0D">
        <w:t>.</w:t>
      </w:r>
    </w:p>
    <w:p w14:paraId="308DFCD9" w14:textId="59AD3A25" w:rsidR="000E75B4" w:rsidRDefault="000E75B4">
      <w:pPr>
        <w:pStyle w:val="References"/>
        <w:tabs>
          <w:tab w:val="left" w:pos="360"/>
        </w:tabs>
        <w:ind w:left="360" w:hanging="360"/>
      </w:pPr>
      <w:proofErr w:type="spellStart"/>
      <w:ins w:id="33" w:author="Matthew Kevin Amadeus" w:date="2019-11-30T23:14:00Z">
        <w:r>
          <w:t>Vassilakopoulos</w:t>
        </w:r>
        <w:proofErr w:type="spellEnd"/>
        <w:r>
          <w:t xml:space="preserve"> M., </w:t>
        </w:r>
        <w:proofErr w:type="spellStart"/>
        <w:r>
          <w:t>Tzouramanis</w:t>
        </w:r>
        <w:proofErr w:type="spellEnd"/>
        <w:r>
          <w:t xml:space="preserve"> T. (2018) Quadtrees (and Family). In: Liu L., </w:t>
        </w:r>
        <w:proofErr w:type="spellStart"/>
        <w:r>
          <w:t>Özsu</w:t>
        </w:r>
        <w:proofErr w:type="spellEnd"/>
        <w:r>
          <w:t xml:space="preserve"> M.T. (eds) Encyclopedia of Database Systems. Springer, New York, NY</w:t>
        </w:r>
      </w:ins>
    </w:p>
    <w:p w14:paraId="5FE40DA0"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4AEBA611"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xml:space="preserve">: Springer-Verlag, 1985, </w:t>
      </w:r>
      <w:proofErr w:type="spellStart"/>
      <w:r>
        <w:t>ch.</w:t>
      </w:r>
      <w:proofErr w:type="spellEnd"/>
      <w:r>
        <w:t xml:space="preserve"> 4.</w:t>
      </w:r>
    </w:p>
    <w:p w14:paraId="4D4EA614" w14:textId="77777777" w:rsidR="00774F0D" w:rsidRDefault="00774F0D">
      <w:pPr>
        <w:pStyle w:val="References"/>
        <w:tabs>
          <w:tab w:val="left" w:pos="360"/>
        </w:tabs>
        <w:ind w:left="360" w:hanging="360"/>
      </w:pPr>
      <w:r>
        <w:t>B. Smith, “An approach to graphs of linear forms (Unpublished work style),” unpublished.</w:t>
      </w:r>
    </w:p>
    <w:p w14:paraId="5D46272E"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6759E859"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F3399F6" w14:textId="77777777" w:rsidR="00774F0D" w:rsidRDefault="00774F0D" w:rsidP="00B331EC">
      <w:pPr>
        <w:pStyle w:val="References"/>
        <w:tabs>
          <w:tab w:val="left" w:pos="360"/>
        </w:tabs>
        <w:ind w:left="360" w:hanging="360"/>
      </w:pPr>
      <w:r>
        <w:t>C. J. Kaufman, Rocky Mountain Research Lab., Boulder, CO, private communication, May 1995.</w:t>
      </w:r>
    </w:p>
    <w:p w14:paraId="79A66754" w14:textId="77777777" w:rsidR="00774F0D" w:rsidRDefault="00774F0D"/>
    <w:p w14:paraId="7FD6F02E" w14:textId="77777777" w:rsidR="00B331EC" w:rsidRDefault="00B331EC" w:rsidP="00B331EC">
      <w:pPr>
        <w:pStyle w:val="Heading1"/>
        <w:tabs>
          <w:tab w:val="left" w:pos="0"/>
        </w:tabs>
      </w:pPr>
    </w:p>
    <w:p w14:paraId="73C91FDA"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5D7D3E0"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tulisan</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43E7FE95" w14:textId="77777777" w:rsidR="00B331EC" w:rsidRDefault="00B331EC" w:rsidP="00B331EC">
      <w:pPr>
        <w:jc w:val="center"/>
      </w:pPr>
    </w:p>
    <w:p w14:paraId="361E7B89" w14:textId="77777777" w:rsidR="00B331EC" w:rsidRDefault="00B331EC" w:rsidP="00B331EC">
      <w:pPr>
        <w:jc w:val="right"/>
      </w:pPr>
      <w:r>
        <w:t xml:space="preserve">Bandung, </w:t>
      </w:r>
      <w:r w:rsidR="00CC7F0B">
        <w:t>3</w:t>
      </w:r>
      <w:r w:rsidR="00FC5870">
        <w:t xml:space="preserve"> </w:t>
      </w:r>
      <w:proofErr w:type="spellStart"/>
      <w:r w:rsidR="003D0DA4">
        <w:t>Desember</w:t>
      </w:r>
      <w:proofErr w:type="spellEnd"/>
      <w:r>
        <w:t xml:space="preserve"> 201</w:t>
      </w:r>
      <w:r w:rsidR="00CC7F0B">
        <w:t>7</w:t>
      </w:r>
      <w:r>
        <w:t xml:space="preserve">   </w:t>
      </w:r>
    </w:p>
    <w:p w14:paraId="31E2E3ED" w14:textId="77777777" w:rsidR="00B331EC" w:rsidRDefault="00B331EC" w:rsidP="007F7FAC"/>
    <w:p w14:paraId="684EBC6F" w14:textId="0AC51680" w:rsidR="00B331EC" w:rsidRDefault="007F7FAC" w:rsidP="00B331EC">
      <w:pPr>
        <w:jc w:val="right"/>
      </w:pPr>
      <w:r>
        <w:rPr>
          <w:noProof/>
        </w:rPr>
        <w:drawing>
          <wp:inline distT="0" distB="0" distL="0" distR="0" wp14:anchorId="26FC3AEE" wp14:editId="5A37B88E">
            <wp:extent cx="10795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223" b="25305"/>
                    <a:stretch/>
                  </pic:blipFill>
                  <pic:spPr bwMode="auto">
                    <a:xfrm>
                      <a:off x="0" y="0"/>
                      <a:ext cx="1088835" cy="745532"/>
                    </a:xfrm>
                    <a:prstGeom prst="rect">
                      <a:avLst/>
                    </a:prstGeom>
                    <a:noFill/>
                    <a:ln>
                      <a:noFill/>
                    </a:ln>
                    <a:extLst>
                      <a:ext uri="{53640926-AAD7-44D8-BBD7-CCE9431645EC}">
                        <a14:shadowObscured xmlns:a14="http://schemas.microsoft.com/office/drawing/2010/main"/>
                      </a:ext>
                    </a:extLst>
                  </pic:spPr>
                </pic:pic>
              </a:graphicData>
            </a:graphic>
          </wp:inline>
        </w:drawing>
      </w:r>
    </w:p>
    <w:p w14:paraId="2F9FD726" w14:textId="113857C8" w:rsidR="00B331EC" w:rsidRDefault="00B331EC" w:rsidP="00B331EC">
      <w:pPr>
        <w:jc w:val="right"/>
      </w:pPr>
    </w:p>
    <w:p w14:paraId="628A0F59" w14:textId="77777777" w:rsidR="007F7FAC" w:rsidRDefault="007F7FAC" w:rsidP="00B331EC">
      <w:pPr>
        <w:jc w:val="right"/>
      </w:pPr>
      <w:r>
        <w:t>Matthew Kevin Amadeus</w:t>
      </w:r>
    </w:p>
    <w:p w14:paraId="398C5DC3" w14:textId="1DEB2F80" w:rsidR="007F7FAC" w:rsidRDefault="007F7FAC" w:rsidP="00B331EC">
      <w:pPr>
        <w:jc w:val="right"/>
      </w:pPr>
      <w:r>
        <w:t>13518035</w:t>
      </w:r>
    </w:p>
    <w:sectPr w:rsidR="007F7FA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5EA35" w14:textId="77777777" w:rsidR="008B71F6" w:rsidRDefault="008B71F6">
      <w:r>
        <w:separator/>
      </w:r>
    </w:p>
  </w:endnote>
  <w:endnote w:type="continuationSeparator" w:id="0">
    <w:p w14:paraId="731B1930" w14:textId="77777777" w:rsidR="008B71F6" w:rsidRDefault="008B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26CF8" w14:textId="77777777" w:rsidR="00981693" w:rsidRDefault="00981693">
    <w:pPr>
      <w:pStyle w:val="Footer"/>
    </w:pPr>
    <w:proofErr w:type="spellStart"/>
    <w:r>
      <w:t>Makalah</w:t>
    </w:r>
    <w:proofErr w:type="spellEnd"/>
    <w:r>
      <w:t xml:space="preserve"> I</w:t>
    </w:r>
    <w:r w:rsidR="00BA7477">
      <w:t>F</w:t>
    </w:r>
    <w:r w:rsidR="00447A17">
      <w:t>2120</w:t>
    </w:r>
    <w:r>
      <w:t xml:space="preserve"> </w:t>
    </w:r>
    <w:proofErr w:type="spellStart"/>
    <w:r w:rsidR="00447A17">
      <w:t>Matematika</w:t>
    </w:r>
    <w:proofErr w:type="spellEnd"/>
    <w:r w:rsidR="00447A17">
      <w:t xml:space="preserve"> </w:t>
    </w:r>
    <w:proofErr w:type="spellStart"/>
    <w:r w:rsidR="00447A17">
      <w:t>Diskrit</w:t>
    </w:r>
    <w:proofErr w:type="spellEnd"/>
    <w:r>
      <w:t xml:space="preserve"> – Sem. I </w:t>
    </w:r>
    <w:proofErr w:type="spellStart"/>
    <w:r>
      <w:t>Tahun</w:t>
    </w:r>
    <w:proofErr w:type="spellEnd"/>
    <w:r>
      <w:t xml:space="preserve"> 201</w:t>
    </w:r>
    <w:r w:rsidR="00654D6C">
      <w:t>9</w:t>
    </w:r>
    <w:r>
      <w:t>/20</w:t>
    </w:r>
    <w:r w:rsidR="00654D6C">
      <w:t>20</w:t>
    </w:r>
  </w:p>
  <w:p w14:paraId="300B2D94"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54436" w14:textId="77777777" w:rsidR="008B71F6" w:rsidRDefault="008B71F6">
      <w:r>
        <w:separator/>
      </w:r>
    </w:p>
  </w:footnote>
  <w:footnote w:type="continuationSeparator" w:id="0">
    <w:p w14:paraId="6D94C13B" w14:textId="77777777" w:rsidR="008B71F6" w:rsidRDefault="008B71F6">
      <w:r>
        <w:continuationSeparator/>
      </w:r>
    </w:p>
  </w:footnote>
  <w:footnote w:id="1">
    <w:p w14:paraId="4E4C7197"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evin Amadeus">
    <w15:presenceInfo w15:providerId="Windows Live" w15:userId="27a522332820b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40F3"/>
    <w:rsid w:val="0002375A"/>
    <w:rsid w:val="0006330D"/>
    <w:rsid w:val="00065535"/>
    <w:rsid w:val="000657DE"/>
    <w:rsid w:val="00070E8C"/>
    <w:rsid w:val="0008649E"/>
    <w:rsid w:val="000A5A05"/>
    <w:rsid w:val="000B7462"/>
    <w:rsid w:val="000E75B4"/>
    <w:rsid w:val="001231F0"/>
    <w:rsid w:val="00142B51"/>
    <w:rsid w:val="00166127"/>
    <w:rsid w:val="00174C0D"/>
    <w:rsid w:val="001D5216"/>
    <w:rsid w:val="00214003"/>
    <w:rsid w:val="0024070E"/>
    <w:rsid w:val="002C311E"/>
    <w:rsid w:val="00322D18"/>
    <w:rsid w:val="00325660"/>
    <w:rsid w:val="00390CCA"/>
    <w:rsid w:val="003D0DA4"/>
    <w:rsid w:val="00431F69"/>
    <w:rsid w:val="00447A17"/>
    <w:rsid w:val="004A718A"/>
    <w:rsid w:val="004D0DE9"/>
    <w:rsid w:val="005008CD"/>
    <w:rsid w:val="005078B2"/>
    <w:rsid w:val="00531CCF"/>
    <w:rsid w:val="00554164"/>
    <w:rsid w:val="00591552"/>
    <w:rsid w:val="005A2C22"/>
    <w:rsid w:val="005C6CE1"/>
    <w:rsid w:val="00654D6C"/>
    <w:rsid w:val="00665034"/>
    <w:rsid w:val="00696D03"/>
    <w:rsid w:val="006B0425"/>
    <w:rsid w:val="006E0183"/>
    <w:rsid w:val="006F0208"/>
    <w:rsid w:val="00701634"/>
    <w:rsid w:val="00774F0D"/>
    <w:rsid w:val="00776650"/>
    <w:rsid w:val="00783B95"/>
    <w:rsid w:val="00785689"/>
    <w:rsid w:val="007E4996"/>
    <w:rsid w:val="007F7FAC"/>
    <w:rsid w:val="00803F37"/>
    <w:rsid w:val="00810AE3"/>
    <w:rsid w:val="00814F82"/>
    <w:rsid w:val="008571F4"/>
    <w:rsid w:val="008B5AF6"/>
    <w:rsid w:val="008B71F6"/>
    <w:rsid w:val="009057C7"/>
    <w:rsid w:val="009272C4"/>
    <w:rsid w:val="00955825"/>
    <w:rsid w:val="00981693"/>
    <w:rsid w:val="009A23C9"/>
    <w:rsid w:val="00A01966"/>
    <w:rsid w:val="00A17049"/>
    <w:rsid w:val="00A56567"/>
    <w:rsid w:val="00A81AB8"/>
    <w:rsid w:val="00AB1C99"/>
    <w:rsid w:val="00B07BDD"/>
    <w:rsid w:val="00B331EC"/>
    <w:rsid w:val="00BA4CCF"/>
    <w:rsid w:val="00BA7477"/>
    <w:rsid w:val="00BD6B46"/>
    <w:rsid w:val="00BE3E46"/>
    <w:rsid w:val="00BE55FC"/>
    <w:rsid w:val="00BF672E"/>
    <w:rsid w:val="00C03154"/>
    <w:rsid w:val="00C27D38"/>
    <w:rsid w:val="00CC7F0B"/>
    <w:rsid w:val="00CD6765"/>
    <w:rsid w:val="00D05721"/>
    <w:rsid w:val="00D14050"/>
    <w:rsid w:val="00D42D0B"/>
    <w:rsid w:val="00D97FA2"/>
    <w:rsid w:val="00E13043"/>
    <w:rsid w:val="00E37E57"/>
    <w:rsid w:val="00E53002"/>
    <w:rsid w:val="00E8233F"/>
    <w:rsid w:val="00E86D50"/>
    <w:rsid w:val="00EA44D6"/>
    <w:rsid w:val="00EB0591"/>
    <w:rsid w:val="00FC5870"/>
    <w:rsid w:val="00FD085E"/>
    <w:rsid w:val="00FD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612D90BE"/>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UnresolvedMention">
    <w:name w:val="Unresolved Mention"/>
    <w:basedOn w:val="DefaultParagraphFont"/>
    <w:uiPriority w:val="99"/>
    <w:semiHidden/>
    <w:unhideWhenUsed/>
    <w:rsid w:val="007F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5E60D-19C3-469A-832D-C2A78927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11469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Matthew Kevin Amadeus</cp:lastModifiedBy>
  <cp:revision>13</cp:revision>
  <cp:lastPrinted>1999-11-16T03:24:00Z</cp:lastPrinted>
  <dcterms:created xsi:type="dcterms:W3CDTF">2019-11-30T16:09:00Z</dcterms:created>
  <dcterms:modified xsi:type="dcterms:W3CDTF">2019-11-30T16:34:00Z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