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Antimicrobial Resistance Gene Analysis - Whole Genome Sequencing (WGS)</w:t>
      </w:r>
    </w:p>
    <w:p>
      <w:r>
        <w:rPr>
          <w:b/>
        </w:rPr>
        <w:t>Specimen Information</w:t>
      </w:r>
    </w:p>
    <w:tbl>
      <w:tblPr>
        <w:tblW w:type="auto" w:w="0"/>
        <w:tblLook w:firstColumn="1" w:firstRow="1" w:lastColumn="0" w:lastRow="0" w:noHBand="0" w:noVBand="1" w:val="04A0"/>
      </w:tblPr>
      <w:tblGrid>
        <w:gridCol w:w="5400"/>
        <w:gridCol w:w="5400"/>
      </w:tblGrid>
      <w:tr>
        <w:trPr>
          <w:trHeight w:hRule="exact" w:val="288"/>
        </w:trPr>
        <w:tc>
          <w:tcPr>
            <w:tcW w:type="dxa" w:w="3600"/>
          </w:tcPr>
          <w:p>
            <w:r>
              <w:t>WGS Analysis Date:</w:t>
            </w:r>
          </w:p>
        </w:tc>
        <w:tc>
          <w:tcPr>
            <w:tcW w:type="dxa" w:w="5400"/>
          </w:tcPr>
          <w:p>
            <w:r>
              <w:t>2025-01-06</w:t>
            </w:r>
          </w:p>
        </w:tc>
      </w:tr>
      <w:tr>
        <w:trPr>
          <w:trHeight w:hRule="exact" w:val="288"/>
        </w:trPr>
        <w:tc>
          <w:tcPr>
            <w:tcW w:type="dxa" w:w="3600"/>
          </w:tcPr>
          <w:p>
            <w:r>
              <w:t>DPH Lab ID:</w:t>
            </w:r>
          </w:p>
        </w:tc>
        <w:tc>
          <w:tcPr>
            <w:tcW w:type="dxa" w:w="5400"/>
          </w:tcPr>
          <w:p>
            <w:r>
              <w:t>AR55</w:t>
            </w:r>
          </w:p>
        </w:tc>
      </w:tr>
      <w:tr>
        <w:trPr>
          <w:trHeight w:hRule="exact" w:val="288"/>
        </w:trPr>
        <w:tc>
          <w:tcPr>
            <w:tcW w:type="dxa" w:w="3600"/>
          </w:tcPr>
          <w:p>
            <w:r>
              <w:t>Patient Name:</w:t>
            </w:r>
          </w:p>
        </w:tc>
        <w:tc>
          <w:tcPr>
            <w:tcW w:type="dxa" w:w="5400"/>
          </w:tcPr>
          <w:p/>
        </w:tc>
      </w:tr>
    </w:tbl>
    <w:p>
      <w:r>
        <w:rPr>
          <w:b/>
        </w:rPr>
        <w:br/>
        <w:t>Predicted Organism</w:t>
      </w:r>
    </w:p>
    <w:tbl>
      <w:tblPr>
        <w:tblW w:type="auto" w:w="0"/>
        <w:tblLook w:firstColumn="1" w:firstRow="1" w:lastColumn="0" w:lastRow="0" w:noHBand="0" w:noVBand="1" w:val="04A0"/>
      </w:tblPr>
      <w:tblGrid>
        <w:gridCol w:w="5400"/>
        <w:gridCol w:w="5400"/>
      </w:tblGrid>
      <w:tr>
        <w:trPr>
          <w:trHeight w:hRule="exact" w:val="288"/>
        </w:trPr>
        <w:tc>
          <w:tcPr>
            <w:tcW w:type="dxa" w:w="3600"/>
          </w:tcPr>
          <w:p>
            <w:r>
              <w:t>Escherichia coli</w:t>
            </w:r>
          </w:p>
        </w:tc>
        <w:tc>
          <w:tcPr>
            <w:tcW w:type="dxa" w:w="5400"/>
          </w:tcPr>
          <w:p>
            <w:r>
              <w:t>99.72%</w:t>
            </w:r>
          </w:p>
        </w:tc>
      </w:tr>
    </w:tbl>
    <w:p>
      <w:r>
        <w:rPr>
          <w:b/>
        </w:rPr>
        <w:br/>
        <w:t>Resistance Genes</w:t>
      </w:r>
    </w:p>
    <w:tbl>
      <w:tblPr>
        <w:tblStyle w:val="LightList"/>
        <w:tblW w:type="auto" w:w="0"/>
        <w:tblLook w:firstColumn="1" w:firstRow="1" w:lastColumn="0" w:lastRow="0" w:noHBand="0" w:noVBand="1" w:val="04A0"/>
      </w:tblPr>
      <w:tblGrid>
        <w:gridCol w:w="2700"/>
        <w:gridCol w:w="2700"/>
        <w:gridCol w:w="2700"/>
        <w:gridCol w:w="2700"/>
      </w:tblGrid>
      <w:tr>
        <w:tc>
          <w:tcPr>
            <w:tcW w:type="dxa" w:w="2700"/>
          </w:tcPr>
          <w:p>
            <w:r>
              <w:t>Gene</w:t>
            </w:r>
          </w:p>
        </w:tc>
        <w:tc>
          <w:tcPr>
            <w:tcW w:type="dxa" w:w="2700"/>
          </w:tcPr>
          <w:p>
            <w:r>
              <w:t>AR Subclass/Mechanism</w:t>
            </w:r>
          </w:p>
        </w:tc>
        <w:tc>
          <w:tcPr>
            <w:tcW w:type="dxa" w:w="2700"/>
          </w:tcPr>
          <w:p>
            <w:r>
              <w:t>Coverage(%)</w:t>
            </w:r>
          </w:p>
        </w:tc>
        <w:tc>
          <w:tcPr>
            <w:tcW w:type="dxa" w:w="2700"/>
          </w:tcPr>
          <w:p>
            <w:r>
              <w:t>Identity(%)</w:t>
            </w:r>
          </w:p>
        </w:tc>
      </w:tr>
      <w:tr>
        <w:tc>
          <w:tcPr>
            <w:tcW w:type="dxa" w:w="2700"/>
          </w:tcPr>
          <w:p>
            <w:r>
              <w:t>aac(6')-Ib</w:t>
            </w:r>
          </w:p>
        </w:tc>
        <w:tc>
          <w:tcPr>
            <w:tcW w:type="dxa" w:w="2700"/>
          </w:tcPr>
          <w:p>
            <w:r>
              <w:t>AMIKACIN/KANAMYCIN/TOBRAMYCIN</w:t>
            </w:r>
          </w:p>
        </w:tc>
        <w:tc>
          <w:tcPr>
            <w:tcW w:type="dxa" w:w="2700"/>
          </w:tcPr>
          <w:p>
            <w:r>
              <w:t>100.0</w:t>
            </w:r>
          </w:p>
        </w:tc>
        <w:tc>
          <w:tcPr>
            <w:tcW w:type="dxa" w:w="2700"/>
          </w:tcPr>
          <w:p>
            <w:r>
              <w:t>100.0</w:t>
            </w:r>
          </w:p>
        </w:tc>
      </w:tr>
      <w:tr>
        <w:tc>
          <w:tcPr>
            <w:tcW w:type="dxa" w:w="2700"/>
          </w:tcPr>
          <w:p>
            <w:r>
              <w:t>rmtC</w:t>
            </w:r>
          </w:p>
        </w:tc>
        <w:tc>
          <w:tcPr>
            <w:tcW w:type="dxa" w:w="2700"/>
          </w:tcPr>
          <w:p>
            <w:r>
              <w:t>AMINOGLYCOSIDE</w:t>
            </w:r>
          </w:p>
        </w:tc>
        <w:tc>
          <w:tcPr>
            <w:tcW w:type="dxa" w:w="2700"/>
          </w:tcPr>
          <w:p>
            <w:r>
              <w:t>100.0</w:t>
            </w:r>
          </w:p>
        </w:tc>
        <w:tc>
          <w:tcPr>
            <w:tcW w:type="dxa" w:w="2700"/>
          </w:tcPr>
          <w:p>
            <w:r>
              <w:t>100.0</w:t>
            </w:r>
          </w:p>
        </w:tc>
      </w:tr>
      <w:tr>
        <w:tc>
          <w:tcPr>
            <w:tcW w:type="dxa" w:w="2700"/>
          </w:tcPr>
          <w:p>
            <w:r>
              <w:t>mph(A)</w:t>
            </w:r>
          </w:p>
        </w:tc>
        <w:tc>
          <w:tcPr>
            <w:tcW w:type="dxa" w:w="2700"/>
          </w:tcPr>
          <w:p>
            <w:r>
              <w:t>AZITHROMYCIN/ERYTHROMYCIN/SPIRAMYCIN/TELITHROMYCIN</w:t>
            </w:r>
          </w:p>
        </w:tc>
        <w:tc>
          <w:tcPr>
            <w:tcW w:type="dxa" w:w="2700"/>
          </w:tcPr>
          <w:p>
            <w:r>
              <w:t>100.0</w:t>
            </w:r>
          </w:p>
        </w:tc>
        <w:tc>
          <w:tcPr>
            <w:tcW w:type="dxa" w:w="2700"/>
          </w:tcPr>
          <w:p>
            <w:r>
              <w:t>100.0</w:t>
            </w:r>
          </w:p>
        </w:tc>
      </w:tr>
      <w:tr>
        <w:tc>
          <w:tcPr>
            <w:tcW w:type="dxa" w:w="2700"/>
          </w:tcPr>
          <w:p>
            <w:r>
              <w:t>blaEC</w:t>
            </w:r>
          </w:p>
        </w:tc>
        <w:tc>
          <w:tcPr>
            <w:tcW w:type="dxa" w:w="2700"/>
          </w:tcPr>
          <w:p>
            <w:r>
              <w:t>BETA-LACTAM</w:t>
            </w:r>
          </w:p>
        </w:tc>
        <w:tc>
          <w:tcPr>
            <w:tcW w:type="dxa" w:w="2700"/>
          </w:tcPr>
          <w:p>
            <w:r>
              <w:t>88.59</w:t>
            </w:r>
          </w:p>
        </w:tc>
        <w:tc>
          <w:tcPr>
            <w:tcW w:type="dxa" w:w="2700"/>
          </w:tcPr>
          <w:p>
            <w:r>
              <w:t>99.1</w:t>
            </w:r>
          </w:p>
        </w:tc>
      </w:tr>
      <w:tr>
        <w:tc>
          <w:tcPr>
            <w:tcW w:type="dxa" w:w="2700"/>
          </w:tcPr>
          <w:p>
            <w:r>
              <w:t>ble</w:t>
            </w:r>
          </w:p>
        </w:tc>
        <w:tc>
          <w:tcPr>
            <w:tcW w:type="dxa" w:w="2700"/>
          </w:tcPr>
          <w:p>
            <w:r>
              <w:t>BLEOMYCIN</w:t>
            </w:r>
          </w:p>
        </w:tc>
        <w:tc>
          <w:tcPr>
            <w:tcW w:type="dxa" w:w="2700"/>
          </w:tcPr>
          <w:p>
            <w:r>
              <w:t>100.0</w:t>
            </w:r>
          </w:p>
        </w:tc>
        <w:tc>
          <w:tcPr>
            <w:tcW w:type="dxa" w:w="2700"/>
          </w:tcPr>
          <w:p>
            <w:r>
              <w:t>100.0</w:t>
            </w:r>
          </w:p>
        </w:tc>
      </w:tr>
      <w:tr>
        <w:tc>
          <w:tcPr>
            <w:tcW w:type="dxa" w:w="2700"/>
          </w:tcPr>
          <w:p>
            <w:r>
              <w:t>blaNDM-1</w:t>
            </w:r>
          </w:p>
        </w:tc>
        <w:tc>
          <w:tcPr>
            <w:tcW w:type="dxa" w:w="2700"/>
          </w:tcPr>
          <w:p>
            <w:r>
              <w:t>CARBAPENEM</w:t>
            </w:r>
          </w:p>
        </w:tc>
        <w:tc>
          <w:tcPr>
            <w:tcW w:type="dxa" w:w="2700"/>
          </w:tcPr>
          <w:p>
            <w:r>
              <w:t>100.0</w:t>
            </w:r>
          </w:p>
        </w:tc>
        <w:tc>
          <w:tcPr>
            <w:tcW w:type="dxa" w:w="2700"/>
          </w:tcPr>
          <w:p>
            <w:r>
              <w:t>100.0</w:t>
            </w:r>
          </w:p>
        </w:tc>
      </w:tr>
      <w:tr>
        <w:tc>
          <w:tcPr>
            <w:tcW w:type="dxa" w:w="2700"/>
          </w:tcPr>
          <w:p>
            <w:r>
              <w:t>blaCMY-6</w:t>
            </w:r>
          </w:p>
        </w:tc>
        <w:tc>
          <w:tcPr>
            <w:tcW w:type="dxa" w:w="2700"/>
          </w:tcPr>
          <w:p>
            <w:r>
              <w:t>CEPHALOSPORIN</w:t>
            </w:r>
          </w:p>
        </w:tc>
        <w:tc>
          <w:tcPr>
            <w:tcW w:type="dxa" w:w="2700"/>
          </w:tcPr>
          <w:p>
            <w:r>
              <w:t>100.0</w:t>
            </w:r>
          </w:p>
        </w:tc>
        <w:tc>
          <w:tcPr>
            <w:tcW w:type="dxa" w:w="2700"/>
          </w:tcPr>
          <w:p>
            <w:r>
              <w:t>100.0</w:t>
            </w:r>
          </w:p>
        </w:tc>
      </w:tr>
      <w:tr>
        <w:tc>
          <w:tcPr>
            <w:tcW w:type="dxa" w:w="2700"/>
          </w:tcPr>
          <w:p>
            <w:r>
              <w:t>blaOXA-1</w:t>
            </w:r>
          </w:p>
        </w:tc>
        <w:tc>
          <w:tcPr>
            <w:tcW w:type="dxa" w:w="2700"/>
          </w:tcPr>
          <w:p>
            <w:r>
              <w:t>CEPHALOSPORIN</w:t>
            </w:r>
          </w:p>
        </w:tc>
        <w:tc>
          <w:tcPr>
            <w:tcW w:type="dxa" w:w="2700"/>
          </w:tcPr>
          <w:p>
            <w:r>
              <w:t>100.0</w:t>
            </w:r>
          </w:p>
        </w:tc>
        <w:tc>
          <w:tcPr>
            <w:tcW w:type="dxa" w:w="2700"/>
          </w:tcPr>
          <w:p>
            <w:r>
              <w:t>100.0</w:t>
            </w:r>
          </w:p>
        </w:tc>
      </w:tr>
      <w:tr>
        <w:tc>
          <w:tcPr>
            <w:tcW w:type="dxa" w:w="2700"/>
          </w:tcPr>
          <w:p>
            <w:r>
              <w:t>catB3</w:t>
            </w:r>
          </w:p>
        </w:tc>
        <w:tc>
          <w:tcPr>
            <w:tcW w:type="dxa" w:w="2700"/>
          </w:tcPr>
          <w:p>
            <w:r>
              <w:t>CHLORAMPHENICOL</w:t>
            </w:r>
          </w:p>
        </w:tc>
        <w:tc>
          <w:tcPr>
            <w:tcW w:type="dxa" w:w="2700"/>
          </w:tcPr>
          <w:p>
            <w:r>
              <w:t>70.0</w:t>
            </w:r>
          </w:p>
        </w:tc>
        <w:tc>
          <w:tcPr>
            <w:tcW w:type="dxa" w:w="2700"/>
          </w:tcPr>
          <w:p>
            <w:r>
              <w:t>100.0</w:t>
            </w:r>
          </w:p>
        </w:tc>
      </w:tr>
      <w:tr>
        <w:tc>
          <w:tcPr>
            <w:tcW w:type="dxa" w:w="2700"/>
          </w:tcPr>
          <w:p>
            <w:r>
              <w:t>acrF</w:t>
            </w:r>
          </w:p>
        </w:tc>
        <w:tc>
          <w:tcPr>
            <w:tcW w:type="dxa" w:w="2700"/>
          </w:tcPr>
          <w:p>
            <w:r>
              <w:t>EFFLUX</w:t>
            </w:r>
          </w:p>
        </w:tc>
        <w:tc>
          <w:tcPr>
            <w:tcW w:type="dxa" w:w="2700"/>
          </w:tcPr>
          <w:p>
            <w:r>
              <w:t>100.0</w:t>
            </w:r>
          </w:p>
        </w:tc>
        <w:tc>
          <w:tcPr>
            <w:tcW w:type="dxa" w:w="2700"/>
          </w:tcPr>
          <w:p>
            <w:r>
              <w:t>99.52</w:t>
            </w:r>
          </w:p>
        </w:tc>
      </w:tr>
      <w:tr>
        <w:tc>
          <w:tcPr>
            <w:tcW w:type="dxa" w:w="2700"/>
          </w:tcPr>
          <w:p>
            <w:r>
              <w:t>mdtM</w:t>
            </w:r>
          </w:p>
        </w:tc>
        <w:tc>
          <w:tcPr>
            <w:tcW w:type="dxa" w:w="2700"/>
          </w:tcPr>
          <w:p>
            <w:r>
              <w:t>EFFLUX</w:t>
            </w:r>
          </w:p>
        </w:tc>
        <w:tc>
          <w:tcPr>
            <w:tcW w:type="dxa" w:w="2700"/>
          </w:tcPr>
          <w:p>
            <w:r>
              <w:t>99.76</w:t>
            </w:r>
          </w:p>
        </w:tc>
        <w:tc>
          <w:tcPr>
            <w:tcW w:type="dxa" w:w="2700"/>
          </w:tcPr>
          <w:p>
            <w:r>
              <w:t>97.31</w:t>
            </w:r>
          </w:p>
        </w:tc>
      </w:tr>
      <w:tr>
        <w:tc>
          <w:tcPr>
            <w:tcW w:type="dxa" w:w="2700"/>
          </w:tcPr>
          <w:p>
            <w:r>
              <w:t>aac(3)-IIe</w:t>
            </w:r>
          </w:p>
        </w:tc>
        <w:tc>
          <w:tcPr>
            <w:tcW w:type="dxa" w:w="2700"/>
          </w:tcPr>
          <w:p>
            <w:r>
              <w:t>GENTAMICIN</w:t>
            </w:r>
          </w:p>
        </w:tc>
        <w:tc>
          <w:tcPr>
            <w:tcW w:type="dxa" w:w="2700"/>
          </w:tcPr>
          <w:p>
            <w:r>
              <w:t>100.0</w:t>
            </w:r>
          </w:p>
        </w:tc>
        <w:tc>
          <w:tcPr>
            <w:tcW w:type="dxa" w:w="2700"/>
          </w:tcPr>
          <w:p>
            <w:r>
              <w:t>100.0</w:t>
            </w:r>
          </w:p>
        </w:tc>
      </w:tr>
      <w:tr>
        <w:tc>
          <w:tcPr>
            <w:tcW w:type="dxa" w:w="2700"/>
          </w:tcPr>
          <w:p>
            <w:r>
              <w:t>aadA5</w:t>
            </w:r>
          </w:p>
        </w:tc>
        <w:tc>
          <w:tcPr>
            <w:tcW w:type="dxa" w:w="2700"/>
          </w:tcPr>
          <w:p>
            <w:r>
              <w:t>STREPTOMYCIN</w:t>
            </w:r>
          </w:p>
        </w:tc>
        <w:tc>
          <w:tcPr>
            <w:tcW w:type="dxa" w:w="2700"/>
          </w:tcPr>
          <w:p>
            <w:r>
              <w:t>100.0</w:t>
            </w:r>
          </w:p>
        </w:tc>
        <w:tc>
          <w:tcPr>
            <w:tcW w:type="dxa" w:w="2700"/>
          </w:tcPr>
          <w:p>
            <w:r>
              <w:t>100.0</w:t>
            </w:r>
          </w:p>
        </w:tc>
      </w:tr>
      <w:tr>
        <w:tc>
          <w:tcPr>
            <w:tcW w:type="dxa" w:w="2700"/>
          </w:tcPr>
          <w:p>
            <w:r>
              <w:t>sul1</w:t>
            </w:r>
          </w:p>
        </w:tc>
        <w:tc>
          <w:tcPr>
            <w:tcW w:type="dxa" w:w="2700"/>
          </w:tcPr>
          <w:p>
            <w:r>
              <w:t>SULFONAMIDE</w:t>
            </w:r>
          </w:p>
        </w:tc>
        <w:tc>
          <w:tcPr>
            <w:tcW w:type="dxa" w:w="2700"/>
          </w:tcPr>
          <w:p>
            <w:r>
              <w:t>100.0</w:t>
            </w:r>
          </w:p>
        </w:tc>
        <w:tc>
          <w:tcPr>
            <w:tcW w:type="dxa" w:w="2700"/>
          </w:tcPr>
          <w:p>
            <w:r>
              <w:t>100.0</w:t>
            </w:r>
          </w:p>
        </w:tc>
      </w:tr>
      <w:tr>
        <w:tc>
          <w:tcPr>
            <w:tcW w:type="dxa" w:w="2700"/>
          </w:tcPr>
          <w:p>
            <w:r>
              <w:t>tet(A)</w:t>
            </w:r>
          </w:p>
        </w:tc>
        <w:tc>
          <w:tcPr>
            <w:tcW w:type="dxa" w:w="2700"/>
          </w:tcPr>
          <w:p>
            <w:r>
              <w:t>TETRACYCLINE</w:t>
            </w:r>
          </w:p>
        </w:tc>
        <w:tc>
          <w:tcPr>
            <w:tcW w:type="dxa" w:w="2700"/>
          </w:tcPr>
          <w:p>
            <w:r>
              <w:t>100.0</w:t>
            </w:r>
          </w:p>
        </w:tc>
        <w:tc>
          <w:tcPr>
            <w:tcW w:type="dxa" w:w="2700"/>
          </w:tcPr>
          <w:p>
            <w:r>
              <w:t>100.0</w:t>
            </w:r>
          </w:p>
        </w:tc>
      </w:tr>
      <w:tr>
        <w:tc>
          <w:tcPr>
            <w:tcW w:type="dxa" w:w="2700"/>
          </w:tcPr>
          <w:p>
            <w:r>
              <w:t>dfrA17</w:t>
            </w:r>
          </w:p>
        </w:tc>
        <w:tc>
          <w:tcPr>
            <w:tcW w:type="dxa" w:w="2700"/>
          </w:tcPr>
          <w:p>
            <w:r>
              <w:t>TRIMETHOPRIM</w:t>
            </w:r>
          </w:p>
        </w:tc>
        <w:tc>
          <w:tcPr>
            <w:tcW w:type="dxa" w:w="2700"/>
          </w:tcPr>
          <w:p>
            <w:r>
              <w:t>100.0</w:t>
            </w:r>
          </w:p>
        </w:tc>
        <w:tc>
          <w:tcPr>
            <w:tcW w:type="dxa" w:w="2700"/>
          </w:tcPr>
          <w:p>
            <w:r>
              <w:t>100.0</w:t>
            </w:r>
          </w:p>
        </w:tc>
      </w:tr>
    </w:tbl>
    <w:p>
      <w:r>
        <w:rPr>
          <w:b/>
        </w:rPr>
        <w:br/>
        <w:t>Point Mutations</w:t>
      </w:r>
    </w:p>
    <w:tbl>
      <w:tblPr>
        <w:tblStyle w:val="LightList"/>
        <w:tblW w:type="auto" w:w="0"/>
        <w:tblLook w:firstColumn="1" w:firstRow="1" w:lastColumn="0" w:lastRow="0" w:noHBand="0" w:noVBand="1" w:val="04A0"/>
      </w:tblPr>
      <w:tblGrid>
        <w:gridCol w:w="2700"/>
        <w:gridCol w:w="2700"/>
        <w:gridCol w:w="2700"/>
        <w:gridCol w:w="2700"/>
      </w:tblGrid>
      <w:tr>
        <w:tc>
          <w:tcPr>
            <w:tcW w:type="dxa" w:w="2700"/>
          </w:tcPr>
          <w:p>
            <w:r>
              <w:t>Gene</w:t>
            </w:r>
          </w:p>
        </w:tc>
        <w:tc>
          <w:tcPr>
            <w:tcW w:type="dxa" w:w="2700"/>
          </w:tcPr>
          <w:p>
            <w:r>
              <w:t>AR Subclass/Mechanism</w:t>
            </w:r>
          </w:p>
        </w:tc>
        <w:tc>
          <w:tcPr>
            <w:tcW w:type="dxa" w:w="2700"/>
          </w:tcPr>
          <w:p>
            <w:r>
              <w:t>Coverage(%)</w:t>
            </w:r>
          </w:p>
        </w:tc>
        <w:tc>
          <w:tcPr>
            <w:tcW w:type="dxa" w:w="2700"/>
          </w:tcPr>
          <w:p>
            <w:r>
              <w:t>Identity(%)</w:t>
            </w:r>
          </w:p>
        </w:tc>
      </w:tr>
      <w:tr>
        <w:tc>
          <w:tcPr>
            <w:tcW w:type="dxa" w:w="2700"/>
          </w:tcPr>
          <w:p>
            <w:r>
              <w:t>glpT_E448K</w:t>
            </w:r>
          </w:p>
        </w:tc>
        <w:tc>
          <w:tcPr>
            <w:tcW w:type="dxa" w:w="2700"/>
          </w:tcPr>
          <w:p>
            <w:r>
              <w:t>FOSFOMYCIN</w:t>
            </w:r>
          </w:p>
        </w:tc>
        <w:tc>
          <w:tcPr>
            <w:tcW w:type="dxa" w:w="2700"/>
          </w:tcPr>
          <w:p>
            <w:r>
              <w:t>100.0</w:t>
            </w:r>
          </w:p>
        </w:tc>
        <w:tc>
          <w:tcPr>
            <w:tcW w:type="dxa" w:w="2700"/>
          </w:tcPr>
          <w:p>
            <w:r>
              <w:t>99.78</w:t>
            </w:r>
          </w:p>
        </w:tc>
      </w:tr>
      <w:tr>
        <w:tc>
          <w:tcPr>
            <w:tcW w:type="dxa" w:w="2700"/>
          </w:tcPr>
          <w:p>
            <w:r>
              <w:t>ptsI_V25I</w:t>
            </w:r>
          </w:p>
        </w:tc>
        <w:tc>
          <w:tcPr>
            <w:tcW w:type="dxa" w:w="2700"/>
          </w:tcPr>
          <w:p>
            <w:r>
              <w:t>FOSFOMYCIN</w:t>
            </w:r>
          </w:p>
        </w:tc>
        <w:tc>
          <w:tcPr>
            <w:tcW w:type="dxa" w:w="2700"/>
          </w:tcPr>
          <w:p>
            <w:r>
              <w:t>100.0</w:t>
            </w:r>
          </w:p>
        </w:tc>
        <w:tc>
          <w:tcPr>
            <w:tcW w:type="dxa" w:w="2700"/>
          </w:tcPr>
          <w:p>
            <w:r>
              <w:t>99.65</w:t>
            </w:r>
          </w:p>
        </w:tc>
      </w:tr>
      <w:tr>
        <w:tc>
          <w:tcPr>
            <w:tcW w:type="dxa" w:w="2700"/>
          </w:tcPr>
          <w:p>
            <w:r>
              <w:t>uhpT_E350Q</w:t>
            </w:r>
          </w:p>
        </w:tc>
        <w:tc>
          <w:tcPr>
            <w:tcW w:type="dxa" w:w="2700"/>
          </w:tcPr>
          <w:p>
            <w:r>
              <w:t>FOSFOMYCIN</w:t>
            </w:r>
          </w:p>
        </w:tc>
        <w:tc>
          <w:tcPr>
            <w:tcW w:type="dxa" w:w="2700"/>
          </w:tcPr>
          <w:p>
            <w:r>
              <w:t>100.0</w:t>
            </w:r>
          </w:p>
        </w:tc>
        <w:tc>
          <w:tcPr>
            <w:tcW w:type="dxa" w:w="2700"/>
          </w:tcPr>
          <w:p>
            <w:r>
              <w:t>99.78</w:t>
            </w:r>
          </w:p>
        </w:tc>
      </w:tr>
      <w:tr>
        <w:tc>
          <w:tcPr>
            <w:tcW w:type="dxa" w:w="2700"/>
          </w:tcPr>
          <w:p>
            <w:r>
              <w:t>gyrA_D87N</w:t>
            </w:r>
          </w:p>
        </w:tc>
        <w:tc>
          <w:tcPr>
            <w:tcW w:type="dxa" w:w="2700"/>
          </w:tcPr>
          <w:p>
            <w:r>
              <w:t>QUINOLONE</w:t>
            </w:r>
          </w:p>
        </w:tc>
        <w:tc>
          <w:tcPr>
            <w:tcW w:type="dxa" w:w="2700"/>
          </w:tcPr>
          <w:p>
            <w:r>
              <w:t>99.66</w:t>
            </w:r>
          </w:p>
        </w:tc>
        <w:tc>
          <w:tcPr>
            <w:tcW w:type="dxa" w:w="2700"/>
          </w:tcPr>
          <w:p>
            <w:r>
              <w:t>98.86</w:t>
            </w:r>
          </w:p>
        </w:tc>
      </w:tr>
      <w:tr>
        <w:tc>
          <w:tcPr>
            <w:tcW w:type="dxa" w:w="2700"/>
          </w:tcPr>
          <w:p>
            <w:r>
              <w:t>gyrA_S83L</w:t>
            </w:r>
          </w:p>
        </w:tc>
        <w:tc>
          <w:tcPr>
            <w:tcW w:type="dxa" w:w="2700"/>
          </w:tcPr>
          <w:p>
            <w:r>
              <w:t>QUINOLONE</w:t>
            </w:r>
          </w:p>
        </w:tc>
        <w:tc>
          <w:tcPr>
            <w:tcW w:type="dxa" w:w="2700"/>
          </w:tcPr>
          <w:p>
            <w:r>
              <w:t>99.66</w:t>
            </w:r>
          </w:p>
        </w:tc>
        <w:tc>
          <w:tcPr>
            <w:tcW w:type="dxa" w:w="2700"/>
          </w:tcPr>
          <w:p>
            <w:r>
              <w:t>98.86</w:t>
            </w:r>
          </w:p>
        </w:tc>
      </w:tr>
      <w:tr>
        <w:tc>
          <w:tcPr>
            <w:tcW w:type="dxa" w:w="2700"/>
          </w:tcPr>
          <w:p>
            <w:r>
              <w:t>parC_E84V</w:t>
            </w:r>
          </w:p>
        </w:tc>
        <w:tc>
          <w:tcPr>
            <w:tcW w:type="dxa" w:w="2700"/>
          </w:tcPr>
          <w:p>
            <w:r>
              <w:t>QUINOLONE</w:t>
            </w:r>
          </w:p>
        </w:tc>
        <w:tc>
          <w:tcPr>
            <w:tcW w:type="dxa" w:w="2700"/>
          </w:tcPr>
          <w:p>
            <w:r>
              <w:t>100.0</w:t>
            </w:r>
          </w:p>
        </w:tc>
        <w:tc>
          <w:tcPr>
            <w:tcW w:type="dxa" w:w="2700"/>
          </w:tcPr>
          <w:p>
            <w:r>
              <w:t>99.2</w:t>
            </w:r>
          </w:p>
        </w:tc>
      </w:tr>
      <w:tr>
        <w:tc>
          <w:tcPr>
            <w:tcW w:type="dxa" w:w="2700"/>
          </w:tcPr>
          <w:p>
            <w:r>
              <w:t>parC_S80I</w:t>
            </w:r>
          </w:p>
        </w:tc>
        <w:tc>
          <w:tcPr>
            <w:tcW w:type="dxa" w:w="2700"/>
          </w:tcPr>
          <w:p>
            <w:r>
              <w:t>QUINOLONE</w:t>
            </w:r>
          </w:p>
        </w:tc>
        <w:tc>
          <w:tcPr>
            <w:tcW w:type="dxa" w:w="2700"/>
          </w:tcPr>
          <w:p>
            <w:r>
              <w:t>100.0</w:t>
            </w:r>
          </w:p>
        </w:tc>
        <w:tc>
          <w:tcPr>
            <w:tcW w:type="dxa" w:w="2700"/>
          </w:tcPr>
          <w:p>
            <w:r>
              <w:t>99.2</w:t>
            </w:r>
          </w:p>
        </w:tc>
      </w:tr>
      <w:tr>
        <w:tc>
          <w:tcPr>
            <w:tcW w:type="dxa" w:w="2700"/>
          </w:tcPr>
          <w:p>
            <w:r>
              <w:t>parE_I529L</w:t>
            </w:r>
          </w:p>
        </w:tc>
        <w:tc>
          <w:tcPr>
            <w:tcW w:type="dxa" w:w="2700"/>
          </w:tcPr>
          <w:p>
            <w:r>
              <w:t>QUINOLONE</w:t>
            </w:r>
          </w:p>
        </w:tc>
        <w:tc>
          <w:tcPr>
            <w:tcW w:type="dxa" w:w="2700"/>
          </w:tcPr>
          <w:p>
            <w:r>
              <w:t>100.0</w:t>
            </w:r>
          </w:p>
        </w:tc>
        <w:tc>
          <w:tcPr>
            <w:tcW w:type="dxa" w:w="2700"/>
          </w:tcPr>
          <w:p>
            <w:r>
              <w:t>99.52</w:t>
            </w:r>
          </w:p>
        </w:tc>
      </w:tr>
    </w:tbl>
    <w:p>
      <w:r>
        <w:rPr>
          <w:b/>
        </w:rPr>
        <w:br/>
        <w:t>Notes</w:t>
      </w:r>
    </w:p>
    <w:p>
      <w:pPr>
        <w:pStyle w:val="ListBullet"/>
      </w:pPr>
      <w:r>
        <w:t xml:space="preserve">Coverage(%) refers to the percentage of the sequenced gene length compared to the reference resistance gene. </w:t>
      </w:r>
    </w:p>
    <w:p>
      <w:pPr>
        <w:pStyle w:val="ListBullet"/>
      </w:pPr>
      <w:r>
        <w:t>Identity(%) refers to the similarity between the identified and the reference genes.</w:t>
      </w:r>
    </w:p>
    <w:p>
      <w:r>
        <w:rPr>
          <w:b/>
        </w:rPr>
        <w:br/>
        <w:t>Disclaimer</w:t>
      </w:r>
    </w:p>
    <w:p>
      <w:r>
        <w:t>This whole genome sequencing (WGS) test result was developed and its performance characteristics determined by the State Public Health Laboratory. This test has not been cleared or approved by the U.S. Food and Drug Administration (FDA).</w:t>
        <w:br/>
        <w:br/>
        <w:t>Detection Limitations: Identifying a resistance marker does not necessarily predict therapeutic failure of antimicrobial agents. The gene may be nonfunctional or expressed at clinically insignificant levels.</w:t>
        <w:br/>
        <w:br/>
        <w:t>False Negatives: The absence of a genetic marker does not always indicate susceptibility. Technical issues such as inhibition or the emergence of genetic variants can interfere with detection.</w:t>
        <w:br/>
        <w:br/>
        <w:t>Genotypic vs. Phenotypic Correlation: The presence of a genetic marker or mutation does not always correlate with phenotypic test results, and discordance between phenotypic and genotypic test results is possible.</w:t>
        <w:br/>
        <w:br/>
        <w:t>Interpretation: WGS antimicrobial susceptibility test results should be used in conjunction with other phenotypic test results, when applicable.</w:t>
        <w:br/>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Simple w:instr="PAGE"/>
    </w:r>
    <w:r>
      <w:t xml:space="preserve"> of </w:t>
    </w:r>
    <w:r>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center"/>
      <w:tblLook w:firstColumn="1" w:firstRow="1" w:lastColumn="0" w:lastRow="0" w:noHBand="0" w:noVBand="1" w:val="04A0"/>
    </w:tblPr>
    <w:tblGrid>
      <w:gridCol w:w="3600"/>
      <w:gridCol w:w="3600"/>
      <w:gridCol w:w="3600"/>
    </w:tblGrid>
    <w:tr>
      <w:tc>
        <w:tcPr>
          <w:tcW w:type="dxa" w:w="2160"/>
        </w:tcPr>
        <w:p>
          <w:r>
            <w:drawing>
              <wp:inline xmlns:a="http://schemas.openxmlformats.org/drawingml/2006/main" xmlns:pic="http://schemas.openxmlformats.org/drawingml/2006/picture">
                <wp:extent cx="1051560" cy="1051560"/>
                <wp:docPr id="1" name="Picture 1"/>
                <wp:cNvGraphicFramePr>
                  <a:graphicFrameLocks noChangeAspect="1"/>
                </wp:cNvGraphicFramePr>
                <a:graphic>
                  <a:graphicData uri="http://schemas.openxmlformats.org/drawingml/2006/picture">
                    <pic:pic>
                      <pic:nvPicPr>
                        <pic:cNvPr id="0" name="logo1.png"/>
                        <pic:cNvPicPr/>
                      </pic:nvPicPr>
                      <pic:blipFill>
                        <a:blip r:embed="rId1"/>
                        <a:stretch>
                          <a:fillRect/>
                        </a:stretch>
                      </pic:blipFill>
                      <pic:spPr>
                        <a:xfrm>
                          <a:off x="0" y="0"/>
                          <a:ext cx="1051560" cy="1051560"/>
                        </a:xfrm>
                        <a:prstGeom prst="rect"/>
                      </pic:spPr>
                    </pic:pic>
                  </a:graphicData>
                </a:graphic>
              </wp:inline>
            </w:drawing>
          </w:r>
        </w:p>
      </w:tc>
      <w:tc>
        <w:tcPr>
          <w:tcW w:type="dxa" w:w="7200"/>
        </w:tcPr>
        <w:p>
          <w:pPr>
            <w:jc w:val="center"/>
          </w:pPr>
          <w:r>
            <w:rPr>
              <w:b/>
            </w:rPr>
            <w:t>DEPARTMENT OF PUBLIC HEALTH</w:t>
          </w:r>
          <w:r>
            <w:rPr>
              <w:b/>
            </w:rPr>
            <w:br/>
          </w:r>
          <w:r>
            <w:rPr>
              <w:b/>
            </w:rPr>
            <w:t>State Public Health Laboratory</w:t>
          </w:r>
          <w:r>
            <w:rPr>
              <w:b/>
            </w:rPr>
            <w:br/>
          </w:r>
          <w:r>
            <w:rPr>
              <w:b/>
            </w:rPr>
            <w:t>123 Main Street, City, State 12345</w:t>
          </w:r>
          <w:r>
            <w:rPr>
              <w:b/>
            </w:rPr>
            <w:br/>
          </w:r>
          <w:r>
            <w:rPr>
              <w:b/>
            </w:rPr>
            <w:t>CLIA ID: 12D1234567</w:t>
          </w:r>
          <w:r>
            <w:rPr>
              <w:b/>
            </w:rPr>
            <w:br/>
          </w:r>
          <w:r>
            <w:rPr>
              <w:b/>
            </w:rPr>
            <w:t>Phone: 123-456-7890</w:t>
          </w:r>
          <w:r>
            <w:rPr>
              <w:b/>
            </w:rPr>
            <w:br/>
          </w:r>
          <w:r>
            <w:rPr>
              <w:b/>
            </w:rPr>
            <w:t>Fax: 123-456-7890</w:t>
          </w:r>
        </w:p>
      </w:tc>
      <w:tc>
        <w:tcPr>
          <w:tcW w:type="dxa" w:w="2160"/>
        </w:tcPr>
        <w:p>
          <w:r>
            <w:drawing>
              <wp:inline xmlns:a="http://schemas.openxmlformats.org/drawingml/2006/main" xmlns:pic="http://schemas.openxmlformats.org/drawingml/2006/picture">
                <wp:extent cx="1051560" cy="1051560"/>
                <wp:docPr id="2" name="Picture 2"/>
                <wp:cNvGraphicFramePr>
                  <a:graphicFrameLocks noChangeAspect="1"/>
                </wp:cNvGraphicFramePr>
                <a:graphic>
                  <a:graphicData uri="http://schemas.openxmlformats.org/drawingml/2006/picture">
                    <pic:pic>
                      <pic:nvPicPr>
                        <pic:cNvPr id="0" name="logo2.png"/>
                        <pic:cNvPicPr/>
                      </pic:nvPicPr>
                      <pic:blipFill>
                        <a:blip r:embed="rId2"/>
                        <a:stretch>
                          <a:fillRect/>
                        </a:stretch>
                      </pic:blipFill>
                      <pic:spPr>
                        <a:xfrm>
                          <a:off x="0" y="0"/>
                          <a:ext cx="1051560" cy="105156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