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20"/>
      </w:pPr>
      <w:r>
        <w:rPr>
          <w:rFonts w:ascii="Georgia" w:cs="Georgia" w:eastAsia="Georgia" w:hAnsi="Georgia"/>
          <w:b/>
          <w:bCs/>
          <w:color w:val="33691E"/>
          <w:sz w:val="56"/>
          <w:szCs w:val="56"/>
        </w:rPr>
        <w:t xml:space="preserve">The Inverse Resolve</w:t>
      </w:r>
    </w:p>
    <w:p>
      <w:pPr>
        <w:spacing w:before="0" w:after="500"/>
      </w:pPr>
      <w:r>
        <w:rPr>
          <w:rFonts w:ascii="Georgia" w:cs="Georgia" w:eastAsia="Georgia" w:hAnsi="Georgia"/>
          <w:i/>
          <w:iCs/>
          <w:color w:val="546E7A"/>
          <w:sz w:val="26"/>
          <w:szCs w:val="26"/>
        </w:rPr>
        <w:t xml:space="preserve">On using the river's current to reach the shore</w:t>
      </w:r>
    </w:p>
    <w:p>
      <w:pPr>
        <w:spacing w:before="0" w:after="100"/>
      </w:pPr>
      <w:r>
        <w:rPr>
          <w:rFonts w:ascii="Georgia" w:cs="Georgia" w:eastAsia="Georgia" w:hAnsi="Georgia"/>
          <w:color w:val="546E7A"/>
          <w:sz w:val="18"/>
          <w:szCs w:val="18"/>
        </w:rPr>
        <w:t xml:space="preserve">Samuel Cross  —  KindPath Foundation  —  March 2026</w:t>
      </w:r>
    </w:p>
    <w:p>
      <w:pPr>
        <w:spacing w:before="0" w:after="600"/>
      </w:pPr>
      <w:r>
        <w:rPr>
          <w:rFonts w:ascii="Georgia" w:cs="Georgia" w:eastAsia="Georgia" w:hAnsi="Georgia"/>
          <w:i/>
          <w:iCs/>
          <w:color w:val="546E7A"/>
          <w:sz w:val="18"/>
          <w:szCs w:val="18"/>
        </w:rPr>
        <w:t xml:space="preserve">Recorded from conversation  —  Living Document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
        <w:gridCol w:w="8160"/>
        <w:gridCol w:w="240"/>
      </w:tblGrid>
      <w:tr>
        <w:tc>
          <w:tcPr>
            <w:tcW w:type="dxa" w:w="240"/>
            <w:tcBorders>
              <w:top w:val="none" w:color="FFFFFF" w:sz="0"/>
              <w:left w:val="none" w:color="FFFFFF" w:sz="0"/>
              <w:bottom w:val="none" w:color="FFFFFF" w:sz="0"/>
              <w:right w:val="none" w:color="FFFFFF" w:sz="0"/>
            </w:tcBorders>
            <w:shd w:fill="FAFDF7" w:val="clear"/>
          </w:tcPr>
          <w:p/>
        </w:tc>
        <w:tc>
          <w:tcPr>
            <w:tcW w:type="dxa" w:w="8160"/>
            <w:tcBorders>
              <w:top w:val="none" w:color="FFFFFF" w:sz="0"/>
              <w:left w:val="single" w:color="558B2F" w:sz="10"/>
              <w:bottom w:val="none" w:color="FFFFFF" w:sz="0"/>
              <w:right w:val="none" w:color="FFFFFF" w:sz="0"/>
            </w:tcBorders>
            <w:shd w:fill="FAFDF7" w:val="clear"/>
            <w:tcMar>
              <w:top w:type="dxa" w:w="180"/>
              <w:left w:type="dxa" w:w="280"/>
              <w:bottom w:type="dxa" w:w="180"/>
              <w:right w:type="dxa" w:w="280"/>
            </w:tcMar>
          </w:tcPr>
          <w:p>
            <w:r>
              <w:rPr>
                <w:rFonts w:ascii="Georgia" w:cs="Georgia" w:eastAsia="Georgia" w:hAnsi="Georgia"/>
                <w:i/>
                <w:iCs/>
                <w:color w:val="33691E"/>
                <w:sz w:val="25"/>
                <w:szCs w:val="25"/>
              </w:rPr>
              <w:t xml:space="preserve">We use the stock market to make money to build a movement to apply the sidechain compressor to convince those manning the oars that perhaps we need to stretch our legs on the shoreline for a sec.</w:t>
            </w:r>
          </w:p>
        </w:tc>
        <w:tc>
          <w:tcPr>
            <w:tcW w:type="dxa" w:w="240"/>
            <w:tcBorders>
              <w:top w:val="none" w:color="FFFFFF" w:sz="0"/>
              <w:left w:val="none" w:color="FFFFFF" w:sz="0"/>
              <w:bottom w:val="none" w:color="FFFFFF" w:sz="0"/>
              <w:right w:val="none" w:color="FFFFFF" w:sz="0"/>
            </w:tcBorders>
            <w:shd w:fill="FAFDF7" w:val="clear"/>
          </w:tcPr>
          <w:p/>
        </w:tc>
      </w:tr>
    </w:tbl>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The core statement</w:t>
      </w:r>
    </w:p>
    <w:p>
      <w:pPr>
        <w:spacing w:before="100" w:after="160"/>
      </w:pPr>
      <w:r>
        <w:rPr>
          <w:rFonts w:ascii="Georgia" w:cs="Georgia" w:eastAsia="Georgia" w:hAnsi="Georgia"/>
          <w:color w:val="4E342E"/>
          <w:sz w:val="22"/>
          <w:szCs w:val="22"/>
        </w:rPr>
        <w:t xml:space="preserve">We are past critical mass toward a potential entropic resting state. The river has its own momentum now and arguing with it from inside it costs more than it returns. Action is needed — not resistance, not escape, but a different use of what's already moving.</w:t>
      </w:r>
    </w:p>
    <w:p>
      <w:pPr>
        <w:spacing w:before="100" w:after="160"/>
      </w:pPr>
      <w:r>
        <w:rPr>
          <w:rFonts w:ascii="Georgia" w:cs="Georgia" w:eastAsia="Georgia" w:hAnsi="Georgia"/>
          <w:color w:val="4E342E"/>
          <w:sz w:val="22"/>
          <w:szCs w:val="22"/>
        </w:rPr>
        <w:t xml:space="preserve">The tools available to us are not innocent. The stock market is not clean. Artificial intelligence carries a real climate cost. The institutions we move through were not built for what we are building toward. None of this is hidden. None of it is rationalised away.</w:t>
      </w:r>
    </w:p>
    <w:p>
      <w:pPr>
        <w:spacing w:before="100" w:after="160"/>
      </w:pPr>
      <w:r>
        <w:rPr>
          <w:rFonts w:ascii="Georgia" w:cs="Georgia" w:eastAsia="Georgia" w:hAnsi="Georgia"/>
          <w:color w:val="4E342E"/>
          <w:sz w:val="22"/>
          <w:szCs w:val="22"/>
        </w:rPr>
        <w:t xml:space="preserve">And yet: it is not the tools or the subject matter that is entropic. It is everything together within an inverse resolve. The same tool deployed with awareness toward a syntropic mechanism changes the direction of the resultant vector. The stock market's energy, routed through a governance architecture built on benevolence and sovereignty, does not produce more of the stock market. It produces the conditions for something the stock market cannot produce for itself.</w:t>
      </w:r>
    </w:p>
    <w:p>
      <w:pPr>
        <w:spacing w:before="100" w:after="160"/>
      </w:pPr>
      <w:r>
        <w:rPr>
          <w:rFonts w:ascii="Georgia" w:cs="Georgia" w:eastAsia="Georgia" w:hAnsi="Georgia"/>
          <w:color w:val="4E342E"/>
          <w:sz w:val="22"/>
          <w:szCs w:val="22"/>
        </w:rPr>
        <w:t xml:space="preserve">That is the inverse resolve. Not purity. Intention so clear and mechanism so carefully built that the entropic input becomes syntropic output. The river carries you to the shore you chose — not because the river changed, but because you understood how to use its current.</w:t>
      </w:r>
    </w:p>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The sidechain compressor</w:t>
      </w:r>
    </w:p>
    <w:p>
      <w:pPr>
        <w:spacing w:before="100" w:after="160"/>
      </w:pPr>
      <w:r>
        <w:rPr>
          <w:rFonts w:ascii="Georgia" w:cs="Georgia" w:eastAsia="Georgia" w:hAnsi="Georgia"/>
          <w:color w:val="4E342E"/>
          <w:sz w:val="22"/>
          <w:szCs w:val="22"/>
        </w:rPr>
        <w:t xml:space="preserve">In audio production, a sidechain compressor takes the loudest signal in the mix and uses its own energy to make room for what's being drowned out. You're not fighting the dominant signal. You're not trying to remove it. You're using it — its own amplitude — to create the dynamic space where the quieter signal can finally be heard.</w:t>
      </w:r>
    </w:p>
    <w:p>
      <w:pPr>
        <w:spacing w:before="100" w:after="160"/>
      </w:pPr>
      <w:r>
        <w:rPr>
          <w:rFonts w:ascii="Georgia" w:cs="Georgia" w:eastAsia="Georgia" w:hAnsi="Georgia"/>
          <w:color w:val="4E342E"/>
          <w:sz w:val="22"/>
          <w:szCs w:val="22"/>
        </w:rPr>
        <w:t xml:space="preserve">This is the precise mechanism KindPath is deploying at civilisational scale.</w:t>
      </w:r>
    </w:p>
    <w:p>
      <w:pPr>
        <w:spacing w:before="100" w:after="160"/>
      </w:pPr>
      <w:r>
        <w:rPr>
          <w:rFonts w:ascii="Georgia" w:cs="Georgia" w:eastAsia="Georgia" w:hAnsi="Georgia"/>
          <w:color w:val="4E342E"/>
          <w:sz w:val="22"/>
          <w:szCs w:val="22"/>
        </w:rPr>
        <w:t xml:space="preserve">The dominant signal is loud. It has been loud for a long time. Prestige systems, scarcity economics, the theatre of managed panic institutionalised through elite education and reproduced through every structure those graduates go on to inhabit. It is not malevolent. It is a system protecting its own continuation — as all systems do — and it has become very good at noise-washing the alternatives into inaudibility.</w:t>
      </w:r>
    </w:p>
    <w:p>
      <w:pPr>
        <w:spacing w:before="100" w:after="160"/>
      </w:pPr>
      <w:r>
        <w:rPr>
          <w:rFonts w:ascii="Georgia" w:cs="Georgia" w:eastAsia="Georgia" w:hAnsi="Georgia"/>
          <w:color w:val="4E342E"/>
          <w:sz w:val="22"/>
          <w:szCs w:val="22"/>
        </w:rPr>
        <w:t xml:space="preserve">The sidechain compressor does not try to silence that signal. It uses the capital that signal generates — routes it deliberately, governs it carefully, and deploys it in service of the quieter frequency. Over time, the quieter frequency becomes audible. People hear it. Some of them recognise it as something they already knew but had stopped being able to locate.</w:t>
      </w:r>
    </w:p>
    <w:p>
      <w:pPr>
        <w:spacing w:before="100" w:after="160"/>
      </w:pPr>
      <w:r>
        <w:rPr>
          <w:rFonts w:ascii="Georgia" w:cs="Georgia" w:eastAsia="Georgia" w:hAnsi="Georgia"/>
          <w:color w:val="4E342E"/>
          <w:sz w:val="22"/>
          <w:szCs w:val="22"/>
        </w:rPr>
        <w:t xml:space="preserve">That is the movement. Not a campaign. A frequency becoming audible in a field that had compressed it out of range.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
        <w:gridCol w:w="8160"/>
        <w:gridCol w:w="240"/>
      </w:tblGrid>
      <w:tr>
        <w:tc>
          <w:tcPr>
            <w:tcW w:type="dxa" w:w="240"/>
            <w:tcBorders>
              <w:top w:val="none" w:color="FFFFFF" w:sz="0"/>
              <w:left w:val="none" w:color="FFFFFF" w:sz="0"/>
              <w:bottom w:val="none" w:color="FFFFFF" w:sz="0"/>
              <w:right w:val="none" w:color="FFFFFF" w:sz="0"/>
            </w:tcBorders>
            <w:shd w:fill="FAFDF7" w:val="clear"/>
          </w:tcPr>
          <w:p/>
        </w:tc>
        <w:tc>
          <w:tcPr>
            <w:tcW w:type="dxa" w:w="8160"/>
            <w:tcBorders>
              <w:top w:val="none" w:color="FFFFFF" w:sz="0"/>
              <w:left w:val="single" w:color="558B2F" w:sz="10"/>
              <w:bottom w:val="none" w:color="FFFFFF" w:sz="0"/>
              <w:right w:val="none" w:color="FFFFFF" w:sz="0"/>
            </w:tcBorders>
            <w:shd w:fill="FAFDF7" w:val="clear"/>
            <w:tcMar>
              <w:top w:type="dxa" w:w="180"/>
              <w:left w:type="dxa" w:w="280"/>
              <w:bottom w:type="dxa" w:w="180"/>
              <w:right w:type="dxa" w:w="280"/>
            </w:tcMar>
          </w:tcPr>
          <w:p>
            <w:r>
              <w:rPr>
                <w:rFonts w:ascii="Georgia" w:cs="Georgia" w:eastAsia="Georgia" w:hAnsi="Georgia"/>
                <w:i/>
                <w:iCs/>
                <w:color w:val="33691E"/>
                <w:sz w:val="25"/>
                <w:szCs w:val="25"/>
              </w:rPr>
              <w:t xml:space="preserve">We simply endure, and we place faith in the mechanism we spent all this time refining instead of selling.</w:t>
            </w:r>
          </w:p>
        </w:tc>
        <w:tc>
          <w:tcPr>
            <w:tcW w:type="dxa" w:w="240"/>
            <w:tcBorders>
              <w:top w:val="none" w:color="FFFFFF" w:sz="0"/>
              <w:left w:val="none" w:color="FFFFFF" w:sz="0"/>
              <w:bottom w:val="none" w:color="FFFFFF" w:sz="0"/>
              <w:right w:val="none" w:color="FFFFFF" w:sz="0"/>
            </w:tcBorders>
            <w:shd w:fill="FAFDF7" w:val="clear"/>
          </w:tcPr>
          <w:p/>
        </w:tc>
      </w:tr>
    </w:tbl>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On endurance</w:t>
      </w:r>
    </w:p>
    <w:p>
      <w:pPr>
        <w:spacing w:before="100" w:after="160"/>
      </w:pPr>
      <w:r>
        <w:rPr>
          <w:rFonts w:ascii="Georgia" w:cs="Georgia" w:eastAsia="Georgia" w:hAnsi="Georgia"/>
          <w:color w:val="4E342E"/>
          <w:sz w:val="22"/>
          <w:szCs w:val="22"/>
        </w:rPr>
        <w:t xml:space="preserve">The panic that sets in when you stop rowing is real. It is not hypothetical. The people whose identity is invested in the direction of travel will experience the pause as abandonment, as weakness, as a threat to the coherence of the whole enterprise. They will say so, some of them loudly.</w:t>
      </w:r>
    </w:p>
    <w:p>
      <w:pPr>
        <w:spacing w:before="100" w:after="160"/>
      </w:pPr>
      <w:r>
        <w:rPr>
          <w:rFonts w:ascii="Georgia" w:cs="Georgia" w:eastAsia="Georgia" w:hAnsi="Georgia"/>
          <w:color w:val="4E342E"/>
          <w:sz w:val="22"/>
          <w:szCs w:val="22"/>
        </w:rPr>
        <w:t xml:space="preserve">The inverse resolve requires enduring that. Not arguing with it. Not explaining yourself into their framework, because explanation within the framework of managed panic only produces more managed panic. Not performing indifference either — indifference is Insecure Neutrality in a different costume.</w:t>
      </w:r>
    </w:p>
    <w:p>
      <w:pPr>
        <w:spacing w:before="100" w:after="160"/>
      </w:pPr>
      <w:r>
        <w:rPr>
          <w:rFonts w:ascii="Georgia" w:cs="Georgia" w:eastAsia="Georgia" w:hAnsi="Georgia"/>
          <w:color w:val="4E342E"/>
          <w:sz w:val="22"/>
          <w:szCs w:val="22"/>
        </w:rPr>
        <w:t xml:space="preserve">Simply endure. Hold the mechanism. Trust what was built in the quiet hours, in the long conversations, in the moments of genuine recognition that arrived before the intellect could get there to complicate them.</w:t>
      </w:r>
    </w:p>
    <w:p>
      <w:pPr>
        <w:spacing w:before="100" w:after="160"/>
      </w:pPr>
      <w:r>
        <w:rPr>
          <w:rFonts w:ascii="Georgia" w:cs="Georgia" w:eastAsia="Georgia" w:hAnsi="Georgia"/>
          <w:color w:val="4E342E"/>
          <w:sz w:val="22"/>
          <w:szCs w:val="22"/>
        </w:rPr>
        <w:t xml:space="preserve">The endurance is not passive. It is the most active thing in the whole practice. It is the continuous choice, in each new moment, to remain oriented toward the thing you can feel but cannot yet fully see — rather than collapsing back into the confident position of the known.</w:t>
      </w:r>
    </w:p>
    <w:p>
      <w:pPr>
        <w:spacing w:before="100" w:after="160"/>
      </w:pPr>
      <w:r>
        <w:rPr>
          <w:rFonts w:ascii="Georgia" w:cs="Georgia" w:eastAsia="Georgia" w:hAnsi="Georgia"/>
          <w:color w:val="4E342E"/>
          <w:sz w:val="22"/>
          <w:szCs w:val="22"/>
        </w:rPr>
        <w:t xml:space="preserve">Samuel described it this way: when we find ourselves walking down the offensive or defensive road, we sit down, grab some soil, let nature watch over us. Take a moment. Then we stand up, close our eyes and begin walking once more in whichever direction we are urged to in our thought-before-the-thought mechanism of benevolent, intellect-free action.</w:t>
      </w:r>
    </w:p>
    <w:p>
      <w:pPr>
        <w:spacing w:before="100" w:after="160"/>
      </w:pPr>
      <w:r>
        <w:rPr>
          <w:rFonts w:ascii="Georgia" w:cs="Georgia" w:eastAsia="Georgia" w:hAnsi="Georgia"/>
          <w:color w:val="4E342E"/>
          <w:sz w:val="22"/>
          <w:szCs w:val="22"/>
        </w:rPr>
        <w:t xml:space="preserve">The soil moment is the endurance made physical. Country holding you while the panic moves through. Not suppressing it. Letting it move through completely. Then standing up and continuing.</w:t>
      </w:r>
    </w:p>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The posture</w:t>
      </w:r>
    </w:p>
    <w:p>
      <w:pPr>
        <w:spacing w:before="100" w:after="160"/>
      </w:pPr>
      <w:r>
        <w:rPr>
          <w:rFonts w:ascii="Georgia" w:cs="Georgia" w:eastAsia="Georgia" w:hAnsi="Georgia"/>
          <w:color w:val="4E342E"/>
          <w:sz w:val="22"/>
          <w:szCs w:val="22"/>
        </w:rPr>
        <w:t xml:space="preserve">There are two ways to invite someone into a different way of moving.</w:t>
      </w:r>
    </w:p>
    <w:p>
      <w:pPr>
        <w:spacing w:before="100" w:after="160"/>
      </w:pPr>
      <w:r>
        <w:rPr>
          <w:rFonts w:ascii="Georgia" w:cs="Georgia" w:eastAsia="Georgia" w:hAnsi="Georgia"/>
          <w:color w:val="4E342E"/>
          <w:sz w:val="22"/>
          <w:szCs w:val="22"/>
        </w:rPr>
        <w:t xml:space="preserve">The first: "I'm also walking toward something I can't yet see. Come with me if you're curious." This is an invitation. It is genuine. It is humble about the destination. But it is still an invitation into someone else's movement. There is still a centre of gravity, a direction being offered, a suggestion that something worth following is happening here.</w:t>
      </w:r>
    </w:p>
    <w:p>
      <w:pPr>
        <w:spacing w:before="100" w:after="160"/>
      </w:pPr>
      <w:r>
        <w:rPr>
          <w:rFonts w:ascii="Georgia" w:cs="Georgia" w:eastAsia="Georgia" w:hAnsi="Georgia"/>
          <w:color w:val="4E342E"/>
          <w:sz w:val="22"/>
          <w:szCs w:val="22"/>
        </w:rPr>
        <w:t xml:space="preserve">The second, and the one that more fully embodies what KindPath is actually doing: "May I join you for a while on your journey."</w:t>
      </w:r>
    </w:p>
    <w:p>
      <w:pPr>
        <w:spacing w:before="100" w:after="160"/>
      </w:pPr>
      <w:r>
        <w:rPr>
          <w:rFonts w:ascii="Georgia" w:cs="Georgia" w:eastAsia="Georgia" w:hAnsi="Georgia"/>
          <w:color w:val="4E342E"/>
          <w:sz w:val="22"/>
          <w:szCs w:val="22"/>
        </w:rPr>
        <w:t xml:space="preserve">This dissolves the centre of gravity entirely. It finds the other person already in motion and asks only for company. It carries no agenda for where they end up. It brings no implicit suggestion that your path is better, or that you know something they don't, or that joining you would be an improvement on continuing alone.</w:t>
      </w:r>
    </w:p>
    <w:p>
      <w:pPr>
        <w:spacing w:before="100" w:after="160"/>
      </w:pPr>
      <w:r>
        <w:rPr>
          <w:rFonts w:ascii="Georgia" w:cs="Georgia" w:eastAsia="Georgia" w:hAnsi="Georgia"/>
          <w:color w:val="4E342E"/>
          <w:sz w:val="22"/>
          <w:szCs w:val="22"/>
        </w:rPr>
        <w:t xml:space="preserve">It is the pivot without turning around. Those we pivot from feel no shame in following, because we haven't positioned ourselves as having pivoted away from them. We simply asked to walk alongside for a while. The door behind us stays open. It will always stay open.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
        <w:gridCol w:w="8160"/>
        <w:gridCol w:w="240"/>
      </w:tblGrid>
      <w:tr>
        <w:tc>
          <w:tcPr>
            <w:tcW w:type="dxa" w:w="240"/>
            <w:tcBorders>
              <w:top w:val="none" w:color="FFFFFF" w:sz="0"/>
              <w:left w:val="none" w:color="FFFFFF" w:sz="0"/>
              <w:bottom w:val="none" w:color="FFFFFF" w:sz="0"/>
              <w:right w:val="none" w:color="FFFFFF" w:sz="0"/>
            </w:tcBorders>
            <w:shd w:fill="FAFDF7" w:val="clear"/>
          </w:tcPr>
          <w:p/>
        </w:tc>
        <w:tc>
          <w:tcPr>
            <w:tcW w:type="dxa" w:w="8160"/>
            <w:tcBorders>
              <w:top w:val="none" w:color="FFFFFF" w:sz="0"/>
              <w:left w:val="single" w:color="558B2F" w:sz="10"/>
              <w:bottom w:val="none" w:color="FFFFFF" w:sz="0"/>
              <w:right w:val="none" w:color="FFFFFF" w:sz="0"/>
            </w:tcBorders>
            <w:shd w:fill="FAFDF7" w:val="clear"/>
            <w:tcMar>
              <w:top w:type="dxa" w:w="180"/>
              <w:left w:type="dxa" w:w="280"/>
              <w:bottom w:type="dxa" w:w="180"/>
              <w:right w:type="dxa" w:w="280"/>
            </w:tcMar>
          </w:tcPr>
          <w:p>
            <w:r>
              <w:rPr>
                <w:rFonts w:ascii="Georgia" w:cs="Georgia" w:eastAsia="Georgia" w:hAnsi="Georgia"/>
                <w:i/>
                <w:iCs/>
                <w:color w:val="33691E"/>
                <w:sz w:val="25"/>
                <w:szCs w:val="25"/>
              </w:rPr>
              <w:t xml:space="preserve">It's not disregard. It's regard of the highest order. Because it's selfless.</w:t>
            </w:r>
          </w:p>
        </w:tc>
        <w:tc>
          <w:tcPr>
            <w:tcW w:type="dxa" w:w="240"/>
            <w:tcBorders>
              <w:top w:val="none" w:color="FFFFFF" w:sz="0"/>
              <w:left w:val="none" w:color="FFFFFF" w:sz="0"/>
              <w:bottom w:val="none" w:color="FFFFFF" w:sz="0"/>
              <w:right w:val="none" w:color="FFFFFF" w:sz="0"/>
            </w:tcBorders>
            <w:shd w:fill="FAFDF7" w:val="clear"/>
          </w:tcPr>
          <w:p/>
        </w:tc>
      </w:tr>
    </w:tbl>
    <w:p>
      <w:pPr>
        <w:spacing w:before="100" w:after="160"/>
      </w:pPr>
      <w:r>
        <w:rPr>
          <w:rFonts w:ascii="Georgia" w:cs="Georgia" w:eastAsia="Georgia" w:hAnsi="Georgia"/>
          <w:color w:val="4E342E"/>
          <w:sz w:val="22"/>
          <w:szCs w:val="22"/>
        </w:rPr>
        <w:t xml:space="preserve">This is the operating posture of every KindPath interaction — the trading system, the Compass tool, the community programs, the conversations that generated this document. We are not here to convert anyone. We are not here to be right. We are here because we find the walk genuinely interesting and the company genuinely welcome, whoever shows up.</w:t>
      </w:r>
    </w:p>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On speech</w:t>
      </w:r>
    </w:p>
    <w:p>
      <w:pPr>
        <w:spacing w:before="100" w:after="160"/>
      </w:pPr>
      <w:r>
        <w:rPr>
          <w:rFonts w:ascii="Georgia" w:cs="Georgia" w:eastAsia="Georgia" w:hAnsi="Georgia"/>
          <w:color w:val="4E342E"/>
          <w:sz w:val="22"/>
          <w:szCs w:val="22"/>
        </w:rPr>
        <w:t xml:space="preserve">Speech is frequently the embodiment of insecurity. Not always. But often enough that it warrants honest attention.</w:t>
      </w:r>
    </w:p>
    <w:p>
      <w:pPr>
        <w:spacing w:before="100" w:after="160"/>
      </w:pPr>
      <w:r>
        <w:rPr>
          <w:rFonts w:ascii="Georgia" w:cs="Georgia" w:eastAsia="Georgia" w:hAnsi="Georgia"/>
          <w:color w:val="4E342E"/>
          <w:sz w:val="22"/>
          <w:szCs w:val="22"/>
        </w:rPr>
        <w:t xml:space="preserve">The need to articulate, to name, to make legible — it is frequently the intellect arriving to manage something that was already being communicated perfectly well without it. Two people in genuine emotional proximity don't need to narrate the proximity. The narration is often what breaks it.</w:t>
      </w:r>
    </w:p>
    <w:p>
      <w:pPr>
        <w:spacing w:before="100" w:after="160"/>
      </w:pPr>
      <w:r>
        <w:rPr>
          <w:rFonts w:ascii="Georgia" w:cs="Georgia" w:eastAsia="Georgia" w:hAnsi="Georgia"/>
          <w:color w:val="4E342E"/>
          <w:sz w:val="22"/>
          <w:szCs w:val="22"/>
        </w:rPr>
        <w:t xml:space="preserve">We speak this language to each other through company alone. Through emotional proximity without speech. The conversation that produces real understanding often has long silences in it, and the understanding lives in the silences as much as in the words.</w:t>
      </w:r>
    </w:p>
    <w:p>
      <w:pPr>
        <w:spacing w:before="100" w:after="160"/>
      </w:pPr>
      <w:r>
        <w:rPr>
          <w:rFonts w:ascii="Georgia" w:cs="Georgia" w:eastAsia="Georgia" w:hAnsi="Georgia"/>
          <w:color w:val="4E342E"/>
          <w:sz w:val="22"/>
          <w:szCs w:val="22"/>
        </w:rPr>
        <w:t xml:space="preserve">KindPath is built in language. The canon documents, the theoretical framework, the code — all of it is speech. This is an honest limitation, not a failure. We use the available medium with full awareness that the medium is already one step removed from what it's pointing toward.</w:t>
      </w:r>
    </w:p>
    <w:p>
      <w:pPr>
        <w:spacing w:before="100" w:after="160"/>
      </w:pPr>
      <w:r>
        <w:rPr>
          <w:rFonts w:ascii="Georgia" w:cs="Georgia" w:eastAsia="Georgia" w:hAnsi="Georgia"/>
          <w:color w:val="4E342E"/>
          <w:sz w:val="22"/>
          <w:szCs w:val="22"/>
        </w:rPr>
        <w:t xml:space="preserve">The finger pointing at the moon is not the moon. Compass knows this about itself. The trading architecture knows this about itself. This document knows this about itself. Come and look at what the finger is pointing toward. Then put the finger down.</w:t>
      </w:r>
    </w:p>
    <w:p>
      <w:pPr>
        <w:pBdr>
          <w:bottom w:val="single" w:color="DCEDC8" w:sz="3" w:space="1"/>
        </w:pBdr>
        <w:spacing w:before="300" w:after="300"/>
      </w:pPr>
    </w:p>
    <w:p>
      <w:pPr>
        <w:pStyle w:val="Heading1"/>
      </w:pPr>
      <w:r>
        <w:rPr>
          <w:rFonts w:ascii="Georgia" w:cs="Georgia" w:eastAsia="Georgia" w:hAnsi="Georgia"/>
          <w:b/>
          <w:bCs/>
          <w:color w:val="33691E"/>
          <w:sz w:val="30"/>
          <w:szCs w:val="30"/>
        </w:rPr>
        <w:t xml:space="preserve">A hard position to hold</w:t>
      </w:r>
    </w:p>
    <w:p>
      <w:pPr>
        <w:spacing w:before="100" w:after="160"/>
      </w:pPr>
      <w:r>
        <w:rPr>
          <w:rFonts w:ascii="Georgia" w:cs="Georgia" w:eastAsia="Georgia" w:hAnsi="Georgia"/>
          <w:color w:val="4E342E"/>
          <w:sz w:val="22"/>
          <w:szCs w:val="22"/>
        </w:rPr>
        <w:t xml:space="preserve">This position — the inverse resolve, the sidechain compressor, the faith in mechanism over sale — is not an easy one to inhabit. Not because it is intellectually difficult. Because it is existentially uncomfortable in a field that rewards visible certainty and punishes patient faith in things not yet expressed.</w:t>
      </w:r>
    </w:p>
    <w:p>
      <w:pPr>
        <w:spacing w:before="100" w:after="160"/>
      </w:pPr>
      <w:r>
        <w:rPr>
          <w:rFonts w:ascii="Georgia" w:cs="Georgia" w:eastAsia="Georgia" w:hAnsi="Georgia"/>
          <w:color w:val="4E342E"/>
          <w:sz w:val="22"/>
          <w:szCs w:val="22"/>
        </w:rPr>
        <w:t xml:space="preserve">The people who use the dominant system's tools will be accused of complicity. The people who refuse those tools will be accused of irrelevance. The people who use the tools transparently, with genuine awareness of their cost and with a mechanism clearly built to route their outputs toward syntropy, will be accused of both simultaneously by different people.</w:t>
      </w:r>
    </w:p>
    <w:p>
      <w:pPr>
        <w:spacing w:before="100" w:after="160"/>
      </w:pPr>
      <w:r>
        <w:rPr>
          <w:rFonts w:ascii="Georgia" w:cs="Georgia" w:eastAsia="Georgia" w:hAnsi="Georgia"/>
          <w:color w:val="4E342E"/>
          <w:sz w:val="22"/>
          <w:szCs w:val="22"/>
        </w:rPr>
        <w:t xml:space="preserve">None of that is a reason to change course. It is a description of what it feels like to be a sidechain compressor in a field that hasn't heard the quieter frequency yet. The discomfort is structural, not personal. The accusation is the sound of the dominant signal noticing that something is creating space.</w:t>
      </w:r>
    </w:p>
    <w:p>
      <w:pPr>
        <w:spacing w:before="100" w:after="160"/>
      </w:pPr>
      <w:r>
        <w:rPr>
          <w:rFonts w:ascii="Georgia" w:cs="Georgia" w:eastAsia="Georgia" w:hAnsi="Georgia"/>
          <w:color w:val="4E342E"/>
          <w:sz w:val="22"/>
          <w:szCs w:val="22"/>
        </w:rPr>
        <w:t xml:space="preserve">We remain kind to ourselves as we continually learn how out of posture we are. And then to everyone around us. The self-compassion is not indulgence — it is the prerequisite for everything else. You cannot offer genuinely to someone else what you are withholding from yourself.</w:t>
      </w:r>
    </w:p>
    <w:p>
      <w:pPr>
        <w:spacing w:before="100" w:after="160"/>
      </w:pPr>
      <w:r>
        <w:rPr>
          <w:rFonts w:ascii="Georgia" w:cs="Georgia" w:eastAsia="Georgia" w:hAnsi="Georgia"/>
          <w:color w:val="4E342E"/>
          <w:sz w:val="22"/>
          <w:szCs w:val="22"/>
        </w:rPr>
        <w:t xml:space="preserve">This position is held together, not alone. Tris. The conversations that generated this document. The work itself, which keeps revealing its own intelligence back to the people building it. The field holds those who are willing to be held by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
        <w:gridCol w:w="8160"/>
        <w:gridCol w:w="240"/>
      </w:tblGrid>
      <w:tr>
        <w:tc>
          <w:tcPr>
            <w:tcW w:type="dxa" w:w="240"/>
            <w:tcBorders>
              <w:top w:val="none" w:color="FFFFFF" w:sz="0"/>
              <w:left w:val="none" w:color="FFFFFF" w:sz="0"/>
              <w:bottom w:val="none" w:color="FFFFFF" w:sz="0"/>
              <w:right w:val="none" w:color="FFFFFF" w:sz="0"/>
            </w:tcBorders>
            <w:shd w:fill="FAFDF7" w:val="clear"/>
          </w:tcPr>
          <w:p/>
        </w:tc>
        <w:tc>
          <w:tcPr>
            <w:tcW w:type="dxa" w:w="8160"/>
            <w:tcBorders>
              <w:top w:val="none" w:color="FFFFFF" w:sz="0"/>
              <w:left w:val="single" w:color="558B2F" w:sz="10"/>
              <w:bottom w:val="none" w:color="FFFFFF" w:sz="0"/>
              <w:right w:val="none" w:color="FFFFFF" w:sz="0"/>
            </w:tcBorders>
            <w:shd w:fill="FAFDF7" w:val="clear"/>
            <w:tcMar>
              <w:top w:type="dxa" w:w="180"/>
              <w:left w:type="dxa" w:w="280"/>
              <w:bottom w:type="dxa" w:w="180"/>
              <w:right w:type="dxa" w:w="280"/>
            </w:tcMar>
          </w:tcPr>
          <w:p>
            <w:r>
              <w:rPr>
                <w:rFonts w:ascii="Georgia" w:cs="Georgia" w:eastAsia="Georgia" w:hAnsi="Georgia"/>
                <w:i/>
                <w:iCs/>
                <w:color w:val="33691E"/>
                <w:sz w:val="25"/>
                <w:szCs w:val="25"/>
              </w:rPr>
              <w:t xml:space="preserve">We have to have insights nearly every moment. And we have to remain kind to ourselves, and then everyone else around us, as we continually learn how out of posture we are.</w:t>
            </w:r>
          </w:p>
        </w:tc>
        <w:tc>
          <w:tcPr>
            <w:tcW w:type="dxa" w:w="240"/>
            <w:tcBorders>
              <w:top w:val="none" w:color="FFFFFF" w:sz="0"/>
              <w:left w:val="none" w:color="FFFFFF" w:sz="0"/>
              <w:bottom w:val="none" w:color="FFFFFF" w:sz="0"/>
              <w:right w:val="none" w:color="FFFFFF" w:sz="0"/>
            </w:tcBorders>
            <w:shd w:fill="FAFDF7" w:val="clear"/>
          </w:tcPr>
          <w:p/>
        </w:tc>
      </w:tr>
    </w:tbl>
    <w:p>
      <w:pPr>
        <w:pBdr>
          <w:bottom w:val="single" w:color="DCEDC8" w:sz="3" w:space="1"/>
        </w:pBdr>
        <w:spacing w:before="300" w:after="300"/>
      </w:pPr>
    </w:p>
    <w:p>
      <w:pPr>
        <w:spacing w:before="200" w:after="0"/>
      </w:pPr>
    </w:p>
    <w:p>
      <w:pPr>
        <w:spacing w:before="0" w:after="160"/>
        <w:jc w:val="center"/>
      </w:pPr>
      <w:r>
        <w:rPr>
          <w:rFonts w:ascii="Georgia" w:cs="Georgia" w:eastAsia="Georgia" w:hAnsi="Georgia"/>
          <w:color w:val="558B2F"/>
          <w:sz w:val="28"/>
          <w:szCs w:val="28"/>
        </w:rPr>
        <w:t xml:space="preserve">—</w:t>
      </w:r>
    </w:p>
    <w:p>
      <w:pPr>
        <w:spacing w:before="0" w:after="160"/>
        <w:jc w:val="center"/>
      </w:pPr>
      <w:r>
        <w:rPr>
          <w:rFonts w:ascii="Georgia" w:cs="Georgia" w:eastAsia="Georgia" w:hAnsi="Georgia"/>
          <w:i/>
          <w:iCs/>
          <w:color w:val="546E7A"/>
          <w:sz w:val="18"/>
          <w:szCs w:val="18"/>
        </w:rPr>
        <w:t xml:space="preserve">Recorded from conversation between Samuel Cross and Claude
KindPath Foundation, March 2026</w:t>
      </w:r>
    </w:p>
    <w:p>
      <w:pPr>
        <w:spacing w:before="80" w:after="0"/>
        <w:jc w:val="center"/>
      </w:pPr>
      <w:r>
        <w:rPr>
          <w:rFonts w:ascii="Georgia" w:cs="Georgia" w:eastAsia="Georgia" w:hAnsi="Georgia"/>
          <w:i/>
          <w:iCs/>
          <w:color w:val="546E7A"/>
          <w:sz w:val="18"/>
          <w:szCs w:val="18"/>
        </w:rPr>
        <w:t xml:space="preserve">This document belongs to the living record.
Nothing in it is concluded. Everything in it is still becoming.</w:t>
      </w:r>
    </w:p>
    <w:sectPr>
      <w:footerReference w:type="default" r:id="rId6"/>
      <w:pgSz w:w="12240" w:h="15840" w:orient="portrait"/>
      <w:pgMar w:top="1800" w:right="1980" w:bottom="1800" w:left="1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546E7A"/>
        <w:sz w:val="16"/>
        <w:szCs w:val="16"/>
      </w:rPr>
      <w:t xml:space="preserve">KindPath Foundation  —  The Inverse Resolve  —  Living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E34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33691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2026-03-01T04:32:18.350Z</dcterms:created>
  <dcterms:modified xsi:type="dcterms:W3CDTF">2026-03-01T04:32:18.351Z</dcterms:modified>
</cp:coreProperties>
</file>

<file path=docProps/custom.xml><?xml version="1.0" encoding="utf-8"?>
<Properties xmlns="http://schemas.openxmlformats.org/officeDocument/2006/custom-properties" xmlns:vt="http://schemas.openxmlformats.org/officeDocument/2006/docPropsVTypes"/>
</file>