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007A8A"/>
          <w:sz w:val="19"/>
        </w:rPr>
        <w:t>ANDROID MOBILE APPLICATION NARRATIVE</w:t>
      </w:r>
    </w:p>
    <w:p>
      <w:pPr>
        <w:spacing w:after="240"/>
      </w:pPr>
      <w:r>
        <w:rPr>
          <w:rFonts w:ascii="Calibri Light" w:hAnsi="Calibri Light"/>
          <w:b/>
          <w:color w:val="1B365D"/>
          <w:sz w:val="48"/>
        </w:rPr>
        <w:t>Rented Gas Cylinder Tracking System</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after="40"/>
            </w:pPr>
            <w:r>
              <w:rPr>
                <w:b/>
                <w:color w:val="1B365D"/>
              </w:rPr>
              <w:t>Document Purpose &amp; Claude Context</w:t>
            </w:r>
          </w:p>
          <w:p>
            <w:pPr>
              <w:spacing w:after="0"/>
            </w:pPr>
            <w:r>
              <w:rPr>
                <w:sz w:val="20"/>
              </w:rPr>
              <w:t>This document outlines the detailed functional narrative, workflow requirements, and domain glossary for the Mobile Android Application module of the Gas Cylinder Tracking System. It serves as an explicit functional specification prompt for AI-assisted development (e.g., via Claude).</w:t>
            </w:r>
          </w:p>
        </w:tc>
      </w:tr>
    </w:tbl>
    <w:p>
      <w:pPr>
        <w:spacing w:after="120"/>
      </w:pPr>
    </w:p>
    <w:p>
      <w:pPr>
        <w:keepNext/>
        <w:spacing w:before="360" w:after="120"/>
      </w:pPr>
      <w:r>
        <w:rPr>
          <w:rFonts w:ascii="Calibri" w:hAnsi="Calibri"/>
          <w:b/>
          <w:color w:val="1B365D"/>
          <w:sz w:val="30"/>
        </w:rPr>
        <w:t>1. Mobile Application Overview &amp; Scope</w:t>
      </w:r>
    </w:p>
    <w:p>
      <w:r>
        <w:t>The mobile component is an Android application designed for field technicians, store managers, and logistics personnel to track rented gas cylinders across project lifecycles. The application interfaces with a centralized web server database to ensure real-time inventory visibility, accurate location tracking, automated serial generation, and driver signature verification upon returns.</w:t>
      </w:r>
    </w:p>
    <w:p>
      <w:pPr>
        <w:keepNext/>
        <w:spacing w:before="240" w:after="80"/>
      </w:pPr>
      <w:r>
        <w:rPr>
          <w:rFonts w:ascii="Calibri" w:hAnsi="Calibri"/>
          <w:b/>
          <w:color w:val="007A8A"/>
          <w:sz w:val="25"/>
        </w:rPr>
        <w:t>1.1 Primary Mobile User Personas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680"/>
        <w:gridCol w:w="4680"/>
      </w:tblGrid>
      <w:tr>
        <w:tc>
          <w:tcPr>
            <w:tcW w:type="dxa" w:w="4680"/>
            <w:shd w:fill="1B365D"/>
            <w:tcMar>
              <w:top w:w="120" w:type="dxa"/>
              <w:bottom w:w="120" w:type="dxa"/>
              <w:left w:w="150" w:type="dxa"/>
              <w:right w:w="150" w:type="dxa"/>
            </w:tcMar>
          </w:tcPr>
          <w:p>
            <w:pPr>
              <w:spacing w:after="40"/>
            </w:pPr>
            <w:r>
              <w:rPr>
                <w:b/>
                <w:color w:val="FFFFFF"/>
              </w:rPr>
              <w:t>User Role</w:t>
            </w:r>
          </w:p>
        </w:tc>
        <w:tc>
          <w:tcPr>
            <w:tcW w:type="dxa" w:w="4680"/>
            <w:shd w:fill="1B365D"/>
            <w:tcMar>
              <w:top w:w="120" w:type="dxa"/>
              <w:bottom w:w="120" w:type="dxa"/>
              <w:left w:w="150" w:type="dxa"/>
              <w:right w:w="150" w:type="dxa"/>
            </w:tcMar>
          </w:tcPr>
          <w:p>
            <w:pPr>
              <w:spacing w:after="40"/>
            </w:pPr>
            <w:r>
              <w:rPr>
                <w:b/>
                <w:color w:val="FFFFFF"/>
              </w:rPr>
              <w:t>Primary Responsibilities &amp; Key Mobile Interactions</w:t>
            </w:r>
          </w:p>
        </w:tc>
      </w:tr>
      <w:tr>
        <w:tc>
          <w:tcPr>
            <w:tcW w:type="dxa" w:w="4680"/>
            <w:shd w:fill="F9FBFD"/>
            <w:tcMar>
              <w:top w:w="120" w:type="dxa"/>
              <w:bottom w:w="120" w:type="dxa"/>
              <w:left w:w="150" w:type="dxa"/>
              <w:right w:w="150" w:type="dxa"/>
            </w:tcMar>
          </w:tcPr>
          <w:p>
            <w:pPr>
              <w:spacing w:after="40"/>
            </w:pPr>
            <w:r>
              <w:rPr>
                <w:b/>
              </w:rPr>
              <w:t>Field Technician / Site Operative</w:t>
            </w:r>
          </w:p>
        </w:tc>
        <w:tc>
          <w:tcPr>
            <w:tcW w:type="dxa" w:w="4680"/>
            <w:shd w:fill="F9FBFD"/>
            <w:tcMar>
              <w:top w:w="120" w:type="dxa"/>
              <w:bottom w:w="120" w:type="dxa"/>
              <w:left w:w="150" w:type="dxa"/>
              <w:right w:w="150" w:type="dxa"/>
            </w:tcMar>
          </w:tcPr>
          <w:p>
            <w:pPr>
              <w:spacing w:after="40"/>
            </w:pPr>
            <w:r>
              <w:t>Logs initial intake of new cylinder batches, scans individual cylinder QR codes, and initiates transfers.</w:t>
            </w:r>
          </w:p>
        </w:tc>
      </w:tr>
      <w:tr>
        <w:tc>
          <w:tcPr>
            <w:tcW w:type="dxa" w:w="4680"/>
            <w:shd w:fill="FFFFFF"/>
            <w:tcMar>
              <w:top w:w="120" w:type="dxa"/>
              <w:bottom w:w="120" w:type="dxa"/>
              <w:left w:w="150" w:type="dxa"/>
              <w:right w:w="150" w:type="dxa"/>
            </w:tcMar>
          </w:tcPr>
          <w:p>
            <w:pPr>
              <w:spacing w:after="40"/>
            </w:pPr>
            <w:r>
              <w:rPr>
                <w:b/>
              </w:rPr>
              <w:t>Stores Manager</w:t>
            </w:r>
          </w:p>
        </w:tc>
        <w:tc>
          <w:tcPr>
            <w:tcW w:type="dxa" w:w="4680"/>
            <w:shd w:fill="FFFFFF"/>
            <w:tcMar>
              <w:top w:w="120" w:type="dxa"/>
              <w:bottom w:w="120" w:type="dxa"/>
              <w:left w:w="150" w:type="dxa"/>
              <w:right w:w="150" w:type="dxa"/>
            </w:tcMar>
          </w:tcPr>
          <w:p>
            <w:pPr>
              <w:spacing w:after="40"/>
            </w:pPr>
            <w:r>
              <w:t>Manages batch collection, scans incoming QR codes during returns, captures driver signatures, and issues digital delivery notes.</w:t>
            </w:r>
          </w:p>
        </w:tc>
      </w:tr>
      <w:tr>
        <w:tc>
          <w:tcPr>
            <w:tcW w:type="dxa" w:w="4680"/>
            <w:shd w:fill="F9FBFD"/>
            <w:tcMar>
              <w:top w:w="120" w:type="dxa"/>
              <w:bottom w:w="120" w:type="dxa"/>
              <w:left w:w="150" w:type="dxa"/>
              <w:right w:w="150" w:type="dxa"/>
            </w:tcMar>
          </w:tcPr>
          <w:p>
            <w:pPr>
              <w:spacing w:after="40"/>
            </w:pPr>
            <w:r>
              <w:rPr>
                <w:b/>
              </w:rPr>
              <w:t>Collection / Logistics Driver</w:t>
            </w:r>
          </w:p>
        </w:tc>
        <w:tc>
          <w:tcPr>
            <w:tcW w:type="dxa" w:w="4680"/>
            <w:shd w:fill="F9FBFD"/>
            <w:tcMar>
              <w:top w:w="120" w:type="dxa"/>
              <w:bottom w:w="120" w:type="dxa"/>
              <w:left w:w="150" w:type="dxa"/>
              <w:right w:w="150" w:type="dxa"/>
            </w:tcMar>
          </w:tcPr>
          <w:p>
            <w:pPr>
              <w:spacing w:after="40"/>
            </w:pPr>
            <w:r>
              <w:t>Provides physical sign-off via digital signature capture on the mobile interface during cylinder returns.</w:t>
            </w:r>
          </w:p>
        </w:tc>
      </w:tr>
    </w:tbl>
    <w:p>
      <w:pPr>
        <w:spacing w:after="120"/>
      </w:pPr>
    </w:p>
    <w:p>
      <w:pPr>
        <w:keepNext/>
        <w:spacing w:before="360" w:after="120"/>
      </w:pPr>
      <w:r>
        <w:rPr>
          <w:rFonts w:ascii="Calibri" w:hAnsi="Calibri"/>
          <w:b/>
          <w:color w:val="1B365D"/>
          <w:sz w:val="30"/>
        </w:rPr>
        <w:t>2. System Glossary &amp; Terminology</w:t>
      </w:r>
    </w:p>
    <w:p>
      <w:r>
        <w:t>The following terms establish explicit functional definitions used across the mobile application workflows and database models: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680"/>
        <w:gridCol w:w="4680"/>
      </w:tblGrid>
      <w:tr>
        <w:tc>
          <w:tcPr>
            <w:tcW w:type="dxa" w:w="4680"/>
            <w:shd w:fill="1B365D"/>
            <w:tcMar>
              <w:top w:w="120" w:type="dxa"/>
              <w:bottom w:w="120" w:type="dxa"/>
              <w:left w:w="150" w:type="dxa"/>
              <w:right w:w="150" w:type="dxa"/>
            </w:tcMar>
          </w:tcPr>
          <w:p>
            <w:pPr>
              <w:spacing w:after="40"/>
            </w:pPr>
            <w:r>
              <w:rPr>
                <w:b/>
                <w:color w:val="FFFFFF"/>
              </w:rPr>
              <w:t>Term</w:t>
            </w:r>
          </w:p>
        </w:tc>
        <w:tc>
          <w:tcPr>
            <w:tcW w:type="dxa" w:w="4680"/>
            <w:shd w:fill="1B365D"/>
            <w:tcMar>
              <w:top w:w="120" w:type="dxa"/>
              <w:bottom w:w="120" w:type="dxa"/>
              <w:left w:w="150" w:type="dxa"/>
              <w:right w:w="150" w:type="dxa"/>
            </w:tcMar>
          </w:tcPr>
          <w:p>
            <w:pPr>
              <w:spacing w:after="40"/>
            </w:pPr>
            <w:r>
              <w:rPr>
                <w:b/>
                <w:color w:val="FFFFFF"/>
              </w:rPr>
              <w:t>Definition &amp; Context</w:t>
            </w:r>
          </w:p>
        </w:tc>
      </w:tr>
      <w:tr>
        <w:tc>
          <w:tcPr>
            <w:tcW w:type="dxa" w:w="4680"/>
            <w:shd w:fill="F9FBFD"/>
            <w:tcMar>
              <w:top w:w="120" w:type="dxa"/>
              <w:bottom w:w="120" w:type="dxa"/>
              <w:left w:w="150" w:type="dxa"/>
              <w:right w:w="150" w:type="dxa"/>
            </w:tcMar>
          </w:tcPr>
          <w:p>
            <w:pPr>
              <w:spacing w:after="40"/>
            </w:pPr>
            <w:r>
              <w:rPr>
                <w:b/>
              </w:rPr>
              <w:t>Project Number</w:t>
            </w:r>
          </w:p>
        </w:tc>
        <w:tc>
          <w:tcPr>
            <w:tcW w:type="dxa" w:w="4680"/>
            <w:shd w:fill="F9FBFD"/>
            <w:tcMar>
              <w:top w:w="120" w:type="dxa"/>
              <w:bottom w:w="120" w:type="dxa"/>
              <w:left w:w="150" w:type="dxa"/>
              <w:right w:w="150" w:type="dxa"/>
            </w:tcMar>
          </w:tcPr>
          <w:p>
            <w:pPr>
              <w:spacing w:after="40"/>
            </w:pPr>
            <w:r>
              <w:t>A unique alphanumeric identifier assigned to a specific client contract, engineering job, or active site engagement.</w:t>
            </w:r>
          </w:p>
        </w:tc>
      </w:tr>
      <w:tr>
        <w:tc>
          <w:tcPr>
            <w:tcW w:type="dxa" w:w="4680"/>
            <w:shd w:fill="FFFFFF"/>
            <w:tcMar>
              <w:top w:w="120" w:type="dxa"/>
              <w:bottom w:w="120" w:type="dxa"/>
              <w:left w:w="150" w:type="dxa"/>
              <w:right w:w="150" w:type="dxa"/>
            </w:tcMar>
          </w:tcPr>
          <w:p>
            <w:pPr>
              <w:spacing w:after="40"/>
            </w:pPr>
            <w:r>
              <w:rPr>
                <w:b/>
              </w:rPr>
              <w:t>Project Manager (PM)</w:t>
            </w:r>
          </w:p>
        </w:tc>
        <w:tc>
          <w:tcPr>
            <w:tcW w:type="dxa" w:w="4680"/>
            <w:shd w:fill="FFFFFF"/>
            <w:tcMar>
              <w:top w:w="120" w:type="dxa"/>
              <w:bottom w:w="120" w:type="dxa"/>
              <w:left w:w="150" w:type="dxa"/>
              <w:right w:w="150" w:type="dxa"/>
            </w:tcMar>
          </w:tcPr>
          <w:p>
            <w:pPr>
              <w:spacing w:after="40"/>
            </w:pPr>
            <w:r>
              <w:t>The designated lead responsible for site oversight. The PM receives automated emails containing generated QR codes and digital delivery notes.</w:t>
            </w:r>
          </w:p>
        </w:tc>
      </w:tr>
      <w:tr>
        <w:tc>
          <w:tcPr>
            <w:tcW w:type="dxa" w:w="4680"/>
            <w:shd w:fill="F9FBFD"/>
            <w:tcMar>
              <w:top w:w="120" w:type="dxa"/>
              <w:bottom w:w="120" w:type="dxa"/>
              <w:left w:w="150" w:type="dxa"/>
              <w:right w:w="150" w:type="dxa"/>
            </w:tcMar>
          </w:tcPr>
          <w:p>
            <w:pPr>
              <w:spacing w:after="40"/>
            </w:pPr>
            <w:r>
              <w:rPr>
                <w:b/>
              </w:rPr>
              <w:t>Site / Location</w:t>
            </w:r>
          </w:p>
        </w:tc>
        <w:tc>
          <w:tcPr>
            <w:tcW w:type="dxa" w:w="4680"/>
            <w:shd w:fill="F9FBFD"/>
            <w:tcMar>
              <w:top w:w="120" w:type="dxa"/>
              <w:bottom w:w="120" w:type="dxa"/>
              <w:left w:w="150" w:type="dxa"/>
              <w:right w:w="150" w:type="dxa"/>
            </w:tcMar>
          </w:tcPr>
          <w:p>
            <w:pPr>
              <w:spacing w:after="40"/>
            </w:pPr>
            <w:r>
              <w:t>The physical operational destination or facility where cylinders are deployed, stored, or actively used.</w:t>
            </w:r>
          </w:p>
        </w:tc>
      </w:tr>
      <w:tr>
        <w:tc>
          <w:tcPr>
            <w:tcW w:type="dxa" w:w="4680"/>
            <w:shd w:fill="FFFFFF"/>
            <w:tcMar>
              <w:top w:w="120" w:type="dxa"/>
              <w:bottom w:w="120" w:type="dxa"/>
              <w:left w:w="150" w:type="dxa"/>
              <w:right w:w="150" w:type="dxa"/>
            </w:tcMar>
          </w:tcPr>
          <w:p>
            <w:pPr>
              <w:spacing w:after="40"/>
            </w:pPr>
            <w:r>
              <w:rPr>
                <w:b/>
              </w:rPr>
              <w:t>Active Batch</w:t>
            </w:r>
          </w:p>
        </w:tc>
        <w:tc>
          <w:tcPr>
            <w:tcW w:type="dxa" w:w="4680"/>
            <w:shd w:fill="FFFFFF"/>
            <w:tcMar>
              <w:top w:w="120" w:type="dxa"/>
              <w:bottom w:w="120" w:type="dxa"/>
              <w:left w:w="150" w:type="dxa"/>
              <w:right w:w="150" w:type="dxa"/>
            </w:tcMar>
          </w:tcPr>
          <w:p>
            <w:pPr>
              <w:spacing w:after="40"/>
            </w:pPr>
            <w:r>
              <w:t>A grouped shipment or assignment of cylinders linked to a Project Number that currently remains deployed (i.e., not yet marked as returned).</w:t>
            </w:r>
          </w:p>
        </w:tc>
      </w:tr>
      <w:tr>
        <w:tc>
          <w:tcPr>
            <w:tcW w:type="dxa" w:w="4680"/>
            <w:shd w:fill="F9FBFD"/>
            <w:tcMar>
              <w:top w:w="120" w:type="dxa"/>
              <w:bottom w:w="120" w:type="dxa"/>
              <w:left w:w="150" w:type="dxa"/>
              <w:right w:w="150" w:type="dxa"/>
            </w:tcMar>
          </w:tcPr>
          <w:p>
            <w:pPr>
              <w:spacing w:after="40"/>
            </w:pPr>
            <w:r>
              <w:rPr>
                <w:b/>
              </w:rPr>
              <w:t>Unique Serial Code</w:t>
            </w:r>
          </w:p>
        </w:tc>
        <w:tc>
          <w:tcPr>
            <w:tcW w:type="dxa" w:w="4680"/>
            <w:shd w:fill="F9FBFD"/>
            <w:tcMar>
              <w:top w:w="120" w:type="dxa"/>
              <w:bottom w:w="120" w:type="dxa"/>
              <w:left w:w="150" w:type="dxa"/>
              <w:right w:w="150" w:type="dxa"/>
            </w:tcMar>
          </w:tcPr>
          <w:p>
            <w:pPr>
              <w:spacing w:after="40"/>
            </w:pPr>
            <w:r>
              <w:t>A system-generated identifier formatted as [TYPE][YEAR]-[SEQ] (e.g., NIT26-001) that uniquely identifies a single physical cylinder across its lifecycle.</w:t>
            </w:r>
          </w:p>
        </w:tc>
      </w:tr>
      <w:tr>
        <w:tc>
          <w:tcPr>
            <w:tcW w:type="dxa" w:w="4680"/>
            <w:shd w:fill="FFFFFF"/>
            <w:tcMar>
              <w:top w:w="120" w:type="dxa"/>
              <w:bottom w:w="120" w:type="dxa"/>
              <w:left w:w="150" w:type="dxa"/>
              <w:right w:w="150" w:type="dxa"/>
            </w:tcMar>
          </w:tcPr>
          <w:p>
            <w:pPr>
              <w:spacing w:after="40"/>
            </w:pPr>
            <w:r>
              <w:rPr>
                <w:b/>
              </w:rPr>
              <w:t>Delivery Note</w:t>
            </w:r>
          </w:p>
        </w:tc>
        <w:tc>
          <w:tcPr>
            <w:tcW w:type="dxa" w:w="4680"/>
            <w:shd w:fill="FFFFFF"/>
            <w:tcMar>
              <w:top w:w="120" w:type="dxa"/>
              <w:bottom w:w="120" w:type="dxa"/>
              <w:left w:w="150" w:type="dxa"/>
              <w:right w:w="150" w:type="dxa"/>
            </w:tcMar>
          </w:tcPr>
          <w:p>
            <w:pPr>
              <w:spacing w:after="40"/>
            </w:pPr>
            <w:r>
              <w:t>An automatically generated PDF receipt emailed to the PM detailing cylinder serials, timestamps, and collection driver sign-off upon return.</w:t>
            </w:r>
          </w:p>
        </w:tc>
      </w:tr>
    </w:tbl>
    <w:p>
      <w:pPr>
        <w:spacing w:after="120"/>
      </w:pPr>
    </w:p>
    <w:p>
      <w:pPr>
        <w:keepNext/>
        <w:spacing w:before="360" w:after="120"/>
      </w:pPr>
      <w:r>
        <w:rPr>
          <w:rFonts w:ascii="Calibri" w:hAnsi="Calibri"/>
          <w:b/>
          <w:color w:val="1B365D"/>
          <w:sz w:val="30"/>
        </w:rPr>
        <w:t>3. Architecture &amp; Main Navigation</w:t>
      </w:r>
    </w:p>
    <w:p>
      <w:pPr>
        <w:keepNext/>
        <w:spacing w:before="240" w:after="80"/>
      </w:pPr>
      <w:r>
        <w:rPr>
          <w:rFonts w:ascii="Calibri" w:hAnsi="Calibri"/>
          <w:b/>
          <w:color w:val="007A8A"/>
          <w:sz w:val="25"/>
        </w:rPr>
        <w:t>3.1 Authentication Screen</w:t>
      </w:r>
    </w:p>
    <w:p>
      <w:r>
        <w:rPr>
          <w:b/>
        </w:rPr>
        <w:t xml:space="preserve">• </w:t>
      </w:r>
      <w:r>
        <w:t xml:space="preserve">User Login: </w:t>
      </w:r>
      <w:r>
        <w:t>Secure authentication screen requiring corporate credentials with token-based session validation.</w:t>
      </w:r>
    </w:p>
    <w:p>
      <w:pPr>
        <w:keepNext/>
        <w:spacing w:before="240" w:after="80"/>
      </w:pPr>
      <w:r>
        <w:rPr>
          <w:rFonts w:ascii="Calibri" w:hAnsi="Calibri"/>
          <w:b/>
          <w:color w:val="007A8A"/>
          <w:sz w:val="25"/>
        </w:rPr>
        <w:t>3.2 Main Dashboard (Home Screen)</w:t>
      </w:r>
    </w:p>
    <w:p>
      <w:r>
        <w:t>Upon login, the user accesses a streamlined 3-button dashboard:</w:t>
      </w:r>
    </w:p>
    <w:p>
      <w:pPr>
        <w:spacing w:after="80"/>
        <w:ind w:left="360"/>
      </w:pPr>
      <w:r>
        <w:rPr>
          <w:b/>
        </w:rPr>
        <w:t xml:space="preserve">• New Button: </w:t>
      </w:r>
      <w:r>
        <w:t>Initiates batch creation with options to set up a new site or add batches to an existing site, generating serials and QR codes.</w:t>
      </w:r>
    </w:p>
    <w:p>
      <w:pPr>
        <w:spacing w:after="80"/>
        <w:ind w:left="360"/>
      </w:pPr>
      <w:r>
        <w:rPr>
          <w:b/>
        </w:rPr>
        <w:t xml:space="preserve">• Transfer Button: </w:t>
      </w:r>
      <w:r>
        <w:t>Handles relocation of active cylinders between project sites or back to stores, enforcing QR verification scanning.</w:t>
      </w:r>
    </w:p>
    <w:p>
      <w:pPr>
        <w:spacing w:after="80"/>
        <w:ind w:left="360"/>
      </w:pPr>
      <w:r>
        <w:rPr>
          <w:b/>
        </w:rPr>
        <w:t xml:space="preserve">• Returns Button: </w:t>
      </w:r>
      <w:r>
        <w:t>Manages final return workflows, physical QR verification scanning, driver sign-off, and delivery note generation.</w:t>
      </w:r>
    </w:p>
    <w:p>
      <w:pPr>
        <w:keepNext/>
        <w:spacing w:before="360" w:after="120"/>
      </w:pPr>
      <w:r>
        <w:rPr>
          <w:rFonts w:ascii="Calibri" w:hAnsi="Calibri"/>
          <w:b/>
          <w:color w:val="1B365D"/>
          <w:sz w:val="30"/>
        </w:rPr>
        <w:t>4. Detailed Operational Workflows</w:t>
      </w:r>
    </w:p>
    <w:p>
      <w:pPr>
        <w:keepNext/>
        <w:spacing w:before="240" w:after="80"/>
      </w:pPr>
      <w:r>
        <w:rPr>
          <w:rFonts w:ascii="Calibri" w:hAnsi="Calibri"/>
          <w:b/>
          <w:color w:val="007A8A"/>
          <w:sz w:val="25"/>
        </w:rPr>
        <w:t>Workflow A: 'New' Batch Creation &amp; QR Generation (Updated)</w:t>
      </w:r>
    </w:p>
    <w:p>
      <w:pPr>
        <w:spacing w:after="80"/>
        <w:ind w:left="288"/>
      </w:pPr>
      <w:r>
        <w:rPr>
          <w:b/>
        </w:rPr>
        <w:t xml:space="preserve">Step 1: Primary Action Prompt (Site Mode Selection): </w:t>
      </w:r>
      <w:r>
        <w:t>Tapping 'New' presents a secondary prompt asking the user to choose between:</w:t>
        <w:br/>
        <w:t xml:space="preserve">  - Create New Site: Complete new site and project initialization.</w:t>
        <w:br/>
        <w:t xml:space="preserve">  - Edit Existing Site: Select an existing active project/site to attach additional batches.</w:t>
      </w:r>
    </w:p>
    <w:p>
      <w:pPr>
        <w:spacing w:after="80"/>
        <w:ind w:left="288"/>
      </w:pPr>
      <w:r>
        <w:rPr>
          <w:b/>
        </w:rPr>
        <w:t xml:space="preserve">Step 2A: Mode - Create New Site: </w:t>
      </w:r>
      <w:r>
        <w:t>User inputs new project details:</w:t>
        <w:br/>
        <w:t xml:space="preserve"> - Project Number (New)</w:t>
        <w:br/>
        <w:t xml:space="preserve"> - Project Manager (PM Name / Email)</w:t>
        <w:br/>
        <w:t xml:space="preserve"> - Site Name &amp; Location</w:t>
      </w:r>
    </w:p>
    <w:p>
      <w:pPr>
        <w:spacing w:after="80"/>
        <w:ind w:left="288"/>
      </w:pPr>
      <w:r>
        <w:rPr>
          <w:b/>
        </w:rPr>
        <w:t xml:space="preserve">Step 2B: Mode - Edit Existing Site: </w:t>
      </w:r>
      <w:r>
        <w:t>User searches and selects an existing Project Number or Site. The system automatically populates the associated PM and Site details while allowing the user to add new batches to this existing project.</w:t>
      </w:r>
    </w:p>
    <w:p>
      <w:pPr>
        <w:spacing w:after="80"/>
        <w:ind w:left="288"/>
      </w:pPr>
      <w:r>
        <w:rPr>
          <w:b/>
        </w:rPr>
        <w:t xml:space="preserve">Step 3: Cylinder Line Item Entry: </w:t>
      </w:r>
      <w:r>
        <w:t>A prompt enables adding cylinder line items to the batch:</w:t>
        <w:br/>
        <w:t xml:space="preserve"> - Cylinder Gas Type (e.g., Nitrogen, Argon)</w:t>
        <w:br/>
        <w:t xml:space="preserve"> - Supplier Name</w:t>
        <w:br/>
        <w:t xml:space="preserve"> - Quantity (Qty)</w:t>
        <w:br/>
        <w:t xml:space="preserve"> - Initial Delivery Point</w:t>
      </w:r>
    </w:p>
    <w:p>
      <w:pPr>
        <w:spacing w:after="80"/>
        <w:ind w:left="288"/>
      </w:pPr>
      <w:r>
        <w:rPr>
          <w:b/>
        </w:rPr>
        <w:t xml:space="preserve">Step 4: Unique Serial Code Call: </w:t>
      </w:r>
      <w:r>
        <w:t>For each cylinder unit in the quantity specified, the mobile app calls the central backend database API to query and assign a globally unique serial code following the template:</w:t>
        <w:br/>
        <w:t xml:space="preserve">   FORMAT: [GAS_PREFIX][YEAR]-[SEQ_NUM] (e.g., NIT26-001)</w:t>
      </w:r>
    </w:p>
    <w:p>
      <w:pPr>
        <w:spacing w:after="80"/>
        <w:ind w:left="288"/>
      </w:pPr>
      <w:r>
        <w:rPr>
          <w:b/>
        </w:rPr>
        <w:t xml:space="preserve">Step 5: Automated QR Dispatch: </w:t>
      </w:r>
      <w:r>
        <w:t>The server generates unique QR codes for each unit and automatically emails printable QR code PDF sheet(s) directly to the designated Project Manager for physical tagging.</w:t>
      </w:r>
    </w:p>
    <w:p>
      <w:pPr>
        <w:keepNext/>
        <w:spacing w:before="240" w:after="80"/>
      </w:pPr>
      <w:r>
        <w:rPr>
          <w:rFonts w:ascii="Calibri" w:hAnsi="Calibri"/>
          <w:b/>
          <w:color w:val="007A8A"/>
          <w:sz w:val="25"/>
        </w:rPr>
        <w:t>Workflow B: 'Transfer' Cylinder Relocation</w:t>
      </w:r>
    </w:p>
    <w:p>
      <w:pPr>
        <w:spacing w:after="80"/>
        <w:ind w:left="288"/>
      </w:pPr>
      <w:r>
        <w:rPr>
          <w:b/>
        </w:rPr>
        <w:t xml:space="preserve">Step 1: Search &amp; Filter Active Batches: </w:t>
      </w:r>
      <w:r>
        <w:t>User searches by Project Number OR Project Manager Name to return active batches.</w:t>
      </w:r>
    </w:p>
    <w:p>
      <w:pPr>
        <w:spacing w:after="80"/>
        <w:ind w:left="288"/>
      </w:pPr>
      <w:r>
        <w:rPr>
          <w:b/>
        </w:rPr>
        <w:t xml:space="preserve">Step 2: Active Batch Selection: </w:t>
      </w:r>
      <w:r>
        <w:t>User selects the target active batch.</w:t>
      </w:r>
    </w:p>
    <w:p>
      <w:pPr>
        <w:spacing w:after="80"/>
        <w:ind w:left="288"/>
      </w:pPr>
      <w:r>
        <w:rPr>
          <w:b/>
        </w:rPr>
        <w:t xml:space="preserve">Step 3: Mandatory Physical QR Verification (Scanning): </w:t>
      </w:r>
      <w:r>
        <w:t>CRITICAL ENFORCEMENT: The app opens the camera scanner. The user MUST scan each physical cylinder's QR code intended for transfer before the system permits final submission.</w:t>
      </w:r>
    </w:p>
    <w:p>
      <w:pPr>
        <w:spacing w:after="80"/>
        <w:ind w:left="288"/>
      </w:pPr>
      <w:r>
        <w:rPr>
          <w:b/>
        </w:rPr>
        <w:t xml:space="preserve">Step 4: Destination Selection: </w:t>
      </w:r>
      <w:r>
        <w:t>User selects destination: New Site or Back to Stores.</w:t>
      </w:r>
    </w:p>
    <w:p>
      <w:pPr>
        <w:spacing w:after="80"/>
        <w:ind w:left="288"/>
      </w:pPr>
      <w:r>
        <w:rPr>
          <w:b/>
        </w:rPr>
        <w:t xml:space="preserve">Step 5: Server Sync: </w:t>
      </w:r>
      <w:r>
        <w:t>Updates central server database in real time with timestamped audit log.</w:t>
      </w:r>
    </w:p>
    <w:p>
      <w:pPr>
        <w:keepNext/>
        <w:spacing w:before="240" w:after="80"/>
      </w:pPr>
      <w:r>
        <w:rPr>
          <w:rFonts w:ascii="Calibri" w:hAnsi="Calibri"/>
          <w:b/>
          <w:color w:val="007A8A"/>
          <w:sz w:val="25"/>
        </w:rPr>
        <w:t>Workflow C: 'Returns' &amp; Driver Sign-Off</w:t>
      </w:r>
    </w:p>
    <w:p>
      <w:pPr>
        <w:spacing w:after="80"/>
        <w:ind w:left="288"/>
      </w:pPr>
      <w:r>
        <w:rPr>
          <w:b/>
        </w:rPr>
        <w:t xml:space="preserve">Step 1: Search Active Batches: </w:t>
      </w:r>
      <w:r>
        <w:t>Stores Manager searches by Project Manager Name or Project Number.</w:t>
      </w:r>
    </w:p>
    <w:p>
      <w:pPr>
        <w:spacing w:after="80"/>
        <w:ind w:left="288"/>
      </w:pPr>
      <w:r>
        <w:rPr>
          <w:b/>
        </w:rPr>
        <w:t xml:space="preserve">Step 2: Active Batch Selection: </w:t>
      </w:r>
      <w:r>
        <w:t>Manager selects the relevant active batch.</w:t>
      </w:r>
    </w:p>
    <w:p>
      <w:pPr>
        <w:spacing w:after="80"/>
        <w:ind w:left="288"/>
      </w:pPr>
      <w:r>
        <w:rPr>
          <w:b/>
        </w:rPr>
        <w:t xml:space="preserve">Step 3: Cylinder Verification Scanning: </w:t>
      </w:r>
      <w:r>
        <w:t>Stores Manager scans individual physical QR codes for return validation.</w:t>
      </w:r>
    </w:p>
    <w:p>
      <w:pPr>
        <w:spacing w:after="80"/>
        <w:ind w:left="288"/>
      </w:pPr>
      <w:r>
        <w:rPr>
          <w:b/>
        </w:rPr>
        <w:t xml:space="preserve">Step 4: Driver On-Screen Signature Capture: </w:t>
      </w:r>
      <w:r>
        <w:t>Digital signature canvas captures driver sign-off.</w:t>
      </w:r>
    </w:p>
    <w:p>
      <w:pPr>
        <w:spacing w:after="80"/>
        <w:ind w:left="288"/>
      </w:pPr>
      <w:r>
        <w:rPr>
          <w:b/>
        </w:rPr>
        <w:t xml:space="preserve">Step 5: Status Finalization &amp; Automated Delivery Note: </w:t>
      </w:r>
      <w:r>
        <w:t>Updates server status to 'Returned' and emails a PDF Delivery Note to the Project Manager.</w:t>
      </w:r>
    </w:p>
    <w:p>
      <w:pPr>
        <w:keepNext/>
        <w:spacing w:before="360" w:after="120"/>
      </w:pPr>
      <w:r>
        <w:rPr>
          <w:rFonts w:ascii="Calibri" w:hAnsi="Calibri"/>
          <w:b/>
          <w:color w:val="1B365D"/>
          <w:sz w:val="30"/>
        </w:rPr>
        <w:t>5. Claude Prompting Technical Guidelines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after="40"/>
            </w:pPr>
            <w:r>
              <w:rPr>
                <w:b/>
                <w:color w:val="1B365D"/>
              </w:rPr>
              <w:t>Guidelines for Claude Code Generation</w:t>
            </w:r>
          </w:p>
          <w:p>
            <w:pPr>
              <w:spacing w:after="0"/>
            </w:pPr>
            <w:r>
              <w:rPr>
                <w:sz w:val="20"/>
              </w:rPr>
              <w:t>When feeding this document to Claude to generate code/architecture:</w:t>
              <w:br/>
              <w:t>1. Database Schema: Support existing site lookups and enforce unique constraints on Serial Numbers (TYPEYY-XXX).</w:t>
              <w:br/>
              <w:t>2. Dynamic Prompts: Implement secondary prompt modal/selector logic for Create vs. Edit Site under New Batch.</w:t>
              <w:br/>
              <w:t>3. Hardware Features: Require Android Camera API / Barcode Scanning library (e.g., ZXing / ML Kit integration).</w:t>
              <w:br/>
              <w:t>4. Offline Resilience: Implement local SQLite/Room caching for QR scanning prior to backend payload dispatch.</w:t>
              <w:br/>
              <w:t>5. Mailer API: Require backend integration (e.g., SendGrid/NodeMailer) for automated PDF/QR emailing.</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