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fig = showCycleWaterfall(waterfallTimeseries,fs)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= waterfallTimeseries.Data;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nSamples = size(data,1);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nFrames  = size(data,3);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binSize  = 20;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mod(nSamples,binSize) ~=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error('Frame length must be divisible by %d.',binSize)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 = reshape(data,nSamples,nFrames);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nColumns = nSamples/binSize;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Wdisplay = squeeze(max( 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reshape(W,binSize,nColumns,nFrames),[],1)).';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WdB = 20*log10(max(single(Wdisplay),eps('single')));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 = figure('Name','Cycle-Synchronous Waterfall', 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'Tag','CycleWaterfallFigure');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hImg = imagesc( 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linspace(0,(nSamples-1)*1000/fs,nColumns), 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1:nFrames,WdB);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axis xy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xlabel('Time within 60 Hz cycle (ms)')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ylabel('Cycle number')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title('Cycle-Synchronous Spark and Noise Waterfall')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colormap(turbo)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colorbar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hImg.PickableParts = 'all';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hImg.HitTest = 'on';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hImg.ButtonDownFcn =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@(src,event) waterfallClick(src,event,W,fs);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