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11B34" w14:textId="5678C5B8" w:rsidR="007750AD" w:rsidRDefault="00000000">
      <w:pPr>
        <w:spacing w:after="100"/>
        <w:jc w:val="center"/>
      </w:pPr>
      <w:r>
        <w:rPr>
          <w:b/>
          <w:bCs/>
          <w:sz w:val="34"/>
          <w:szCs w:val="34"/>
        </w:rPr>
        <w:t>BÁO CÁO TƯ LIỆU HỌC THUẬT CHO ỨNG DỤNG MEAL SNAP</w:t>
      </w:r>
    </w:p>
    <w:p w14:paraId="6B3AF3DE" w14:textId="77777777" w:rsidR="007750AD" w:rsidRDefault="00000000">
      <w:pPr>
        <w:spacing w:after="120" w:line="300" w:lineRule="auto"/>
        <w:jc w:val="both"/>
      </w:pPr>
      <w:r>
        <w:t>Báo cáo này tổng hợp các tài liệu học thuật và khoa học trên thế giới làm cơ sở lý thuyết cho ứng dụng Meal Snap. Các tài liệu được nhóm theo từng thành phần của ứng dụng, mỗi nhóm có một câu giới thiệu ngắn về vai trò của nhóm đó đối với dự án, sau đó là danh sách nguồn tham khảo kèm đường dẫn. Danh sách này có thể dùng trực tiếp cho phần tài liệu tham khảo của báo cáo đồ án và có thể bổ sung thêm khi cần.</w:t>
      </w:r>
    </w:p>
    <w:p w14:paraId="4FAA8D59" w14:textId="77777777" w:rsidR="007750AD" w:rsidRDefault="00000000">
      <w:pPr>
        <w:pStyle w:val="Heading1"/>
      </w:pPr>
      <w:r>
        <w:t>I. Nhận diện món ăn bằng học sâu</w:t>
      </w:r>
    </w:p>
    <w:p w14:paraId="5CFD795B" w14:textId="77777777" w:rsidR="007750AD" w:rsidRDefault="00000000">
      <w:pPr>
        <w:spacing w:after="120" w:line="300" w:lineRule="auto"/>
        <w:jc w:val="both"/>
      </w:pPr>
      <w:r>
        <w:t>Nhóm này làm cơ sở cho chức năng chụp ảnh nhận diện món ăn và ước lượng dinh dưỡng. Các công trình cho thấy mạng nơ ron tích chập và các kiến trúc học sâu có thể phân loại món ăn và ước lượng năng lượng từ ảnh.</w:t>
      </w:r>
    </w:p>
    <w:p w14:paraId="032572BA" w14:textId="77777777" w:rsidR="007750AD" w:rsidRDefault="00000000">
      <w:pPr>
        <w:pStyle w:val="ListParagraph"/>
        <w:numPr>
          <w:ilvl w:val="0"/>
          <w:numId w:val="2"/>
        </w:numPr>
        <w:spacing w:after="100" w:line="290" w:lineRule="auto"/>
        <w:jc w:val="both"/>
      </w:pPr>
      <w:r>
        <w:t>Agarwal và cộng sự (2023). Hybrid Deep Learning Algorithm-Based Food Recognition and Calorie Estimation. Journal of Food Processing and Preservation. https://onlinelibrary.wiley.com/doi/10.1155/2023/6612302</w:t>
      </w:r>
    </w:p>
    <w:p w14:paraId="4EAEF4CE" w14:textId="77777777" w:rsidR="007750AD" w:rsidRDefault="00000000">
      <w:pPr>
        <w:pStyle w:val="ListParagraph"/>
        <w:numPr>
          <w:ilvl w:val="0"/>
          <w:numId w:val="2"/>
        </w:numPr>
        <w:spacing w:after="100" w:line="290" w:lineRule="auto"/>
        <w:jc w:val="both"/>
      </w:pPr>
      <w:r>
        <w:t>Deep Learning in Food Image Recognition: A Comprehensive Review (2025). Applied Sciences, MDPI. https://www.mdpi.com/2076-3417/15/14/7626</w:t>
      </w:r>
    </w:p>
    <w:p w14:paraId="28F25543" w14:textId="77777777" w:rsidR="007750AD" w:rsidRDefault="00000000">
      <w:pPr>
        <w:pStyle w:val="ListParagraph"/>
        <w:numPr>
          <w:ilvl w:val="0"/>
          <w:numId w:val="2"/>
        </w:numPr>
        <w:spacing w:after="100" w:line="290" w:lineRule="auto"/>
        <w:jc w:val="both"/>
      </w:pPr>
      <w:r>
        <w:t>Image-based food groups and portion prediction by using deep learning (2025). PMC. https://pmc.ncbi.nlm.nih.gov/articles/PMC11887021/</w:t>
      </w:r>
    </w:p>
    <w:p w14:paraId="73BDAE53" w14:textId="77777777" w:rsidR="007750AD" w:rsidRDefault="00000000">
      <w:pPr>
        <w:pStyle w:val="Heading1"/>
      </w:pPr>
      <w:r>
        <w:t>II. Trí tuệ nhân tạo và mô hình ngôn ngữ lớn trong dinh dưỡng</w:t>
      </w:r>
    </w:p>
    <w:p w14:paraId="4ED58ED4" w14:textId="77777777" w:rsidR="007750AD" w:rsidRDefault="00000000">
      <w:pPr>
        <w:spacing w:after="120" w:line="300" w:lineRule="auto"/>
        <w:jc w:val="both"/>
      </w:pPr>
      <w:r>
        <w:t>Nhóm này làm cơ sở cho việc dùng mô hình ngôn ngữ lớn để phân tích và tư vấn dinh dưỡng. Các tổng quan cho thấy tiềm năng cùng những thách thức về độ chính xác, minh bạch và đạo đức khi đưa trí tuệ nhân tạo vào lĩnh vực dinh dưỡng.</w:t>
      </w:r>
    </w:p>
    <w:p w14:paraId="71D52B69" w14:textId="77777777" w:rsidR="007750AD" w:rsidRDefault="00000000">
      <w:pPr>
        <w:pStyle w:val="ListParagraph"/>
        <w:numPr>
          <w:ilvl w:val="0"/>
          <w:numId w:val="2"/>
        </w:numPr>
        <w:spacing w:after="100" w:line="290" w:lineRule="auto"/>
        <w:jc w:val="both"/>
      </w:pPr>
      <w:r>
        <w:t>Language models in nutrition and dietetics: a scoping review. The American Journal of Clinical Nutrition. https://www.sciencedirect.com/science/article/pii/S0002916525007191</w:t>
      </w:r>
    </w:p>
    <w:p w14:paraId="19EF5787" w14:textId="77777777" w:rsidR="007750AD" w:rsidRDefault="00000000">
      <w:pPr>
        <w:pStyle w:val="ListParagraph"/>
        <w:numPr>
          <w:ilvl w:val="0"/>
          <w:numId w:val="2"/>
        </w:numPr>
        <w:spacing w:after="100" w:line="290" w:lineRule="auto"/>
        <w:jc w:val="both"/>
      </w:pPr>
      <w:r>
        <w:t>Artificial Intelligence in Nutrition and Dietetics: A Comprehensive Review of Current Research. Healthcare, MDPI. https://www.mdpi.com/2227-9032/13/20/2579</w:t>
      </w:r>
    </w:p>
    <w:p w14:paraId="0DFD9D9A" w14:textId="77777777" w:rsidR="007750AD" w:rsidRDefault="00000000">
      <w:pPr>
        <w:pStyle w:val="ListParagraph"/>
        <w:numPr>
          <w:ilvl w:val="0"/>
          <w:numId w:val="2"/>
        </w:numPr>
        <w:spacing w:after="100" w:line="290" w:lineRule="auto"/>
        <w:jc w:val="both"/>
      </w:pPr>
      <w:r>
        <w:t>Investigation and Assessment of AI Role in Nutrition: An Updated Narrative Review of the Evidence. PMC. https://pmc.ncbi.nlm.nih.gov/articles/PMC11723148/</w:t>
      </w:r>
    </w:p>
    <w:p w14:paraId="5593E254" w14:textId="77777777" w:rsidR="007750AD" w:rsidRDefault="00000000">
      <w:pPr>
        <w:pStyle w:val="ListParagraph"/>
        <w:numPr>
          <w:ilvl w:val="0"/>
          <w:numId w:val="2"/>
        </w:numPr>
        <w:spacing w:after="100" w:line="290" w:lineRule="auto"/>
        <w:jc w:val="both"/>
      </w:pPr>
      <w:r>
        <w:t xml:space="preserve">Comparative analysis of AI on human nutrition knowledge: Evaluating large language model-based conversational agents against dietetics students and the </w:t>
        <w:lastRenderedPageBreak/>
        <w:t>general population. PLOS One. https://journals.plos.org/plosone/article?id=10.1371/journal.pone.0336577</w:t>
      </w:r>
    </w:p>
    <w:p w14:paraId="255E9200" w14:textId="77777777" w:rsidR="007750AD" w:rsidRDefault="00000000">
      <w:pPr>
        <w:pStyle w:val="Heading1"/>
      </w:pPr>
      <w:r>
        <w:t>III. Trợ lý hội thoại và sinh dữ liệu có ràng buộc</w:t>
      </w:r>
    </w:p>
    <w:p w14:paraId="3813C98A" w14:textId="77777777" w:rsidR="007750AD" w:rsidRDefault="00000000">
      <w:pPr>
        <w:spacing w:after="120" w:line="300" w:lineRule="auto"/>
        <w:jc w:val="both"/>
      </w:pPr>
      <w:r>
        <w:t>Nhóm này làm cơ sở cho trợ lý hội thoại của ứng dụng, gồm trò chuyện có kèm ảnh món ăn, ghi nhật ký từ hội thoại, tự sinh kế hoạch thực đơn tuần và tổng hợp danh sách đi chợ theo cấu trúc định sẵn. Kỹ thuật ràng buộc câu trả lời theo dữ liệu thực của người dùng và kỹ thuật sinh có truy hồi (Retrieval Augmented Generation) giúp giảm bịa đặt, tăng độ tin cậy khi mô hình trả lời và tạo nội dung trong bối cảnh y tế.</w:t>
      </w:r>
    </w:p>
    <w:p w14:paraId="6A278E2B" w14:textId="77777777" w:rsidR="007750AD" w:rsidRDefault="00000000">
      <w:pPr>
        <w:pStyle w:val="ListParagraph"/>
        <w:numPr>
          <w:ilvl w:val="0"/>
          <w:numId w:val="2"/>
        </w:numPr>
        <w:spacing w:after="100" w:line="290" w:lineRule="auto"/>
        <w:jc w:val="both"/>
      </w:pPr>
      <w:r>
        <w:t>A systematic review of artificial intelligence chatbots for promoting physical activity, healthy diet, and weight loss. PMC. https://pmc.ncbi.nlm.nih.gov/articles/PMC8665320/</w:t>
      </w:r>
    </w:p>
    <w:p w14:paraId="0A85FC10" w14:textId="77777777" w:rsidR="007750AD" w:rsidRDefault="00000000">
      <w:pPr>
        <w:pStyle w:val="ListParagraph"/>
        <w:numPr>
          <w:ilvl w:val="0"/>
          <w:numId w:val="2"/>
        </w:numPr>
        <w:spacing w:after="100" w:line="290" w:lineRule="auto"/>
        <w:jc w:val="both"/>
      </w:pPr>
      <w:r>
        <w:t>A Bilingual AI-Based Chatbot for Nutrition Education in a Food Is Medicine Intervention for High-Risk Pregnant Women (2026). JMIR Formative Research. https://formative.jmir.org/2026/1/e85292</w:t>
      </w:r>
    </w:p>
    <w:p w14:paraId="5123AFA1" w14:textId="77777777" w:rsidR="007750AD" w:rsidRDefault="00000000">
      <w:pPr>
        <w:pStyle w:val="ListParagraph"/>
        <w:numPr>
          <w:ilvl w:val="0"/>
          <w:numId w:val="2"/>
        </w:numPr>
        <w:spacing w:after="100" w:line="290" w:lineRule="auto"/>
        <w:jc w:val="both"/>
      </w:pPr>
      <w:r>
        <w:t>A Behavioral Science-Informed Agentic Workflow for Personalized Nutrition Coaching: Development and Validation Study. PMC. https://pmc.ncbi.nlm.nih.gov/articles/PMC12460921/</w:t>
      </w:r>
    </w:p>
    <w:p w14:paraId="611587B5" w14:textId="77777777" w:rsidR="007750AD" w:rsidRDefault="00000000">
      <w:pPr>
        <w:pStyle w:val="ListParagraph"/>
        <w:numPr>
          <w:ilvl w:val="0"/>
          <w:numId w:val="2"/>
        </w:numPr>
        <w:spacing w:after="100" w:line="290" w:lineRule="auto"/>
        <w:jc w:val="both"/>
      </w:pPr>
      <w:r>
        <w:t>Retrieval-Augmented Generation (RAG) in Healthcare: A Comprehensive Review. AI, MDPI. https://www.mdpi.com/2673-2688/6/9/226</w:t>
      </w:r>
    </w:p>
    <w:p w14:paraId="12040AE4" w14:textId="77777777" w:rsidR="007750AD" w:rsidRDefault="00000000">
      <w:pPr>
        <w:pStyle w:val="ListParagraph"/>
        <w:numPr>
          <w:ilvl w:val="0"/>
          <w:numId w:val="2"/>
        </w:numPr>
        <w:spacing w:after="100" w:line="290" w:lineRule="auto"/>
        <w:jc w:val="both"/>
      </w:pPr>
      <w:r>
        <w:t>Retrieval augmented generation for large language models in healthcare: A systematic review. PMC. https://pmc.ncbi.nlm.nih.gov/articles/PMC12157099/</w:t>
      </w:r>
    </w:p>
    <w:p w14:paraId="40228207" w14:textId="77777777" w:rsidR="007750AD" w:rsidRDefault="00000000">
      <w:pPr>
        <w:pStyle w:val="Heading1"/>
      </w:pPr>
      <w:r>
        <w:t>IV. Ứng dụng di động theo dõi dinh dưỡng và thay đổi hành vi</w:t>
      </w:r>
    </w:p>
    <w:p w14:paraId="06E31F09" w14:textId="77777777" w:rsidR="007750AD" w:rsidRDefault="00000000">
      <w:pPr>
        <w:spacing w:after="120" w:line="300" w:lineRule="auto"/>
        <w:jc w:val="both"/>
      </w:pPr>
      <w:r>
        <w:t>Nhóm này làm cơ sở cho mô hình theo dõi nhật ký ăn uống và vận động. Bằng chứng cho thấy việc tự ghi nhật ký đều đặn gắn với kết quả giảm cân tốt hơn, và ứng dụng di động hỗ trợ duy trì thói quen này.</w:t>
      </w:r>
    </w:p>
    <w:p w14:paraId="522A639A" w14:textId="77777777" w:rsidR="007750AD" w:rsidRDefault="00000000">
      <w:pPr>
        <w:pStyle w:val="ListParagraph"/>
        <w:numPr>
          <w:ilvl w:val="0"/>
          <w:numId w:val="2"/>
        </w:numPr>
        <w:spacing w:after="100" w:line="290" w:lineRule="auto"/>
        <w:jc w:val="both"/>
      </w:pPr>
      <w:r>
        <w:t>Mobile Health Applications in Weight Management: A Systematic Literature Review. American Journal of Preventive Medicine. https://www.ajpmonline.org/article/S0749-3797(19)30025-X/fulltext</w:t>
      </w:r>
    </w:p>
    <w:p w14:paraId="3F3BE1CA" w14:textId="77777777" w:rsidR="007750AD" w:rsidRDefault="00000000">
      <w:pPr>
        <w:pStyle w:val="ListParagraph"/>
        <w:numPr>
          <w:ilvl w:val="0"/>
          <w:numId w:val="2"/>
        </w:numPr>
        <w:spacing w:after="100" w:line="290" w:lineRule="auto"/>
        <w:jc w:val="both"/>
      </w:pPr>
      <w:r>
        <w:t>The Use of Food Scanning Mobile Applications in Weight Loss: A Systematic Review of Longitudinal Interventional Studies. Physical Activity and Health. https://paahjournal.com/articles/10.5334/paah.467</w:t>
      </w:r>
    </w:p>
    <w:p w14:paraId="7751C9DD" w14:textId="77777777" w:rsidR="007750AD" w:rsidRDefault="00000000">
      <w:pPr>
        <w:pStyle w:val="ListParagraph"/>
        <w:numPr>
          <w:ilvl w:val="0"/>
          <w:numId w:val="2"/>
        </w:numPr>
        <w:spacing w:after="100" w:line="290" w:lineRule="auto"/>
        <w:jc w:val="both"/>
      </w:pPr>
      <w:r>
        <w:t>Sustainability of Weight Loss Through Smartphone Apps: Systematic Review and Meta-analysis. PMC. https://www.ncbi.nlm.nih.gov/pmc/articles/PMC9536524/</w:t>
      </w:r>
    </w:p>
    <w:p w14:paraId="17BA0811" w14:textId="77777777" w:rsidR="007750AD" w:rsidRDefault="00000000">
      <w:pPr>
        <w:pStyle w:val="ListParagraph"/>
        <w:numPr>
          <w:ilvl w:val="0"/>
          <w:numId w:val="2"/>
        </w:numPr>
        <w:spacing w:after="100" w:line="290" w:lineRule="auto"/>
        <w:jc w:val="both"/>
      </w:pPr>
      <w:r>
        <w:lastRenderedPageBreak/>
        <w:t>A systematic review of the use of dietary self-monitoring in behavioural weight loss interventions: delivery, intensity and effectiveness. Public Health Nutrition. https://pmc.ncbi.nlm.nih.gov/articles/PMC8928602/</w:t>
      </w:r>
    </w:p>
    <w:p w14:paraId="56D4337D" w14:textId="77777777" w:rsidR="007750AD" w:rsidRDefault="00000000">
      <w:pPr>
        <w:pStyle w:val="ListParagraph"/>
        <w:numPr>
          <w:ilvl w:val="0"/>
          <w:numId w:val="2"/>
        </w:numPr>
        <w:spacing w:after="100" w:line="290" w:lineRule="auto"/>
        <w:jc w:val="both"/>
      </w:pPr>
      <w:r>
        <w:t>Behavior Change Effectiveness Using Nutrition Apps in People With Chronic Diseases: Scoping Review. PMC. https://pmc.ncbi.nlm.nih.gov/articles/PMC9883741/</w:t>
      </w:r>
    </w:p>
    <w:p w14:paraId="25C82EE9" w14:textId="77777777" w:rsidR="007750AD" w:rsidRDefault="00000000">
      <w:pPr>
        <w:pStyle w:val="Heading1"/>
      </w:pPr>
      <w:r>
        <w:t>V. Công thức năng lượng và chỉ số cơ thể</w:t>
      </w:r>
    </w:p>
    <w:p w14:paraId="0BBC54B9" w14:textId="77777777" w:rsidR="007750AD" w:rsidRDefault="00000000">
      <w:pPr>
        <w:spacing w:after="120" w:line="300" w:lineRule="auto"/>
        <w:jc w:val="both"/>
      </w:pPr>
      <w:r>
        <w:t>Nhóm này là cơ sở khoa học cho các công thức tính trong ứng dụng gồm tỉ lệ trao đổi chất cơ bản, nhu cầu năng lượng, chỉ số khối cơ thể và chỉ số tương đương chuyển hóa dùng để ước lượng calo tiêu hao.</w:t>
      </w:r>
    </w:p>
    <w:p w14:paraId="530AF9E6" w14:textId="77777777" w:rsidR="007750AD" w:rsidRDefault="00000000">
      <w:pPr>
        <w:pStyle w:val="ListParagraph"/>
        <w:numPr>
          <w:ilvl w:val="0"/>
          <w:numId w:val="2"/>
        </w:numPr>
        <w:spacing w:after="100" w:line="290" w:lineRule="auto"/>
        <w:jc w:val="both"/>
      </w:pPr>
      <w:r>
        <w:t>Mifflin, M. D., St Jeor, S. T., Hill, L. A., Scott, B. J., Daugherty, S. A. và Koh, Y. O. (1990). A new predictive equation for resting energy expenditure in healthy individuals. The American Journal of Clinical Nutrition, 51, 241 đến 247. https://pubmed.ncbi.nlm.nih.gov/2305711/</w:t>
      </w:r>
    </w:p>
    <w:p w14:paraId="6721CB56" w14:textId="77777777" w:rsidR="007750AD" w:rsidRDefault="00000000">
      <w:pPr>
        <w:pStyle w:val="ListParagraph"/>
        <w:numPr>
          <w:ilvl w:val="0"/>
          <w:numId w:val="2"/>
        </w:numPr>
        <w:spacing w:after="100" w:line="290" w:lineRule="auto"/>
        <w:jc w:val="both"/>
      </w:pPr>
      <w:r>
        <w:t>Bias and accuracy of resting metabolic rate equations in non-obese and obese adults (2013). Clinical Nutrition. https://pubmed.ncbi.nlm.nih.gov/23631843/</w:t>
      </w:r>
    </w:p>
    <w:p w14:paraId="168299D5" w14:textId="77777777" w:rsidR="007750AD" w:rsidRDefault="00000000">
      <w:pPr>
        <w:pStyle w:val="ListParagraph"/>
        <w:numPr>
          <w:ilvl w:val="0"/>
          <w:numId w:val="2"/>
        </w:numPr>
        <w:spacing w:after="100" w:line="290" w:lineRule="auto"/>
        <w:jc w:val="both"/>
      </w:pPr>
      <w:r>
        <w:t>2024 Adult Compendium of Physical Activities: A third update of the energy costs of human activities. Journal of Sport and Health Science. https://www.sciencedirect.com/science/article/pii/S2095254623001084</w:t>
      </w:r>
    </w:p>
    <w:p w14:paraId="2B542FF6" w14:textId="77777777" w:rsidR="007750AD" w:rsidRDefault="00000000">
      <w:pPr>
        <w:pStyle w:val="ListParagraph"/>
        <w:numPr>
          <w:ilvl w:val="0"/>
          <w:numId w:val="2"/>
        </w:numPr>
        <w:spacing w:after="100" w:line="290" w:lineRule="auto"/>
        <w:jc w:val="both"/>
      </w:pPr>
      <w:r>
        <w:t>A brief history of the Compendium of Physical Activities. PMC. https://pmc.ncbi.nlm.nih.gov/articles/PMC10818106/</w:t>
      </w:r>
    </w:p>
    <w:p w14:paraId="57C0B0F4" w14:textId="77777777" w:rsidR="007750AD" w:rsidRDefault="00000000">
      <w:pPr>
        <w:pStyle w:val="ListParagraph"/>
        <w:numPr>
          <w:ilvl w:val="0"/>
          <w:numId w:val="2"/>
        </w:numPr>
        <w:spacing w:after="100" w:line="290" w:lineRule="auto"/>
        <w:jc w:val="both"/>
      </w:pPr>
      <w:r>
        <w:t>Impact of Body Mass Index on All-Cause Mortality in Adults: A Systematic Review and Meta-Analysis. PMC. https://pmc.ncbi.nlm.nih.gov/articles/PMC11051237/</w:t>
      </w:r>
    </w:p>
    <w:p w14:paraId="16517083" w14:textId="77777777" w:rsidR="007750AD" w:rsidRDefault="00000000">
      <w:pPr>
        <w:pStyle w:val="Heading1"/>
      </w:pPr>
      <w:r>
        <w:t>VI. Dinh dưỡng theo bệnh lý</w:t>
      </w:r>
    </w:p>
    <w:p w14:paraId="4D560C55" w14:textId="77777777" w:rsidR="007750AD" w:rsidRDefault="00000000">
      <w:pPr>
        <w:spacing w:after="120" w:line="300" w:lineRule="auto"/>
        <w:jc w:val="both"/>
      </w:pPr>
      <w:r>
        <w:t>Nhóm này làm cơ sở cho phần cảnh báo và tư vấn theo bệnh lý của trợ lý, tập trung vào cao huyết áp và tiểu đường là hai bệnh phổ biến mà ứng dụng hướng tới.</w:t>
      </w:r>
    </w:p>
    <w:p w14:paraId="7924024D" w14:textId="77777777" w:rsidR="007750AD" w:rsidRDefault="00000000">
      <w:pPr>
        <w:pStyle w:val="ListParagraph"/>
        <w:numPr>
          <w:ilvl w:val="0"/>
          <w:numId w:val="2"/>
        </w:numPr>
        <w:spacing w:after="100" w:line="290" w:lineRule="auto"/>
        <w:jc w:val="both"/>
      </w:pPr>
      <w:r>
        <w:t>Sacks, F. M. và cộng sự (2001). Effects on Blood Pressure of Reduced Dietary Sodium and the Dietary Approaches to Stop Hypertension (DASH) Diet. New England Journal of Medicine. https://www.nejm.org/doi/full/10.1056/NEJM200101043440101</w:t>
      </w:r>
    </w:p>
    <w:p w14:paraId="7579339D" w14:textId="77777777" w:rsidR="007750AD" w:rsidRDefault="00000000">
      <w:pPr>
        <w:pStyle w:val="ListParagraph"/>
        <w:numPr>
          <w:ilvl w:val="0"/>
          <w:numId w:val="2"/>
        </w:numPr>
        <w:spacing w:after="100" w:line="290" w:lineRule="auto"/>
        <w:jc w:val="both"/>
      </w:pPr>
      <w:r>
        <w:t xml:space="preserve">Dietary Approaches to Stop Hypertension (DASH) Diet and Blood Pressure Reduction in Adults with and without Hypertension: A Systematic Review and </w:t>
        <w:lastRenderedPageBreak/>
        <w:t>Meta-Analysis of Randomized Controlled Trials. https://www.sciencedirect.com/science/article/pii/S2161831322000473</w:t>
      </w:r>
    </w:p>
    <w:p w14:paraId="45BE00C0" w14:textId="77777777" w:rsidR="007750AD" w:rsidRDefault="00000000">
      <w:pPr>
        <w:pStyle w:val="ListParagraph"/>
        <w:numPr>
          <w:ilvl w:val="0"/>
          <w:numId w:val="2"/>
        </w:numPr>
        <w:spacing w:after="100" w:line="290" w:lineRule="auto"/>
        <w:jc w:val="both"/>
      </w:pPr>
      <w:r>
        <w:t>The DASH Diet: A Guide to Managing Hypertension Through Nutrition. StatPearls, NCBI. https://www.ncbi.nlm.nih.gov/books/NBK482514/</w:t>
      </w:r>
    </w:p>
    <w:p w14:paraId="252FA330" w14:textId="77777777" w:rsidR="007750AD" w:rsidRDefault="00000000">
      <w:pPr>
        <w:pStyle w:val="ListParagraph"/>
        <w:numPr>
          <w:ilvl w:val="0"/>
          <w:numId w:val="2"/>
        </w:numPr>
        <w:spacing w:after="100" w:line="290" w:lineRule="auto"/>
        <w:jc w:val="both"/>
      </w:pPr>
      <w:r>
        <w:t>Glycemic Index (GI) or Glycemic Load (GL) and Dietary Interventions for Optimizing Postprandial Hyperglycemia in Patients with Type 2 Diabetes: A Review. PMC. https://www.ncbi.nlm.nih.gov/pmc/articles/PMC7352659/</w:t>
      </w:r>
    </w:p>
    <w:p w14:paraId="2F942F52" w14:textId="77777777" w:rsidR="007750AD" w:rsidRDefault="00000000">
      <w:pPr>
        <w:pStyle w:val="ListParagraph"/>
        <w:numPr>
          <w:ilvl w:val="0"/>
          <w:numId w:val="2"/>
        </w:numPr>
        <w:spacing w:after="100" w:line="290" w:lineRule="auto"/>
        <w:jc w:val="both"/>
      </w:pPr>
      <w:r>
        <w:t>The Effect of Dietary Glycaemic Index on Glycaemia in Patients with Type 2 Diabetes: A Systematic Review and Meta-Analysis of Randomized Controlled Trials. PMC. https://www.ncbi.nlm.nih.gov/pmc/articles/PMC5872791/</w:t>
      </w:r>
    </w:p>
    <w:p w14:paraId="62E8302F" w14:textId="77777777" w:rsidR="007750AD" w:rsidRDefault="00000000">
      <w:pPr>
        <w:pStyle w:val="Heading1"/>
      </w:pPr>
      <w:r>
        <w:t>VII. Khuyến nghị dinh dưỡng và dinh dưỡng cá nhân hóa</w:t>
      </w:r>
    </w:p>
    <w:p w14:paraId="008D5B49" w14:textId="77777777" w:rsidR="007750AD" w:rsidRDefault="00000000">
      <w:pPr>
        <w:spacing w:after="120" w:line="300" w:lineRule="auto"/>
        <w:jc w:val="both"/>
      </w:pPr>
      <w:r>
        <w:t>Nhóm này làm cơ sở cho cách ứng dụng phân bổ chất dinh dưỡng đa lượng, đặt mốc nhu cầu đạm và định hướng cá nhân hóa lời khuyên theo từng người dùng.</w:t>
      </w:r>
    </w:p>
    <w:p w14:paraId="49F3BBB0" w14:textId="77777777" w:rsidR="007750AD" w:rsidRDefault="00000000">
      <w:pPr>
        <w:pStyle w:val="ListParagraph"/>
        <w:numPr>
          <w:ilvl w:val="0"/>
          <w:numId w:val="2"/>
        </w:numPr>
        <w:spacing w:after="100" w:line="290" w:lineRule="auto"/>
        <w:jc w:val="both"/>
      </w:pPr>
      <w:r>
        <w:t>Institute of Medicine. Dietary Reference Intakes for Energy, Carbohydrate, Fiber, Fat, Fatty Acids, Cholesterol, Protein, and Amino Acids (khoảng phân bổ chất dinh dưỡng đa lượng chấp nhận được). National Academies. https://www.nationalacademies.org/projects/HMD-FNB-18-P-119/publication/10490</w:t>
      </w:r>
    </w:p>
    <w:p w14:paraId="2674234F" w14:textId="77777777" w:rsidR="007750AD" w:rsidRDefault="00000000">
      <w:pPr>
        <w:pStyle w:val="ListParagraph"/>
        <w:numPr>
          <w:ilvl w:val="0"/>
          <w:numId w:val="2"/>
        </w:numPr>
        <w:spacing w:after="100" w:line="290" w:lineRule="auto"/>
        <w:jc w:val="both"/>
      </w:pPr>
      <w:r>
        <w:t>Morton, R. W. và cộng sự (2018). A systematic review, meta-analysis and meta-regression of the effect of protein supplementation on resistance training-induced gains in muscle mass and strength in healthy adults. https://pmc.ncbi.nlm.nih.gov/articles/PMC5867436/</w:t>
      </w:r>
    </w:p>
    <w:p w14:paraId="507B60DE" w14:textId="77777777" w:rsidR="007750AD" w:rsidRDefault="00000000">
      <w:pPr>
        <w:pStyle w:val="ListParagraph"/>
        <w:numPr>
          <w:ilvl w:val="0"/>
          <w:numId w:val="2"/>
        </w:numPr>
        <w:spacing w:after="100" w:line="290" w:lineRule="auto"/>
        <w:jc w:val="both"/>
      </w:pPr>
      <w:r>
        <w:t>Precision Nutrition: A Review of Personalized Nutritional Approaches for the Prevention and Management of Metabolic Syndrome (2017). Nutrients, MDPI. https://www.mdpi.com/2072-6643/9/8/913</w:t>
      </w:r>
    </w:p>
    <w:p w14:paraId="28401651" w14:textId="77777777" w:rsidR="007750AD" w:rsidRDefault="00000000">
      <w:pPr>
        <w:pStyle w:val="Heading1"/>
      </w:pPr>
      <w:r>
        <w:t>VIII. Nguồn dữ liệu thực phẩm</w:t>
      </w:r>
    </w:p>
    <w:p w14:paraId="3DA4E9F5" w14:textId="77777777" w:rsidR="007750AD" w:rsidRDefault="00000000">
      <w:pPr>
        <w:spacing w:after="120" w:line="300" w:lineRule="auto"/>
        <w:jc w:val="both"/>
      </w:pPr>
      <w:r>
        <w:t>Nhóm này là nguồn dữ liệu dinh dưỡng mà chức năng quét mã vạch của ứng dụng tra cứu.</w:t>
      </w:r>
    </w:p>
    <w:p w14:paraId="7AB02F3F" w14:textId="77777777" w:rsidR="007750AD" w:rsidRDefault="00000000">
      <w:pPr>
        <w:pStyle w:val="ListParagraph"/>
        <w:numPr>
          <w:ilvl w:val="0"/>
          <w:numId w:val="2"/>
        </w:numPr>
        <w:spacing w:after="100" w:line="290" w:lineRule="auto"/>
        <w:jc w:val="both"/>
      </w:pPr>
      <w:r>
        <w:t>Open Food Facts: A collaborative, free and open database of food products from around the world. https://world.openfoodfacts.org/</w:t>
      </w:r>
    </w:p>
    <w:p w14:paraId="54117C85" w14:textId="77777777" w:rsidR="007750AD" w:rsidRDefault="00000000">
      <w:pPr>
        <w:pStyle w:val="Heading1"/>
      </w:pPr>
      <w:r>
        <w:t>IX. Ghi chú sử dụng</w:t>
      </w:r>
    </w:p>
    <w:p w14:paraId="3DE2E53D" w14:textId="77777777" w:rsidR="007750AD" w:rsidRDefault="00000000">
      <w:pPr>
        <w:spacing w:after="120" w:line="300" w:lineRule="auto"/>
        <w:jc w:val="both"/>
      </w:pPr>
      <w:r>
        <w:lastRenderedPageBreak/>
        <w:t>Các nguồn trên được chọn lọc để bao phủ toàn bộ thành phần của ứng dụng, từ kỹ thuật nhận diện ảnh, mô hình ngôn ngữ lớn, kỹ thuật sinh có truy hồi, hiệu quả của ứng dụng di động, các công thức năng lượng, dinh dưỡng theo bệnh lý cho tới khuyến nghị dinh dưỡng. Phần trợ lý trò chuyện, tự sinh kế hoạch tuần và danh sách đi chợ dựa trên nhóm II và III, điểm sức khỏe và ước lượng vận động dựa trên nhóm V, còn các cảnh báo theo bệnh lý dựa trên nhóm VI và VII. Khi viết báo cáo đồ án, mỗi khẳng định về công thức hoặc phương pháp nên dẫn về nguồn tương ứng trong danh sách này. Danh sách có thể mở rộng thêm bằng các nghiên cứu mới trong cùng chủ đề.</w:t>
      </w:r>
    </w:p>
    <w:sectPr w:rsidR="007750A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C269A"/>
    <w:multiLevelType w:val="hybridMultilevel"/>
    <w:tmpl w:val="E3C22ED8"/>
    <w:lvl w:ilvl="0" w:tplc="7FE889CC">
      <w:start w:val="1"/>
      <w:numFmt w:val="bullet"/>
      <w:lvlText w:val="●"/>
      <w:lvlJc w:val="left"/>
      <w:pPr>
        <w:ind w:left="720" w:hanging="360"/>
      </w:pPr>
    </w:lvl>
    <w:lvl w:ilvl="1" w:tplc="F13C4EE0">
      <w:start w:val="1"/>
      <w:numFmt w:val="bullet"/>
      <w:lvlText w:val="○"/>
      <w:lvlJc w:val="left"/>
      <w:pPr>
        <w:ind w:left="1440" w:hanging="360"/>
      </w:pPr>
    </w:lvl>
    <w:lvl w:ilvl="2" w:tplc="5716512E">
      <w:start w:val="1"/>
      <w:numFmt w:val="bullet"/>
      <w:lvlText w:val="■"/>
      <w:lvlJc w:val="left"/>
      <w:pPr>
        <w:ind w:left="2160" w:hanging="360"/>
      </w:pPr>
    </w:lvl>
    <w:lvl w:ilvl="3" w:tplc="D0D05BE6">
      <w:start w:val="1"/>
      <w:numFmt w:val="bullet"/>
      <w:lvlText w:val="●"/>
      <w:lvlJc w:val="left"/>
      <w:pPr>
        <w:ind w:left="2880" w:hanging="360"/>
      </w:pPr>
    </w:lvl>
    <w:lvl w:ilvl="4" w:tplc="1E4CB5F2">
      <w:start w:val="1"/>
      <w:numFmt w:val="bullet"/>
      <w:lvlText w:val="○"/>
      <w:lvlJc w:val="left"/>
      <w:pPr>
        <w:ind w:left="3600" w:hanging="360"/>
      </w:pPr>
    </w:lvl>
    <w:lvl w:ilvl="5" w:tplc="A6AA6D9C">
      <w:start w:val="1"/>
      <w:numFmt w:val="bullet"/>
      <w:lvlText w:val="■"/>
      <w:lvlJc w:val="left"/>
      <w:pPr>
        <w:ind w:left="4320" w:hanging="360"/>
      </w:pPr>
    </w:lvl>
    <w:lvl w:ilvl="6" w:tplc="71B4A568">
      <w:start w:val="1"/>
      <w:numFmt w:val="bullet"/>
      <w:lvlText w:val="●"/>
      <w:lvlJc w:val="left"/>
      <w:pPr>
        <w:ind w:left="5040" w:hanging="360"/>
      </w:pPr>
    </w:lvl>
    <w:lvl w:ilvl="7" w:tplc="35F45DE8">
      <w:start w:val="1"/>
      <w:numFmt w:val="bullet"/>
      <w:lvlText w:val="●"/>
      <w:lvlJc w:val="left"/>
      <w:pPr>
        <w:ind w:left="5760" w:hanging="360"/>
      </w:pPr>
    </w:lvl>
    <w:lvl w:ilvl="8" w:tplc="F72AC806">
      <w:start w:val="1"/>
      <w:numFmt w:val="bullet"/>
      <w:lvlText w:val="●"/>
      <w:lvlJc w:val="left"/>
      <w:pPr>
        <w:ind w:left="6480" w:hanging="360"/>
      </w:pPr>
    </w:lvl>
  </w:abstractNum>
  <w:abstractNum w:abstractNumId="1" w15:restartNumberingAfterBreak="0">
    <w:nsid w:val="55393E24"/>
    <w:multiLevelType w:val="hybridMultilevel"/>
    <w:tmpl w:val="6B4A60CC"/>
    <w:lvl w:ilvl="0" w:tplc="EE9C7A26">
      <w:start w:val="1"/>
      <w:numFmt w:val="decimal"/>
      <w:lvlText w:val="%1."/>
      <w:lvlJc w:val="left"/>
      <w:pPr>
        <w:ind w:left="600" w:hanging="360"/>
      </w:pPr>
      <w:rPr>
        <w:rFonts w:ascii="Times New Roman" w:eastAsia="Times New Roman" w:hAnsi="Times New Roman" w:cs="Times New Roman"/>
      </w:rPr>
    </w:lvl>
    <w:lvl w:ilvl="1" w:tplc="A9CC7CB6">
      <w:numFmt w:val="decimal"/>
      <w:lvlText w:val=""/>
      <w:lvlJc w:val="left"/>
    </w:lvl>
    <w:lvl w:ilvl="2" w:tplc="DE18EDD8">
      <w:numFmt w:val="decimal"/>
      <w:lvlText w:val=""/>
      <w:lvlJc w:val="left"/>
    </w:lvl>
    <w:lvl w:ilvl="3" w:tplc="20A01D6A">
      <w:numFmt w:val="decimal"/>
      <w:lvlText w:val=""/>
      <w:lvlJc w:val="left"/>
    </w:lvl>
    <w:lvl w:ilvl="4" w:tplc="D2FCC3A2">
      <w:numFmt w:val="decimal"/>
      <w:lvlText w:val=""/>
      <w:lvlJc w:val="left"/>
    </w:lvl>
    <w:lvl w:ilvl="5" w:tplc="A5E84C58">
      <w:numFmt w:val="decimal"/>
      <w:lvlText w:val=""/>
      <w:lvlJc w:val="left"/>
    </w:lvl>
    <w:lvl w:ilvl="6" w:tplc="57AA8CCA">
      <w:numFmt w:val="decimal"/>
      <w:lvlText w:val=""/>
      <w:lvlJc w:val="left"/>
    </w:lvl>
    <w:lvl w:ilvl="7" w:tplc="B7606316">
      <w:numFmt w:val="decimal"/>
      <w:lvlText w:val=""/>
      <w:lvlJc w:val="left"/>
    </w:lvl>
    <w:lvl w:ilvl="8" w:tplc="B9AA1CFE">
      <w:numFmt w:val="decimal"/>
      <w:lvlText w:val=""/>
      <w:lvlJc w:val="left"/>
    </w:lvl>
  </w:abstractNum>
  <w:num w:numId="1" w16cid:durableId="1352991543">
    <w:abstractNumId w:val="0"/>
    <w:lvlOverride w:ilvl="0">
      <w:startOverride w:val="1"/>
    </w:lvlOverride>
  </w:num>
  <w:num w:numId="2" w16cid:durableId="16401111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0AD"/>
    <w:rsid w:val="000C791E"/>
    <w:rsid w:val="00756A90"/>
    <w:rsid w:val="007750AD"/>
    <w:rsid w:val="00850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F6B7D"/>
  <w15:docId w15:val="{B09963E4-21D0-4A41-9F7C-2BDB25B2E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sz w:val="30"/>
      <w:szCs w:val="30"/>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1280</Words>
  <Characters>7298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King</cp:lastModifiedBy>
  <cp:revision>3</cp:revision>
  <dcterms:created xsi:type="dcterms:W3CDTF">2026-06-18T18:07:00Z</dcterms:created>
  <dcterms:modified xsi:type="dcterms:W3CDTF">2026-06-18T18:26:00Z</dcterms:modified>
</cp:coreProperties>
</file>