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ＰＩＤ参数自整定</w:t>
      </w:r>
    </w:p>
    <w:p>
      <w:pPr>
        <w:jc w:val="center"/>
        <w:rPr>
          <w:rFonts w:hint="eastAsia"/>
        </w:rPr>
      </w:pPr>
      <w:r>
        <w:rPr>
          <w:position w:val="-28"/>
        </w:rPr>
        <w:object>
          <v:shape id="_x0000_i1025" o:spt="75" type="#_x0000_t75" style="height:33pt;width:126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26" o:spt="75" type="#_x0000_t75" style="height:67.8pt;width:346.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5 </w:t>
      </w:r>
      <w:r>
        <w:rPr>
          <w:rFonts w:hint="eastAsia"/>
        </w:rPr>
        <w:t>ＰＩＤ参数自整定系统</w:t>
      </w:r>
    </w:p>
    <w:p>
      <w:pPr>
        <w:jc w:val="center"/>
        <w:rPr>
          <w:rFonts w:hint="eastAsia"/>
        </w:rPr>
      </w:pPr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1）用simulink搭建的PID参数自整定系统，给定值设为0.001</w:t>
      </w:r>
      <w:r>
        <w:rPr>
          <w:rFonts w:hint="eastAsia" w:ascii="宋体" w:hAnsi="宋体"/>
          <w:bCs/>
          <w:sz w:val="24"/>
          <w:lang w:val="en-US" w:eastAsia="zh-CN"/>
        </w:rPr>
        <w:t>(必须为极小值)</w:t>
      </w:r>
      <w:r>
        <w:rPr>
          <w:rFonts w:hint="eastAsia" w:ascii="宋体" w:hAnsi="宋体"/>
          <w:bCs/>
          <w:sz w:val="24"/>
        </w:rPr>
        <w:t>，在继电控制器（matlab可用符号函数）控制下得到输出的等幅震荡曲线，记录输出振幅a，震荡周期Tu，则Ku=4d/(3.14a)。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drawing>
          <wp:inline distT="0" distB="0" distL="114300" distR="114300">
            <wp:extent cx="3642360" cy="86868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ＰＩＤ参数自整定Simulink系统图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5273040" cy="1560830"/>
            <wp:effectExtent l="0" t="0" r="0" b="889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理想PID系统simulink框图</w:t>
      </w:r>
    </w:p>
    <w:p>
      <w:pPr>
        <w:spacing w:line="360" w:lineRule="auto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微分模块名:Derivative</w:t>
      </w:r>
    </w:p>
    <w:p>
      <w:pPr>
        <w:spacing w:line="360" w:lineRule="auto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长方块为三输入加法器:sum</w:t>
      </w:r>
    </w:p>
    <w:p>
      <w:pPr>
        <w:spacing w:line="360" w:lineRule="auto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带有波形方块为延时模块:Transport Delay (直接填延迟的秒数,本题为 2 )</w:t>
      </w:r>
      <w:bookmarkStart w:id="0" w:name="_GoBack"/>
      <w:bookmarkEnd w:id="0"/>
    </w:p>
    <w:p>
      <w:pPr>
        <w:spacing w:line="360" w:lineRule="auto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Scope下方为模块: Check Step Response Characteristics 用来设置要求的阶跃性能指标</w:t>
      </w:r>
    </w:p>
    <w:p>
      <w:pPr>
        <w:spacing w:line="360" w:lineRule="auto"/>
        <w:ind w:firstLine="420" w:firstLineChars="200"/>
        <w:jc w:val="both"/>
        <w:rPr>
          <w:rFonts w:hint="eastAsia"/>
        </w:rPr>
      </w:pPr>
    </w:p>
    <w:p>
      <w:pPr>
        <w:spacing w:line="360" w:lineRule="auto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</w:rPr>
        <w:t>d</w:t>
      </w:r>
      <w:r>
        <w:t>=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50</w:t>
      </w:r>
      <w:r>
        <w:rPr>
          <w:u w:val="single"/>
        </w:rPr>
        <w:t xml:space="preserve">    </w:t>
      </w:r>
      <w:r>
        <w:rPr>
          <w:rFonts w:hint="eastAsia"/>
        </w:rPr>
        <w:t>，a</w:t>
      </w:r>
      <w:r>
        <w:t>=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7</w:t>
      </w:r>
      <w:r>
        <w:rPr>
          <w:u w:val="single"/>
        </w:rPr>
        <w:t xml:space="preserve">   </w:t>
      </w:r>
      <w:r>
        <w:rPr>
          <w:rFonts w:hint="eastAsia"/>
        </w:rPr>
        <w:t>，Tu</w:t>
      </w:r>
      <w:r>
        <w:t>=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11.7</w:t>
      </w:r>
      <w:r>
        <w:rPr>
          <w:u w:val="single"/>
        </w:rPr>
        <w:t xml:space="preserve">   </w:t>
      </w:r>
      <w:r>
        <w:t>s</w:t>
      </w:r>
      <w:r>
        <w:rPr>
          <w:rFonts w:hint="eastAsia"/>
        </w:rPr>
        <w:t>，K</w:t>
      </w:r>
      <w:r>
        <w:t>u=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9.099</w:t>
      </w:r>
      <w:r>
        <w:rPr>
          <w:u w:val="single"/>
        </w:rPr>
        <w:t xml:space="preserve">  </w:t>
      </w:r>
      <w:r>
        <w:rPr>
          <w:rFonts w:hint="eastAsia"/>
        </w:rPr>
        <w:t>。</w:t>
      </w: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表2　PID自整定法整定参数</w:t>
      </w:r>
    </w:p>
    <w:tbl>
      <w:tblPr>
        <w:tblStyle w:val="2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124"/>
        <w:gridCol w:w="1563"/>
        <w:gridCol w:w="961"/>
        <w:gridCol w:w="1120"/>
        <w:gridCol w:w="112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控制规律</w:t>
            </w:r>
          </w:p>
        </w:tc>
        <w:tc>
          <w:tcPr>
            <w:tcW w:w="2717" w:type="dxa"/>
            <w:gridSpan w:val="2"/>
            <w:noWrap w:val="0"/>
            <w:vAlign w:val="center"/>
          </w:tcPr>
          <w:p>
            <w:pPr>
              <w:ind w:firstLine="42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2102" w:type="dxa"/>
            <w:gridSpan w:val="2"/>
            <w:noWrap w:val="0"/>
            <w:vAlign w:val="center"/>
          </w:tcPr>
          <w:p>
            <w:pPr>
              <w:ind w:firstLine="420"/>
              <w:jc w:val="center"/>
              <w:rPr>
                <w:rFonts w:hint="eastAsia"/>
                <w:szCs w:val="21"/>
              </w:rPr>
            </w:pPr>
            <w:r>
              <w:rPr>
                <w:position w:val="-12"/>
                <w:szCs w:val="21"/>
              </w:rPr>
              <w:object>
                <v:shape id="_x0000_i1027" o:spt="75" type="#_x0000_t75" style="height:18pt;width:11pt;" o:ole="t" filled="f" o:preferrelative="t" stroked="f" coordsize="21600,21600">
                  <v:path/>
                  <v:fill on="f" alignshape="1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ind w:firstLine="420"/>
              <w:jc w:val="center"/>
              <w:rPr>
                <w:rFonts w:hint="eastAsia"/>
                <w:szCs w:val="21"/>
              </w:rPr>
            </w:pPr>
            <w:r>
              <w:rPr>
                <w:position w:val="-12"/>
                <w:szCs w:val="21"/>
              </w:rPr>
              <w:object>
                <v:shape id="_x0000_i1028" o:spt="75" type="#_x0000_t75" style="height:18pt;width:13pt;" o:ole="t" filled="f" o:preferrelative="t" stroked="f" coordsize="21600,21600">
                  <v:path/>
                  <v:fill on="f" alignshape="1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Ｐ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rFonts w:hint="eastAsia"/>
              </w:rPr>
              <w:t>Ku</w:t>
            </w:r>
          </w:p>
        </w:tc>
        <w:tc>
          <w:tcPr>
            <w:tcW w:w="1583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4.5495</w:t>
            </w:r>
          </w:p>
        </w:tc>
        <w:tc>
          <w:tcPr>
            <w:tcW w:w="210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------------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ＰＩ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>
              <w:rPr>
                <w:rFonts w:hint="eastAsia"/>
              </w:rPr>
              <w:t>Ku</w:t>
            </w:r>
          </w:p>
        </w:tc>
        <w:tc>
          <w:tcPr>
            <w:tcW w:w="1583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3.6396</w:t>
            </w:r>
          </w:p>
        </w:tc>
        <w:tc>
          <w:tcPr>
            <w:tcW w:w="96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</w:t>
            </w:r>
            <w:r>
              <w:rPr>
                <w:rFonts w:hint="eastAsia"/>
              </w:rPr>
              <w:t>Tu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9.36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ＰＩＤ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0.6</w:t>
            </w:r>
            <w:r>
              <w:rPr>
                <w:rFonts w:hint="eastAsia"/>
              </w:rPr>
              <w:t>Ku</w:t>
            </w:r>
          </w:p>
        </w:tc>
        <w:tc>
          <w:tcPr>
            <w:tcW w:w="1583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5.4594</w:t>
            </w:r>
          </w:p>
        </w:tc>
        <w:tc>
          <w:tcPr>
            <w:tcW w:w="96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rFonts w:hint="eastAsia"/>
              </w:rPr>
              <w:t xml:space="preserve"> Tu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  <w:t>5.58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0.12Tu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1.404</w:t>
            </w:r>
          </w:p>
        </w:tc>
      </w:tr>
    </w:tbl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970FE"/>
    <w:rsid w:val="12B970FE"/>
    <w:rsid w:val="23BD0B55"/>
    <w:rsid w:val="2A933CA8"/>
    <w:rsid w:val="5BA21AD2"/>
    <w:rsid w:val="7260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2020-05-10T11:55:00Z</dcterms:created>
  <dc:creator>The frozen heart has a burning dream</dc:creator>
  <cp:lastModifiedBy>The frozen heart has a burning dream</cp:lastModifiedBy>
  <dcterms:modified xsi:type="dcterms:W3CDTF">2020-05-10T12:09:02Z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