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98F661C" w14:textId="2AFFD344"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Durante la Fase 2 del Proyecto APT, el equipo avanzó desde las definiciones iniciales hacia la construcción del MVP de VECINAPP, consolidando el diseño de la solución, su arquitectura y un conjunto de funcionalidades clave para la gestión comunitaria y la seguridad en condominios de viviendas sociales.</w:t>
            </w:r>
          </w:p>
          <w:p w14:paraId="438F63E1" w14:textId="3358942C"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En esta etapa se completó el descubrimiento y levantamiento de información con residentes y autoridades, se diseñaron prototipos de alta fidelidad para la aplicación móvil y el panel web, se definió la arquitectura y el modelo de datos (DER) y se desarrolló el núcleo del MVP (App + Panel de administración).</w:t>
            </w:r>
          </w:p>
          <w:p w14:paraId="6C70E0C9" w14:textId="6EF79443" w:rsidR="0003309E" w:rsidRPr="00711C16"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Asimismo, se implementaron módulos de comunicación, incidencias y mantenimiento, se configuró la base de datos y los </w:t>
            </w:r>
            <w:proofErr w:type="spellStart"/>
            <w:r w:rsidRPr="00AC2159">
              <w:rPr>
                <w:rFonts w:ascii="Calibri" w:hAnsi="Calibri" w:cs="Arial"/>
                <w:i/>
                <w:color w:val="548DD4"/>
                <w:sz w:val="20"/>
                <w:szCs w:val="20"/>
                <w:lang w:eastAsia="es-CL"/>
              </w:rPr>
              <w:t>endpoints</w:t>
            </w:r>
            <w:proofErr w:type="spellEnd"/>
            <w:r w:rsidRPr="00AC2159">
              <w:rPr>
                <w:rFonts w:ascii="Calibri" w:hAnsi="Calibri" w:cs="Arial"/>
                <w:i/>
                <w:color w:val="548DD4"/>
                <w:sz w:val="20"/>
                <w:szCs w:val="20"/>
                <w:lang w:eastAsia="es-CL"/>
              </w:rPr>
              <w:t xml:space="preserve"> principales de la API, y se avanzó en la implementación de encuestas, participación y analítica básica, con un panel de KPIs que permite visualizar indicadores como incidencias registradas, estados y tiempos de respuesta. Finalmente, se realizaron pruebas de integración, pruebas con usuarios (UAT) y se preparó material de demo y documentación para el piloto y cierre del proyecto.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66280199" w14:textId="51C80A49"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Los objetivos definidos en la Fase 1 se mantienen vigentes, sin cambios sustantivos. Para efectos de seguimiento en esta Fase 2, se consideran los siguientes:</w:t>
            </w:r>
          </w:p>
          <w:p w14:paraId="27D232F5" w14:textId="77777777"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Objetivo general</w:t>
            </w:r>
          </w:p>
          <w:p w14:paraId="18EEB475" w14:textId="68A834EF"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Diseñar e implementar un MVP de VECINAPP que mejore la gestión y la percepción de seguridad del condominio mediante funcionalidades de comunicación, gestión de incidencias, mantenimiento y participación comunitaria. </w:t>
            </w:r>
          </w:p>
          <w:p w14:paraId="188DB0D7" w14:textId="77777777"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Objetivos específicos </w:t>
            </w:r>
          </w:p>
          <w:p w14:paraId="7BE0F11F" w14:textId="77777777" w:rsidR="00AC2159" w:rsidRPr="00AC2159" w:rsidRDefault="00AC2159" w:rsidP="00AC2159">
            <w:pPr>
              <w:jc w:val="both"/>
              <w:rPr>
                <w:rFonts w:ascii="Calibri" w:hAnsi="Calibri" w:cs="Arial"/>
                <w:i/>
                <w:color w:val="548DD4"/>
                <w:sz w:val="20"/>
                <w:szCs w:val="20"/>
                <w:lang w:eastAsia="es-CL"/>
              </w:rPr>
            </w:pPr>
          </w:p>
          <w:p w14:paraId="33703253" w14:textId="18039CD4" w:rsidR="00AC2159" w:rsidRPr="00AC2159" w:rsidRDefault="00AC2159" w:rsidP="00AC2159">
            <w:pPr>
              <w:pStyle w:val="Prrafodelista"/>
              <w:numPr>
                <w:ilvl w:val="0"/>
                <w:numId w:val="3"/>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lastRenderedPageBreak/>
              <w:t>Realizar un levantamiento de información con al menos 15 residentes y autoridades relacionadas en un plazo máximo de 3 semanas.</w:t>
            </w:r>
          </w:p>
          <w:p w14:paraId="3B369D91" w14:textId="5DA428FC" w:rsidR="00AC2159" w:rsidRPr="00AC2159" w:rsidRDefault="00AC2159" w:rsidP="00AC2159">
            <w:pPr>
              <w:pStyle w:val="Prrafodelista"/>
              <w:numPr>
                <w:ilvl w:val="0"/>
                <w:numId w:val="3"/>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Construir el MVP (aplicación móvil + panel web de administración) en un periodo aproximado de 10 semanas.</w:t>
            </w:r>
          </w:p>
          <w:p w14:paraId="08CC4126" w14:textId="7DC53FAF" w:rsidR="00AC2159" w:rsidRPr="00AC2159" w:rsidRDefault="00AC2159" w:rsidP="00AC2159">
            <w:pPr>
              <w:pStyle w:val="Prrafodelista"/>
              <w:numPr>
                <w:ilvl w:val="0"/>
                <w:numId w:val="3"/>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Habilitar funcionalidades de analítica básica y notificaciones operativas a más tardar en la semana 12.</w:t>
            </w:r>
          </w:p>
          <w:p w14:paraId="61147F53" w14:textId="13290B3F" w:rsidR="00AC2159" w:rsidRPr="00AC2159" w:rsidRDefault="00AC2159" w:rsidP="00AC2159">
            <w:pPr>
              <w:pStyle w:val="Prrafodelista"/>
              <w:numPr>
                <w:ilvl w:val="0"/>
                <w:numId w:val="3"/>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Alcanzar un puntaje de usabilidad SUS ≥ 70/100 en pruebas de uso y operación de la solución.</w:t>
            </w:r>
          </w:p>
          <w:p w14:paraId="0DD025FA" w14:textId="6A657861" w:rsidR="0003309E" w:rsidRPr="00A370C8" w:rsidRDefault="00AC2159" w:rsidP="00AC2159">
            <w:pPr>
              <w:jc w:val="both"/>
              <w:rPr>
                <w:rFonts w:ascii="Calibri" w:hAnsi="Calibri" w:cs="Arial"/>
                <w:b/>
                <w:i/>
                <w:color w:val="548DD4"/>
                <w:sz w:val="20"/>
                <w:szCs w:val="20"/>
                <w:lang w:eastAsia="es-CL"/>
              </w:rPr>
            </w:pPr>
            <w:r w:rsidRPr="00AC2159">
              <w:rPr>
                <w:rFonts w:ascii="Calibri" w:hAnsi="Calibri" w:cs="Arial"/>
                <w:i/>
                <w:color w:val="548DD4"/>
                <w:sz w:val="20"/>
                <w:szCs w:val="20"/>
                <w:lang w:eastAsia="es-CL"/>
              </w:rPr>
              <w:t>A la fecha de este informe de desarrollo, los objetivos 1, 2 y 3 presentan un alto grado de cumplimiento, mientras que el objetivo 4 se encuentra en proceso de medición y análisis, con pruebas de usabilidad ya ejecutadas y resultados preliminares disponibles.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7BF6FBAE" w14:textId="4D89D29B"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La metodología utilizada se mantiene en línea con lo definido inicialmente: un marco ágil híbrido (Scrum/Kanban) con sprints de 2 semanas, un Product Owner a cargo del vínculo con la comunidad y la priorización del backlog, y un Equipo de Desarrollo responsable de frontend, backend, datos y QA. </w:t>
            </w:r>
          </w:p>
          <w:p w14:paraId="35779866" w14:textId="3B616B1C"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Durante la Fase 2 se reforzaron algunos aspectos metodológicos:</w:t>
            </w:r>
          </w:p>
          <w:p w14:paraId="4C8C97A7" w14:textId="2356F31B" w:rsidR="00AC2159" w:rsidRPr="00AC2159" w:rsidRDefault="00AC2159" w:rsidP="00AC2159">
            <w:pPr>
              <w:pStyle w:val="Prrafodelista"/>
              <w:numPr>
                <w:ilvl w:val="0"/>
                <w:numId w:val="4"/>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Mayor énfasis en las revisiones con actores (administración y residentes) para validar prototipos y funcionalidades clave.</w:t>
            </w:r>
          </w:p>
          <w:p w14:paraId="2556A388" w14:textId="59B915CB" w:rsidR="00AC2159" w:rsidRPr="00AC2159" w:rsidRDefault="00AC2159" w:rsidP="00AC2159">
            <w:pPr>
              <w:pStyle w:val="Prrafodelista"/>
              <w:numPr>
                <w:ilvl w:val="0"/>
                <w:numId w:val="4"/>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Uso sistemático de criterios de aceptación y pruebas (unitarias, de integración y E2E) para asegurar calidad.</w:t>
            </w:r>
          </w:p>
          <w:p w14:paraId="628198E0" w14:textId="2C85F56C" w:rsidR="00AC2159" w:rsidRPr="00AC2159" w:rsidRDefault="00AC2159" w:rsidP="00AC2159">
            <w:pPr>
              <w:pStyle w:val="Prrafodelista"/>
              <w:numPr>
                <w:ilvl w:val="0"/>
                <w:numId w:val="4"/>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Consideración explícita de lineamientos OWASP, respaldos de información y principios básicos de accesibilidad (WCAG) en el diseño y desarrollo. </w:t>
            </w:r>
          </w:p>
          <w:p w14:paraId="0908C15F" w14:textId="20D2AED5" w:rsidR="0003309E" w:rsidRPr="00711C16"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No se modificó el marco metodológico general, pero a partir del monitoreo del plan de trabajo se ajustaron la prioridad de algunas actividades y se incorporó una mirada más fuerte a la adopción por parte de usuarios finales, incluyendo </w:t>
            </w:r>
            <w:proofErr w:type="spellStart"/>
            <w:r w:rsidRPr="00AC2159">
              <w:rPr>
                <w:rFonts w:ascii="Calibri" w:hAnsi="Calibri" w:cs="Arial"/>
                <w:i/>
                <w:color w:val="548DD4"/>
                <w:sz w:val="20"/>
                <w:szCs w:val="20"/>
                <w:lang w:eastAsia="es-CL"/>
              </w:rPr>
              <w:t>onboarding</w:t>
            </w:r>
            <w:proofErr w:type="spellEnd"/>
            <w:r w:rsidRPr="00AC2159">
              <w:rPr>
                <w:rFonts w:ascii="Calibri" w:hAnsi="Calibri" w:cs="Arial"/>
                <w:i/>
                <w:color w:val="548DD4"/>
                <w:sz w:val="20"/>
                <w:szCs w:val="20"/>
                <w:lang w:eastAsia="es-CL"/>
              </w:rPr>
              <w:t xml:space="preserve"> simple y apoyo a escenarios de conectividad limitada (PWA/offline).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4C7AFBC" w14:textId="44EF2DFC" w:rsidR="00AC2159" w:rsidRPr="00AC2159" w:rsidRDefault="00AC2159" w:rsidP="00AC2159">
            <w:p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Las evidencias de avance seleccionadas para esta Fase 2 permiten demostrar el desarrollo del proyecto y la calidad del trabajo realizado desde la disciplina de Ingeniería en Informática:</w:t>
            </w:r>
          </w:p>
          <w:p w14:paraId="0F373A99" w14:textId="6BDAD375"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Prototipos en </w:t>
            </w:r>
            <w:proofErr w:type="spellStart"/>
            <w:r w:rsidRPr="00AC2159">
              <w:rPr>
                <w:rFonts w:ascii="Calibri" w:hAnsi="Calibri" w:cs="Arial"/>
                <w:i/>
                <w:color w:val="548DD4"/>
                <w:sz w:val="20"/>
                <w:szCs w:val="20"/>
                <w:lang w:eastAsia="es-CL"/>
              </w:rPr>
              <w:t>Figma</w:t>
            </w:r>
            <w:proofErr w:type="spellEnd"/>
            <w:r w:rsidRPr="00AC2159">
              <w:rPr>
                <w:rFonts w:ascii="Calibri" w:hAnsi="Calibri" w:cs="Arial"/>
                <w:i/>
                <w:color w:val="548DD4"/>
                <w:sz w:val="20"/>
                <w:szCs w:val="20"/>
                <w:lang w:eastAsia="es-CL"/>
              </w:rPr>
              <w:t xml:space="preserve"> de la </w:t>
            </w:r>
            <w:proofErr w:type="gramStart"/>
            <w:r w:rsidRPr="00AC2159">
              <w:rPr>
                <w:rFonts w:ascii="Calibri" w:hAnsi="Calibri" w:cs="Arial"/>
                <w:i/>
                <w:color w:val="548DD4"/>
                <w:sz w:val="20"/>
                <w:szCs w:val="20"/>
                <w:lang w:eastAsia="es-CL"/>
              </w:rPr>
              <w:t>app</w:t>
            </w:r>
            <w:proofErr w:type="gramEnd"/>
            <w:r w:rsidRPr="00AC2159">
              <w:rPr>
                <w:rFonts w:ascii="Calibri" w:hAnsi="Calibri" w:cs="Arial"/>
                <w:i/>
                <w:color w:val="548DD4"/>
                <w:sz w:val="20"/>
                <w:szCs w:val="20"/>
                <w:lang w:eastAsia="es-CL"/>
              </w:rPr>
              <w:t xml:space="preserve"> móvil y el panel web, en versiones de baja y alta fidelidad, que reflejan la experiencia de usuario diseñada para residentes y administradores. </w:t>
            </w:r>
          </w:p>
          <w:p w14:paraId="50EA3FD0" w14:textId="5E3584D9"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Modelo entidad–relación (DER) y diagramas de arquitectura, que muestran la estructura de datos y los componentes principales de la solución. </w:t>
            </w:r>
          </w:p>
          <w:p w14:paraId="1C23A2F1" w14:textId="695E3574"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Contratos de </w:t>
            </w:r>
            <w:proofErr w:type="spellStart"/>
            <w:r w:rsidRPr="00AC2159">
              <w:rPr>
                <w:rFonts w:ascii="Calibri" w:hAnsi="Calibri" w:cs="Arial"/>
                <w:i/>
                <w:color w:val="548DD4"/>
                <w:sz w:val="20"/>
                <w:szCs w:val="20"/>
                <w:lang w:eastAsia="es-CL"/>
              </w:rPr>
              <w:t>APIs</w:t>
            </w:r>
            <w:proofErr w:type="spellEnd"/>
            <w:r w:rsidRPr="00AC2159">
              <w:rPr>
                <w:rFonts w:ascii="Calibri" w:hAnsi="Calibri" w:cs="Arial"/>
                <w:i/>
                <w:color w:val="548DD4"/>
                <w:sz w:val="20"/>
                <w:szCs w:val="20"/>
                <w:lang w:eastAsia="es-CL"/>
              </w:rPr>
              <w:t xml:space="preserve"> y documentación técnica de </w:t>
            </w:r>
            <w:proofErr w:type="spellStart"/>
            <w:r w:rsidRPr="00AC2159">
              <w:rPr>
                <w:rFonts w:ascii="Calibri" w:hAnsi="Calibri" w:cs="Arial"/>
                <w:i/>
                <w:color w:val="548DD4"/>
                <w:sz w:val="20"/>
                <w:szCs w:val="20"/>
                <w:lang w:eastAsia="es-CL"/>
              </w:rPr>
              <w:t>endpoints</w:t>
            </w:r>
            <w:proofErr w:type="spellEnd"/>
            <w:r w:rsidRPr="00AC2159">
              <w:rPr>
                <w:rFonts w:ascii="Calibri" w:hAnsi="Calibri" w:cs="Arial"/>
                <w:i/>
                <w:color w:val="548DD4"/>
                <w:sz w:val="20"/>
                <w:szCs w:val="20"/>
                <w:lang w:eastAsia="es-CL"/>
              </w:rPr>
              <w:t xml:space="preserve">, incluyendo definición de roles, permisos y flujos de autenticación/autorización por roles. </w:t>
            </w:r>
          </w:p>
          <w:p w14:paraId="694BADA2" w14:textId="00FF9E07"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Versiones parciales del MVP funcional (App + Panel + API), con módulos de comunicación/anuncios, incidencias y mantenimiento ya operativos, más autenticación básica y panel inicial de administración. </w:t>
            </w:r>
          </w:p>
          <w:p w14:paraId="69EE17ED" w14:textId="139CCA0A"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Resultados preliminares de encuestas y/o entrevistas a residentes y autoridades, que respaldan el levantamiento de requerimientos y la validación de prototipos. </w:t>
            </w:r>
          </w:p>
          <w:p w14:paraId="2E227A64" w14:textId="47689EB1" w:rsidR="00AC2159" w:rsidRPr="00AC2159" w:rsidRDefault="00AC2159" w:rsidP="00AC2159">
            <w:pPr>
              <w:pStyle w:val="Prrafodelista"/>
              <w:numPr>
                <w:ilvl w:val="0"/>
                <w:numId w:val="5"/>
              </w:numPr>
              <w:jc w:val="both"/>
              <w:rPr>
                <w:rFonts w:ascii="Calibri" w:hAnsi="Calibri" w:cs="Arial"/>
                <w:i/>
                <w:color w:val="548DD4"/>
                <w:sz w:val="20"/>
                <w:szCs w:val="20"/>
                <w:lang w:eastAsia="es-CL"/>
              </w:rPr>
            </w:pPr>
            <w:r w:rsidRPr="00AC2159">
              <w:rPr>
                <w:rFonts w:ascii="Calibri" w:hAnsi="Calibri" w:cs="Arial"/>
                <w:i/>
                <w:color w:val="548DD4"/>
                <w:sz w:val="20"/>
                <w:szCs w:val="20"/>
                <w:lang w:eastAsia="es-CL"/>
              </w:rPr>
              <w:t xml:space="preserve">Primer tablero de métricas o analítica básica, donde se visualizan incidencias registradas, estados y tiempos de resolución iniciales. </w:t>
            </w:r>
          </w:p>
          <w:p w14:paraId="51E5B895" w14:textId="7BBE1CED" w:rsidR="0003309E" w:rsidRPr="00A370C8" w:rsidRDefault="00AC2159" w:rsidP="00AC2159">
            <w:pPr>
              <w:jc w:val="both"/>
              <w:rPr>
                <w:rFonts w:ascii="Calibri" w:hAnsi="Calibri" w:cs="Arial"/>
                <w:b/>
                <w:i/>
                <w:color w:val="548DD4"/>
                <w:sz w:val="20"/>
                <w:szCs w:val="20"/>
                <w:lang w:eastAsia="es-CL"/>
              </w:rPr>
            </w:pPr>
            <w:r w:rsidRPr="00AC2159">
              <w:rPr>
                <w:rFonts w:ascii="Calibri" w:hAnsi="Calibri" w:cs="Arial"/>
                <w:i/>
                <w:color w:val="548DD4"/>
                <w:sz w:val="20"/>
                <w:szCs w:val="20"/>
                <w:lang w:eastAsia="es-CL"/>
              </w:rPr>
              <w:lastRenderedPageBreak/>
              <w:t xml:space="preserve">Estas evidencias permiten constatar que el proyecto se está desarrollando de acuerdo con la metodología definida, aplicando herramientas propias de la disciplina (prototipado, modelamiento de datos, definición de </w:t>
            </w:r>
            <w:proofErr w:type="spellStart"/>
            <w:r w:rsidRPr="00AC2159">
              <w:rPr>
                <w:rFonts w:ascii="Calibri" w:hAnsi="Calibri" w:cs="Arial"/>
                <w:i/>
                <w:color w:val="548DD4"/>
                <w:sz w:val="20"/>
                <w:szCs w:val="20"/>
                <w:lang w:eastAsia="es-CL"/>
              </w:rPr>
              <w:t>APIs</w:t>
            </w:r>
            <w:proofErr w:type="spellEnd"/>
            <w:r w:rsidRPr="00AC2159">
              <w:rPr>
                <w:rFonts w:ascii="Calibri" w:hAnsi="Calibri" w:cs="Arial"/>
                <w:i/>
                <w:color w:val="548DD4"/>
                <w:sz w:val="20"/>
                <w:szCs w:val="20"/>
                <w:lang w:eastAsia="es-CL"/>
              </w:rPr>
              <w:t>, pruebas, analítica) y resguardando la calidad técnica del producto.</w:t>
            </w:r>
          </w:p>
        </w:tc>
      </w:tr>
    </w:tbl>
    <w:p w14:paraId="67741873" w14:textId="77777777" w:rsidR="00AC2159" w:rsidRDefault="00AC2159">
      <w:r>
        <w:lastRenderedPageBreak/>
        <w:br w:type="page"/>
      </w:r>
    </w:p>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0A9A95DE"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9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1276"/>
        <w:gridCol w:w="1559"/>
        <w:gridCol w:w="1134"/>
        <w:gridCol w:w="1296"/>
        <w:gridCol w:w="9"/>
      </w:tblGrid>
      <w:tr w:rsidR="00FD5149" w:rsidRPr="006E3B0D" w14:paraId="66FA4353" w14:textId="77777777" w:rsidTr="007E7911">
        <w:trPr>
          <w:trHeight w:val="415"/>
        </w:trPr>
        <w:tc>
          <w:tcPr>
            <w:tcW w:w="9947" w:type="dxa"/>
            <w:gridSpan w:val="9"/>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7E7911">
        <w:trPr>
          <w:gridAfter w:val="1"/>
          <w:wAfter w:w="9" w:type="dxa"/>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9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7E7911" w:rsidRPr="006E3B0D" w14:paraId="0D4FAAA2" w14:textId="77777777" w:rsidTr="007E7911">
        <w:trPr>
          <w:gridAfter w:val="1"/>
          <w:wAfter w:w="9" w:type="dxa"/>
          <w:trHeight w:val="1802"/>
        </w:trPr>
        <w:tc>
          <w:tcPr>
            <w:tcW w:w="1328" w:type="dxa"/>
          </w:tcPr>
          <w:p w14:paraId="29F01B29" w14:textId="2A44CC47" w:rsidR="007E7911" w:rsidRPr="00AC2159" w:rsidRDefault="007E7911" w:rsidP="007E7911">
            <w:pPr>
              <w:jc w:val="both"/>
              <w:rPr>
                <w:b/>
                <w:sz w:val="18"/>
                <w:szCs w:val="24"/>
              </w:rPr>
            </w:pPr>
            <w:r w:rsidRPr="007E7911">
              <w:rPr>
                <w:rFonts w:ascii="Calibri" w:hAnsi="Calibri" w:cs="Arial"/>
                <w:i/>
                <w:color w:val="548DD4"/>
                <w:sz w:val="18"/>
                <w:szCs w:val="20"/>
                <w:lang w:eastAsia="es-CL"/>
              </w:rPr>
              <w:t>Ingeniería de requisitos</w:t>
            </w:r>
          </w:p>
        </w:tc>
        <w:tc>
          <w:tcPr>
            <w:tcW w:w="1077" w:type="dxa"/>
          </w:tcPr>
          <w:p w14:paraId="7B4EBE25" w14:textId="28C7B8CC"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Descubrimiento y levantamiento</w:t>
            </w:r>
          </w:p>
        </w:tc>
        <w:tc>
          <w:tcPr>
            <w:tcW w:w="1276" w:type="dxa"/>
          </w:tcPr>
          <w:p w14:paraId="16E191DF" w14:textId="4455CE5C" w:rsidR="007E7911" w:rsidRPr="00AC2159" w:rsidRDefault="007E7911" w:rsidP="007E7911">
            <w:pPr>
              <w:jc w:val="both"/>
              <w:rPr>
                <w:b/>
                <w:sz w:val="18"/>
                <w:szCs w:val="24"/>
              </w:rPr>
            </w:pPr>
            <w:r w:rsidRPr="007E7911">
              <w:rPr>
                <w:rFonts w:ascii="Calibri" w:hAnsi="Calibri" w:cs="Arial"/>
                <w:i/>
                <w:color w:val="548DD4"/>
                <w:sz w:val="18"/>
                <w:szCs w:val="20"/>
                <w:lang w:eastAsia="es-CL"/>
              </w:rPr>
              <w:t xml:space="preserve">Miro, formularios digitales (ej. Google </w:t>
            </w:r>
            <w:proofErr w:type="spellStart"/>
            <w:r w:rsidRPr="007E7911">
              <w:rPr>
                <w:rFonts w:ascii="Calibri" w:hAnsi="Calibri" w:cs="Arial"/>
                <w:i/>
                <w:color w:val="548DD4"/>
                <w:sz w:val="18"/>
                <w:szCs w:val="20"/>
                <w:lang w:eastAsia="es-CL"/>
              </w:rPr>
              <w:t>Forms</w:t>
            </w:r>
            <w:proofErr w:type="spellEnd"/>
            <w:r w:rsidRPr="007E7911">
              <w:rPr>
                <w:rFonts w:ascii="Calibri" w:hAnsi="Calibri" w:cs="Arial"/>
                <w:i/>
                <w:color w:val="548DD4"/>
                <w:sz w:val="18"/>
                <w:szCs w:val="20"/>
                <w:lang w:eastAsia="es-CL"/>
              </w:rPr>
              <w:t>), guion de entrevistas, reuniones con residentes y autoridades</w:t>
            </w:r>
          </w:p>
        </w:tc>
        <w:tc>
          <w:tcPr>
            <w:tcW w:w="992" w:type="dxa"/>
          </w:tcPr>
          <w:p w14:paraId="66A5D860" w14:textId="22266E98" w:rsidR="007E7911" w:rsidRPr="00AC2159" w:rsidRDefault="007E7911" w:rsidP="007E7911">
            <w:pPr>
              <w:jc w:val="both"/>
              <w:rPr>
                <w:b/>
                <w:sz w:val="18"/>
                <w:szCs w:val="24"/>
              </w:rPr>
            </w:pPr>
            <w:r w:rsidRPr="007E7911">
              <w:rPr>
                <w:rFonts w:ascii="Calibri" w:hAnsi="Calibri" w:cs="Arial"/>
                <w:i/>
                <w:color w:val="548DD4"/>
                <w:sz w:val="18"/>
                <w:szCs w:val="20"/>
                <w:lang w:eastAsia="es-CL"/>
              </w:rPr>
              <w:t>Semanas 1–2</w:t>
            </w:r>
          </w:p>
        </w:tc>
        <w:tc>
          <w:tcPr>
            <w:tcW w:w="1276" w:type="dxa"/>
          </w:tcPr>
          <w:p w14:paraId="036AB5D8" w14:textId="5EDA2E76"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PO / Analista</w:t>
            </w:r>
          </w:p>
        </w:tc>
        <w:tc>
          <w:tcPr>
            <w:tcW w:w="1559" w:type="dxa"/>
          </w:tcPr>
          <w:p w14:paraId="2FCEC037" w14:textId="67E5F206"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realizaron entrevistas y/o encuestas a residentes y autoridades, se levantaron requerimientos y se elaboró un mapa de procesos del condominio. Se cumplió la meta de al menos 15 residentes y 2 autoridades consultadas.</w:t>
            </w:r>
          </w:p>
        </w:tc>
        <w:tc>
          <w:tcPr>
            <w:tcW w:w="1134" w:type="dxa"/>
          </w:tcPr>
          <w:p w14:paraId="2163602D" w14:textId="5398DF46" w:rsidR="007E7911" w:rsidRPr="00AC2159" w:rsidRDefault="007E7911" w:rsidP="007E7911">
            <w:pPr>
              <w:jc w:val="both"/>
              <w:rPr>
                <w:rFonts w:ascii="Calibri" w:hAnsi="Calibri" w:cs="Arial"/>
                <w:i/>
                <w:color w:val="C00000"/>
                <w:sz w:val="16"/>
                <w:szCs w:val="20"/>
                <w:lang w:eastAsia="es-CL"/>
              </w:rPr>
            </w:pPr>
            <w:r w:rsidRPr="007E7911">
              <w:rPr>
                <w:rFonts w:ascii="Calibri" w:hAnsi="Calibri" w:cs="Arial"/>
                <w:i/>
                <w:color w:val="548DD4"/>
                <w:sz w:val="18"/>
                <w:szCs w:val="20"/>
                <w:lang w:eastAsia="es-CL"/>
              </w:rPr>
              <w:t>Completado</w:t>
            </w:r>
          </w:p>
        </w:tc>
        <w:tc>
          <w:tcPr>
            <w:tcW w:w="1296" w:type="dxa"/>
          </w:tcPr>
          <w:p w14:paraId="7C6D6F31" w14:textId="5BA1D8EF"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reforzó el uso de encuestas online para compensar dificultades de agenda en reuniones presenciales.</w:t>
            </w:r>
          </w:p>
        </w:tc>
      </w:tr>
      <w:tr w:rsidR="007E7911" w:rsidRPr="006E3B0D" w14:paraId="28910254" w14:textId="77777777" w:rsidTr="007E7911">
        <w:trPr>
          <w:gridAfter w:val="1"/>
          <w:wAfter w:w="9" w:type="dxa"/>
          <w:trHeight w:val="2410"/>
        </w:trPr>
        <w:tc>
          <w:tcPr>
            <w:tcW w:w="1328" w:type="dxa"/>
          </w:tcPr>
          <w:p w14:paraId="40F98E82" w14:textId="47B31583"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Ciclo de vida &amp; Calidad / Arquitectura</w:t>
            </w:r>
          </w:p>
        </w:tc>
        <w:tc>
          <w:tcPr>
            <w:tcW w:w="1077" w:type="dxa"/>
          </w:tcPr>
          <w:p w14:paraId="40DCF4A8" w14:textId="7580AD48"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Prototipos + arquitectura / DER / </w:t>
            </w:r>
            <w:proofErr w:type="spellStart"/>
            <w:r w:rsidRPr="007E7911">
              <w:rPr>
                <w:rFonts w:ascii="Calibri" w:hAnsi="Calibri" w:cs="Arial"/>
                <w:i/>
                <w:color w:val="548DD4"/>
                <w:sz w:val="18"/>
                <w:szCs w:val="20"/>
                <w:lang w:eastAsia="es-CL"/>
              </w:rPr>
              <w:t>APIs</w:t>
            </w:r>
            <w:proofErr w:type="spellEnd"/>
            <w:r w:rsidRPr="007E7911">
              <w:rPr>
                <w:rFonts w:ascii="Calibri" w:hAnsi="Calibri" w:cs="Arial"/>
                <w:i/>
                <w:color w:val="548DD4"/>
                <w:sz w:val="18"/>
                <w:szCs w:val="20"/>
                <w:lang w:eastAsia="es-CL"/>
              </w:rPr>
              <w:t xml:space="preserve"> / roles + pruebas de usabilidad</w:t>
            </w:r>
          </w:p>
        </w:tc>
        <w:tc>
          <w:tcPr>
            <w:tcW w:w="1276" w:type="dxa"/>
          </w:tcPr>
          <w:p w14:paraId="77A2AC4A" w14:textId="72E5A490" w:rsidR="007E7911" w:rsidRPr="00AC2159" w:rsidRDefault="007E7911" w:rsidP="007E7911">
            <w:pPr>
              <w:jc w:val="both"/>
              <w:rPr>
                <w:rFonts w:ascii="Calibri" w:hAnsi="Calibri" w:cs="Arial"/>
                <w:i/>
                <w:color w:val="548DD4"/>
                <w:sz w:val="18"/>
                <w:szCs w:val="20"/>
                <w:lang w:eastAsia="es-CL"/>
              </w:rPr>
            </w:pPr>
            <w:proofErr w:type="spellStart"/>
            <w:r w:rsidRPr="007E7911">
              <w:rPr>
                <w:rFonts w:ascii="Calibri" w:hAnsi="Calibri" w:cs="Arial"/>
                <w:i/>
                <w:color w:val="548DD4"/>
                <w:sz w:val="18"/>
                <w:szCs w:val="20"/>
                <w:lang w:eastAsia="es-CL"/>
              </w:rPr>
              <w:t>Figma</w:t>
            </w:r>
            <w:proofErr w:type="spellEnd"/>
            <w:r w:rsidRPr="007E7911">
              <w:rPr>
                <w:rFonts w:ascii="Calibri" w:hAnsi="Calibri" w:cs="Arial"/>
                <w:i/>
                <w:color w:val="548DD4"/>
                <w:sz w:val="18"/>
                <w:szCs w:val="20"/>
                <w:lang w:eastAsia="es-CL"/>
              </w:rPr>
              <w:t xml:space="preserve">, herramienta de diagramación, </w:t>
            </w:r>
            <w:proofErr w:type="spellStart"/>
            <w:r w:rsidRPr="007E7911">
              <w:rPr>
                <w:rFonts w:ascii="Calibri" w:hAnsi="Calibri" w:cs="Arial"/>
                <w:i/>
                <w:color w:val="548DD4"/>
                <w:sz w:val="18"/>
                <w:szCs w:val="20"/>
                <w:lang w:eastAsia="es-CL"/>
              </w:rPr>
              <w:t>OpenAPI</w:t>
            </w:r>
            <w:proofErr w:type="spellEnd"/>
            <w:r w:rsidRPr="007E7911">
              <w:rPr>
                <w:rFonts w:ascii="Calibri" w:hAnsi="Calibri" w:cs="Arial"/>
                <w:i/>
                <w:color w:val="548DD4"/>
                <w:sz w:val="18"/>
                <w:szCs w:val="20"/>
                <w:lang w:eastAsia="es-CL"/>
              </w:rPr>
              <w:t>/</w:t>
            </w:r>
            <w:proofErr w:type="spellStart"/>
            <w:r w:rsidRPr="007E7911">
              <w:rPr>
                <w:rFonts w:ascii="Calibri" w:hAnsi="Calibri" w:cs="Arial"/>
                <w:i/>
                <w:color w:val="548DD4"/>
                <w:sz w:val="18"/>
                <w:szCs w:val="20"/>
                <w:lang w:eastAsia="es-CL"/>
              </w:rPr>
              <w:t>Swagger</w:t>
            </w:r>
            <w:proofErr w:type="spellEnd"/>
            <w:r w:rsidRPr="007E7911">
              <w:rPr>
                <w:rFonts w:ascii="Calibri" w:hAnsi="Calibri" w:cs="Arial"/>
                <w:i/>
                <w:color w:val="548DD4"/>
                <w:sz w:val="18"/>
                <w:szCs w:val="20"/>
                <w:lang w:eastAsia="es-CL"/>
              </w:rPr>
              <w:t>, lineamientos de accesibilidad (WCAG)</w:t>
            </w:r>
          </w:p>
        </w:tc>
        <w:tc>
          <w:tcPr>
            <w:tcW w:w="992" w:type="dxa"/>
          </w:tcPr>
          <w:p w14:paraId="36B89C3A" w14:textId="38FE595E"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Semanas 2–6</w:t>
            </w:r>
          </w:p>
        </w:tc>
        <w:tc>
          <w:tcPr>
            <w:tcW w:w="1276" w:type="dxa"/>
          </w:tcPr>
          <w:p w14:paraId="634E34F6" w14:textId="62CE9F14"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Equipo de desarrollo</w:t>
            </w:r>
          </w:p>
        </w:tc>
        <w:tc>
          <w:tcPr>
            <w:tcW w:w="1559" w:type="dxa"/>
          </w:tcPr>
          <w:p w14:paraId="4A529DAE" w14:textId="253F1B7F"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Se diseñaron prototipos de alta fidelidad para </w:t>
            </w:r>
            <w:proofErr w:type="gramStart"/>
            <w:r w:rsidRPr="007E7911">
              <w:rPr>
                <w:rFonts w:ascii="Calibri" w:hAnsi="Calibri" w:cs="Arial"/>
                <w:i/>
                <w:color w:val="548DD4"/>
                <w:sz w:val="18"/>
                <w:szCs w:val="20"/>
                <w:lang w:eastAsia="es-CL"/>
              </w:rPr>
              <w:t>app</w:t>
            </w:r>
            <w:proofErr w:type="gramEnd"/>
            <w:r w:rsidRPr="007E7911">
              <w:rPr>
                <w:rFonts w:ascii="Calibri" w:hAnsi="Calibri" w:cs="Arial"/>
                <w:i/>
                <w:color w:val="548DD4"/>
                <w:sz w:val="18"/>
                <w:szCs w:val="20"/>
                <w:lang w:eastAsia="es-CL"/>
              </w:rPr>
              <w:t xml:space="preserve"> y panel, se definió la arquitectura de la solución y el modelo de datos (DER) y se levantaron contratos de API y roles, con pruebas rápidas de usabilidad.</w:t>
            </w:r>
          </w:p>
        </w:tc>
        <w:tc>
          <w:tcPr>
            <w:tcW w:w="1134" w:type="dxa"/>
          </w:tcPr>
          <w:p w14:paraId="5E77EDA8" w14:textId="12C7452A"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Completado</w:t>
            </w:r>
          </w:p>
        </w:tc>
        <w:tc>
          <w:tcPr>
            <w:tcW w:w="1296" w:type="dxa"/>
          </w:tcPr>
          <w:p w14:paraId="39E530E1" w14:textId="6C22560F"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realizaron iteraciones adicionales en prototipos y arquitectura a partir del feedback de usuarios y docentes, lo que extendió levemente la etapa, pero mejoró la usabilidad y claridad de la solución.</w:t>
            </w:r>
          </w:p>
        </w:tc>
      </w:tr>
      <w:tr w:rsidR="007E7911" w:rsidRPr="006E3B0D" w14:paraId="3A6ED17F" w14:textId="77777777" w:rsidTr="007E7911">
        <w:trPr>
          <w:gridAfter w:val="1"/>
          <w:wAfter w:w="9" w:type="dxa"/>
          <w:trHeight w:val="2410"/>
        </w:trPr>
        <w:tc>
          <w:tcPr>
            <w:tcW w:w="1328" w:type="dxa"/>
          </w:tcPr>
          <w:p w14:paraId="6B93C123" w14:textId="64017138"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lastRenderedPageBreak/>
              <w:t>Ciclo de vida &amp; Desarrollo móvil / web</w:t>
            </w:r>
          </w:p>
        </w:tc>
        <w:tc>
          <w:tcPr>
            <w:tcW w:w="1077" w:type="dxa"/>
          </w:tcPr>
          <w:p w14:paraId="1E654345" w14:textId="393AA654"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Desarrollo del MVP: incidencias/seguridad, autenticación, comunicaciones, mantenimiento, panel de administración</w:t>
            </w:r>
          </w:p>
        </w:tc>
        <w:tc>
          <w:tcPr>
            <w:tcW w:w="1276" w:type="dxa"/>
          </w:tcPr>
          <w:p w14:paraId="2DD262BE" w14:textId="3E92087D" w:rsidR="007E7911" w:rsidRPr="00AC2159" w:rsidRDefault="007E7911" w:rsidP="007E7911">
            <w:pPr>
              <w:jc w:val="both"/>
              <w:rPr>
                <w:rFonts w:ascii="Calibri" w:hAnsi="Calibri" w:cs="Arial"/>
                <w:i/>
                <w:color w:val="548DD4"/>
                <w:sz w:val="18"/>
                <w:szCs w:val="20"/>
                <w:lang w:eastAsia="es-CL"/>
              </w:rPr>
            </w:pPr>
            <w:proofErr w:type="spellStart"/>
            <w:r w:rsidRPr="007E7911">
              <w:rPr>
                <w:rFonts w:ascii="Calibri" w:hAnsi="Calibri" w:cs="Arial"/>
                <w:i/>
                <w:color w:val="548DD4"/>
                <w:sz w:val="18"/>
                <w:szCs w:val="20"/>
                <w:lang w:eastAsia="es-CL"/>
              </w:rPr>
              <w:t>Flutter</w:t>
            </w:r>
            <w:proofErr w:type="spellEnd"/>
            <w:r w:rsidRPr="007E7911">
              <w:rPr>
                <w:rFonts w:ascii="Calibri" w:hAnsi="Calibri" w:cs="Arial"/>
                <w:i/>
                <w:color w:val="548DD4"/>
                <w:sz w:val="18"/>
                <w:szCs w:val="20"/>
                <w:lang w:eastAsia="es-CL"/>
              </w:rPr>
              <w:t xml:space="preserve">, </w:t>
            </w:r>
            <w:proofErr w:type="spellStart"/>
            <w:r w:rsidRPr="007E7911">
              <w:rPr>
                <w:rFonts w:ascii="Calibri" w:hAnsi="Calibri" w:cs="Arial"/>
                <w:i/>
                <w:color w:val="548DD4"/>
                <w:sz w:val="18"/>
                <w:szCs w:val="20"/>
                <w:lang w:eastAsia="es-CL"/>
              </w:rPr>
              <w:t>Node</w:t>
            </w:r>
            <w:proofErr w:type="spellEnd"/>
            <w:r w:rsidRPr="007E7911">
              <w:rPr>
                <w:rFonts w:ascii="Calibri" w:hAnsi="Calibri" w:cs="Arial"/>
                <w:i/>
                <w:color w:val="548DD4"/>
                <w:sz w:val="18"/>
                <w:szCs w:val="20"/>
                <w:lang w:eastAsia="es-CL"/>
              </w:rPr>
              <w:t xml:space="preserve">/Express o </w:t>
            </w:r>
            <w:proofErr w:type="spellStart"/>
            <w:r w:rsidRPr="007E7911">
              <w:rPr>
                <w:rFonts w:ascii="Calibri" w:hAnsi="Calibri" w:cs="Arial"/>
                <w:i/>
                <w:color w:val="548DD4"/>
                <w:sz w:val="18"/>
                <w:szCs w:val="20"/>
                <w:lang w:eastAsia="es-CL"/>
              </w:rPr>
              <w:t>FastAPI</w:t>
            </w:r>
            <w:proofErr w:type="spellEnd"/>
            <w:r w:rsidRPr="007E7911">
              <w:rPr>
                <w:rFonts w:ascii="Calibri" w:hAnsi="Calibri" w:cs="Arial"/>
                <w:i/>
                <w:color w:val="548DD4"/>
                <w:sz w:val="18"/>
                <w:szCs w:val="20"/>
                <w:lang w:eastAsia="es-CL"/>
              </w:rPr>
              <w:t>, PostgreSQL/Firebase, GitHub</w:t>
            </w:r>
          </w:p>
        </w:tc>
        <w:tc>
          <w:tcPr>
            <w:tcW w:w="992" w:type="dxa"/>
          </w:tcPr>
          <w:p w14:paraId="7B22E118" w14:textId="379542EE"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Semanas 7–9</w:t>
            </w:r>
          </w:p>
        </w:tc>
        <w:tc>
          <w:tcPr>
            <w:tcW w:w="1276" w:type="dxa"/>
          </w:tcPr>
          <w:p w14:paraId="04226044" w14:textId="14644D42"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Equipo de desarrollo</w:t>
            </w:r>
          </w:p>
        </w:tc>
        <w:tc>
          <w:tcPr>
            <w:tcW w:w="1559" w:type="dxa"/>
          </w:tcPr>
          <w:p w14:paraId="35D3BEA3" w14:textId="64EC037D"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Se implementaron los módulos de autenticación y autorización por roles, registro y gestión de incidencias y mantenimiento, y funcionalidades de comunicación/anuncios, además de la configuración de la base de datos y los </w:t>
            </w:r>
            <w:proofErr w:type="spellStart"/>
            <w:r w:rsidRPr="007E7911">
              <w:rPr>
                <w:rFonts w:ascii="Calibri" w:hAnsi="Calibri" w:cs="Arial"/>
                <w:i/>
                <w:color w:val="548DD4"/>
                <w:sz w:val="18"/>
                <w:szCs w:val="20"/>
                <w:lang w:eastAsia="es-CL"/>
              </w:rPr>
              <w:t>endpoints</w:t>
            </w:r>
            <w:proofErr w:type="spellEnd"/>
            <w:r w:rsidRPr="007E7911">
              <w:rPr>
                <w:rFonts w:ascii="Calibri" w:hAnsi="Calibri" w:cs="Arial"/>
                <w:i/>
                <w:color w:val="548DD4"/>
                <w:sz w:val="18"/>
                <w:szCs w:val="20"/>
                <w:lang w:eastAsia="es-CL"/>
              </w:rPr>
              <w:t xml:space="preserve"> principales de la API.</w:t>
            </w:r>
          </w:p>
        </w:tc>
        <w:tc>
          <w:tcPr>
            <w:tcW w:w="1134" w:type="dxa"/>
          </w:tcPr>
          <w:p w14:paraId="174533F5" w14:textId="7576B588"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Completado (núcleo del MVP)</w:t>
            </w:r>
          </w:p>
        </w:tc>
        <w:tc>
          <w:tcPr>
            <w:tcW w:w="1296" w:type="dxa"/>
          </w:tcPr>
          <w:p w14:paraId="54E6EF15" w14:textId="09CC4C17"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priorizaron las funcionalidades críticas del MVP; algunas características avanzadas (por ejemplo, mayor detalle en transparencia financiera o integraciones adicionales) se dejaron como mejora futura.</w:t>
            </w:r>
          </w:p>
        </w:tc>
      </w:tr>
      <w:tr w:rsidR="007E7911" w:rsidRPr="006E3B0D" w14:paraId="7B0AB39E" w14:textId="77777777" w:rsidTr="007E7911">
        <w:trPr>
          <w:gridAfter w:val="1"/>
          <w:wAfter w:w="9" w:type="dxa"/>
          <w:trHeight w:val="2410"/>
        </w:trPr>
        <w:tc>
          <w:tcPr>
            <w:tcW w:w="1328" w:type="dxa"/>
          </w:tcPr>
          <w:p w14:paraId="5B72A5D3" w14:textId="687C664D"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Gestión de información &amp; Seguridad</w:t>
            </w:r>
          </w:p>
        </w:tc>
        <w:tc>
          <w:tcPr>
            <w:tcW w:w="1077" w:type="dxa"/>
          </w:tcPr>
          <w:p w14:paraId="585086CA" w14:textId="2F79E86A"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Encuestas / participación, analítica (KPIs), accesibilidad y </w:t>
            </w:r>
            <w:proofErr w:type="spellStart"/>
            <w:r w:rsidRPr="007E7911">
              <w:rPr>
                <w:rFonts w:ascii="Calibri" w:hAnsi="Calibri" w:cs="Arial"/>
                <w:i/>
                <w:color w:val="548DD4"/>
                <w:sz w:val="18"/>
                <w:szCs w:val="20"/>
                <w:lang w:eastAsia="es-CL"/>
              </w:rPr>
              <w:t>hardening</w:t>
            </w:r>
            <w:proofErr w:type="spellEnd"/>
            <w:r w:rsidRPr="007E7911">
              <w:rPr>
                <w:rFonts w:ascii="Calibri" w:hAnsi="Calibri" w:cs="Arial"/>
                <w:i/>
                <w:color w:val="548DD4"/>
                <w:sz w:val="18"/>
                <w:szCs w:val="20"/>
                <w:lang w:eastAsia="es-CL"/>
              </w:rPr>
              <w:t xml:space="preserve"> de seguridad</w:t>
            </w:r>
          </w:p>
        </w:tc>
        <w:tc>
          <w:tcPr>
            <w:tcW w:w="1276" w:type="dxa"/>
          </w:tcPr>
          <w:p w14:paraId="244FC5E2" w14:textId="15FBCB23"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Base de datos, herramienta de </w:t>
            </w:r>
            <w:proofErr w:type="spellStart"/>
            <w:r w:rsidRPr="007E7911">
              <w:rPr>
                <w:rFonts w:ascii="Calibri" w:hAnsi="Calibri" w:cs="Arial"/>
                <w:i/>
                <w:color w:val="548DD4"/>
                <w:sz w:val="18"/>
                <w:szCs w:val="20"/>
                <w:lang w:eastAsia="es-CL"/>
              </w:rPr>
              <w:t>dashboards</w:t>
            </w:r>
            <w:proofErr w:type="spellEnd"/>
            <w:r w:rsidRPr="007E7911">
              <w:rPr>
                <w:rFonts w:ascii="Calibri" w:hAnsi="Calibri" w:cs="Arial"/>
                <w:i/>
                <w:color w:val="548DD4"/>
                <w:sz w:val="18"/>
                <w:szCs w:val="20"/>
                <w:lang w:eastAsia="es-CL"/>
              </w:rPr>
              <w:t>, checklist OWASP, lineamientos de accesibilidad (WCAG)</w:t>
            </w:r>
          </w:p>
        </w:tc>
        <w:tc>
          <w:tcPr>
            <w:tcW w:w="992" w:type="dxa"/>
          </w:tcPr>
          <w:p w14:paraId="2367220E" w14:textId="22F28195"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Semanas 9–10</w:t>
            </w:r>
          </w:p>
        </w:tc>
        <w:tc>
          <w:tcPr>
            <w:tcW w:w="1276" w:type="dxa"/>
          </w:tcPr>
          <w:p w14:paraId="67518904" w14:textId="727D63DA" w:rsidR="007E7911"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Equipo de desarrollo</w:t>
            </w:r>
          </w:p>
          <w:p w14:paraId="7821F0CD" w14:textId="77777777" w:rsidR="007E7911" w:rsidRPr="007E7911" w:rsidRDefault="007E7911" w:rsidP="007E7911">
            <w:pPr>
              <w:rPr>
                <w:rFonts w:ascii="Calibri" w:hAnsi="Calibri" w:cs="Arial"/>
                <w:sz w:val="18"/>
                <w:szCs w:val="20"/>
                <w:lang w:eastAsia="es-CL"/>
              </w:rPr>
            </w:pPr>
          </w:p>
          <w:p w14:paraId="65FD7FBC" w14:textId="77777777" w:rsidR="007E7911" w:rsidRDefault="007E7911" w:rsidP="007E7911">
            <w:pPr>
              <w:rPr>
                <w:rFonts w:ascii="Calibri" w:hAnsi="Calibri" w:cs="Arial"/>
                <w:i/>
                <w:color w:val="548DD4"/>
                <w:sz w:val="18"/>
                <w:szCs w:val="20"/>
                <w:lang w:eastAsia="es-CL"/>
              </w:rPr>
            </w:pPr>
          </w:p>
          <w:p w14:paraId="46923A58" w14:textId="77777777" w:rsidR="007E7911" w:rsidRPr="007E7911" w:rsidRDefault="007E7911" w:rsidP="007E7911">
            <w:pPr>
              <w:rPr>
                <w:rFonts w:ascii="Calibri" w:hAnsi="Calibri" w:cs="Arial"/>
                <w:sz w:val="18"/>
                <w:szCs w:val="20"/>
                <w:lang w:eastAsia="es-CL"/>
              </w:rPr>
            </w:pPr>
          </w:p>
        </w:tc>
        <w:tc>
          <w:tcPr>
            <w:tcW w:w="1559" w:type="dxa"/>
          </w:tcPr>
          <w:p w14:paraId="72D511D7" w14:textId="4610FE49"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implementaron encuestas para residentes, se construyó un panel de KPIs básicos (incidencias, estados, tiempos de respuesta) y se revisaron aspectos de accesibilidad y seguridad siguiendo recomendaciones OWASP.</w:t>
            </w:r>
          </w:p>
        </w:tc>
        <w:tc>
          <w:tcPr>
            <w:tcW w:w="1134" w:type="dxa"/>
          </w:tcPr>
          <w:p w14:paraId="731A5712" w14:textId="5F06CFE1"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En curso / Completado en su parte inicial</w:t>
            </w:r>
          </w:p>
        </w:tc>
        <w:tc>
          <w:tcPr>
            <w:tcW w:w="1296" w:type="dxa"/>
          </w:tcPr>
          <w:p w14:paraId="548B3204" w14:textId="162E649C"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 xml:space="preserve">Se acotó el conjunto de KPIs a un mínimo viable por restricciones de tiempo y se planificó ampliar métricas y continuar el </w:t>
            </w:r>
            <w:proofErr w:type="spellStart"/>
            <w:r w:rsidRPr="007E7911">
              <w:rPr>
                <w:rFonts w:ascii="Calibri" w:hAnsi="Calibri" w:cs="Arial"/>
                <w:i/>
                <w:color w:val="548DD4"/>
                <w:sz w:val="18"/>
                <w:szCs w:val="20"/>
                <w:lang w:eastAsia="es-CL"/>
              </w:rPr>
              <w:t>hardening</w:t>
            </w:r>
            <w:proofErr w:type="spellEnd"/>
            <w:r w:rsidRPr="007E7911">
              <w:rPr>
                <w:rFonts w:ascii="Calibri" w:hAnsi="Calibri" w:cs="Arial"/>
                <w:i/>
                <w:color w:val="548DD4"/>
                <w:sz w:val="18"/>
                <w:szCs w:val="20"/>
                <w:lang w:eastAsia="es-CL"/>
              </w:rPr>
              <w:t xml:space="preserve"> en iteraciones posteriores.</w:t>
            </w:r>
          </w:p>
        </w:tc>
      </w:tr>
      <w:tr w:rsidR="007E7911" w:rsidRPr="006E3B0D" w14:paraId="2322B8F4" w14:textId="77777777" w:rsidTr="007E7911">
        <w:trPr>
          <w:gridAfter w:val="1"/>
          <w:wAfter w:w="9" w:type="dxa"/>
          <w:trHeight w:val="2410"/>
        </w:trPr>
        <w:tc>
          <w:tcPr>
            <w:tcW w:w="1328" w:type="dxa"/>
          </w:tcPr>
          <w:p w14:paraId="75C86720" w14:textId="3D49BD02"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Ciclo de vida, Gestión de proyectos &amp; Calidad</w:t>
            </w:r>
          </w:p>
        </w:tc>
        <w:tc>
          <w:tcPr>
            <w:tcW w:w="1077" w:type="dxa"/>
          </w:tcPr>
          <w:p w14:paraId="242932EF" w14:textId="04C3DD7D"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Integración E2E, UAT con residentes, capacitación, piloto + métricas y cierre (demo/video, documentación)</w:t>
            </w:r>
          </w:p>
        </w:tc>
        <w:tc>
          <w:tcPr>
            <w:tcW w:w="1276" w:type="dxa"/>
          </w:tcPr>
          <w:p w14:paraId="5B93BB7C" w14:textId="5DBFDD2E" w:rsidR="007E7911" w:rsidRPr="00AC2159" w:rsidRDefault="007E7911" w:rsidP="007E7911">
            <w:pPr>
              <w:jc w:val="both"/>
              <w:rPr>
                <w:rFonts w:ascii="Calibri" w:hAnsi="Calibri" w:cs="Arial"/>
                <w:i/>
                <w:color w:val="548DD4"/>
                <w:sz w:val="18"/>
                <w:szCs w:val="20"/>
                <w:lang w:eastAsia="es-CL"/>
              </w:rPr>
            </w:pPr>
            <w:proofErr w:type="spellStart"/>
            <w:r w:rsidRPr="007E7911">
              <w:rPr>
                <w:rFonts w:ascii="Calibri" w:hAnsi="Calibri" w:cs="Arial"/>
                <w:i/>
                <w:color w:val="548DD4"/>
                <w:sz w:val="18"/>
                <w:szCs w:val="20"/>
                <w:lang w:eastAsia="es-CL"/>
              </w:rPr>
              <w:t>Postman</w:t>
            </w:r>
            <w:proofErr w:type="spellEnd"/>
            <w:r w:rsidRPr="007E7911">
              <w:rPr>
                <w:rFonts w:ascii="Calibri" w:hAnsi="Calibri" w:cs="Arial"/>
                <w:i/>
                <w:color w:val="548DD4"/>
                <w:sz w:val="18"/>
                <w:szCs w:val="20"/>
                <w:lang w:eastAsia="es-CL"/>
              </w:rPr>
              <w:t>, herramientas de pruebas E2E, dispositivos de prueba, plantillas de manuales y documentación, herramienta de grabación de video</w:t>
            </w:r>
          </w:p>
        </w:tc>
        <w:tc>
          <w:tcPr>
            <w:tcW w:w="992" w:type="dxa"/>
          </w:tcPr>
          <w:p w14:paraId="4D8C7AE2" w14:textId="170B9D95"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Semanas 9–12</w:t>
            </w:r>
          </w:p>
        </w:tc>
        <w:tc>
          <w:tcPr>
            <w:tcW w:w="1276" w:type="dxa"/>
          </w:tcPr>
          <w:p w14:paraId="21530D17" w14:textId="23BD06C2"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Equipo completo</w:t>
            </w:r>
          </w:p>
        </w:tc>
        <w:tc>
          <w:tcPr>
            <w:tcW w:w="1559" w:type="dxa"/>
          </w:tcPr>
          <w:p w14:paraId="0A29EECB" w14:textId="76DE4045"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integraron App, API y Panel, se realizaron pruebas E2E y con usuarios (UAT), se llevaron a cabo sesiones de capacitación y se preparó demo/video y documentación para el piloto y cierre del proyecto.</w:t>
            </w:r>
          </w:p>
        </w:tc>
        <w:tc>
          <w:tcPr>
            <w:tcW w:w="1134" w:type="dxa"/>
          </w:tcPr>
          <w:p w14:paraId="05BAA782" w14:textId="28784F98"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Mayormente completado</w:t>
            </w:r>
          </w:p>
        </w:tc>
        <w:tc>
          <w:tcPr>
            <w:tcW w:w="1296" w:type="dxa"/>
          </w:tcPr>
          <w:p w14:paraId="64B8DDD2" w14:textId="25EE138F" w:rsidR="007E7911" w:rsidRPr="00AC2159" w:rsidRDefault="007E7911" w:rsidP="007E7911">
            <w:pPr>
              <w:jc w:val="both"/>
              <w:rPr>
                <w:rFonts w:ascii="Calibri" w:hAnsi="Calibri" w:cs="Arial"/>
                <w:i/>
                <w:color w:val="548DD4"/>
                <w:sz w:val="18"/>
                <w:szCs w:val="20"/>
                <w:lang w:eastAsia="es-CL"/>
              </w:rPr>
            </w:pPr>
            <w:r w:rsidRPr="007E7911">
              <w:rPr>
                <w:rFonts w:ascii="Calibri" w:hAnsi="Calibri" w:cs="Arial"/>
                <w:i/>
                <w:color w:val="548DD4"/>
                <w:sz w:val="18"/>
                <w:szCs w:val="20"/>
                <w:lang w:eastAsia="es-CL"/>
              </w:rPr>
              <w:t>Se reordenaron actividades de pruebas y capacitación hacia el final de la fase. La conexión formal con municipio y un módulo financiero más detallado se definieron como proyección futura, sin afectar el alcance del MVP actual.</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E74035D" w14:textId="21A08CBA" w:rsidR="00984A7C" w:rsidRPr="00984A7C" w:rsidRDefault="0003309E" w:rsidP="00984A7C">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984A7C">
              <w:rPr>
                <w:rFonts w:ascii="Calibri" w:hAnsi="Calibri" w:cs="Arial"/>
                <w:i/>
                <w:iCs/>
                <w:color w:val="548DD4"/>
                <w:sz w:val="20"/>
                <w:szCs w:val="20"/>
                <w:lang w:eastAsia="es-CL"/>
              </w:rPr>
              <w:br/>
            </w:r>
            <w:r w:rsidR="00984A7C">
              <w:t xml:space="preserve"> </w:t>
            </w:r>
            <w:r w:rsidR="00984A7C" w:rsidRPr="00984A7C">
              <w:rPr>
                <w:rFonts w:ascii="Calibri" w:hAnsi="Calibri" w:cs="Arial"/>
                <w:i/>
                <w:iCs/>
                <w:color w:val="548DD4"/>
                <w:sz w:val="20"/>
                <w:szCs w:val="20"/>
                <w:lang w:eastAsia="es-CL"/>
              </w:rPr>
              <w:t xml:space="preserve">A lo largo del desarrollo del Proyecto APT han existido factores que han facilitado y otros que han dificultado el cumplimiento del plan de trabajo. Entre los factores que han facilitado el avance, destaca la definición de roles claros dentro del equipo (Product Owner y equipo de desarrollo), lo que permitió priorizar el backlog, ordenar las tareas y asignar responsabilidades de acuerdo con las fortalezas técnicas de cada integrante. También fueron un facilitador importante las herramientas cloud y los servicios disponibles por convenios académicos, que permitieron contar con entornos de desarrollo y despliegue sin generar costos adicionales y favorecieron el trabajo colaborativo. Además, el acompañamiento de los docentes y los lineamientos de la asignatura </w:t>
            </w:r>
            <w:proofErr w:type="spellStart"/>
            <w:r w:rsidR="00984A7C" w:rsidRPr="00984A7C">
              <w:rPr>
                <w:rFonts w:ascii="Calibri" w:hAnsi="Calibri" w:cs="Arial"/>
                <w:i/>
                <w:iCs/>
                <w:color w:val="548DD4"/>
                <w:sz w:val="20"/>
                <w:szCs w:val="20"/>
                <w:lang w:eastAsia="es-CL"/>
              </w:rPr>
              <w:t>Capstone</w:t>
            </w:r>
            <w:proofErr w:type="spellEnd"/>
            <w:r w:rsidR="00984A7C" w:rsidRPr="00984A7C">
              <w:rPr>
                <w:rFonts w:ascii="Calibri" w:hAnsi="Calibri" w:cs="Arial"/>
                <w:i/>
                <w:iCs/>
                <w:color w:val="548DD4"/>
                <w:sz w:val="20"/>
                <w:szCs w:val="20"/>
                <w:lang w:eastAsia="es-CL"/>
              </w:rPr>
              <w:t xml:space="preserve"> ayudaron a mantener el proyecto alineado con las competencias del perfil de egreso y con las fases del Proyecto APT.</w:t>
            </w:r>
          </w:p>
          <w:p w14:paraId="7D3946CE" w14:textId="27439244" w:rsidR="00984A7C" w:rsidRPr="00984A7C" w:rsidRDefault="00984A7C" w:rsidP="00984A7C">
            <w:pPr>
              <w:jc w:val="both"/>
              <w:rPr>
                <w:rFonts w:ascii="Calibri" w:hAnsi="Calibri" w:cs="Arial"/>
                <w:i/>
                <w:iCs/>
                <w:color w:val="548DD4"/>
                <w:sz w:val="20"/>
                <w:szCs w:val="20"/>
                <w:lang w:eastAsia="es-CL"/>
              </w:rPr>
            </w:pPr>
            <w:r w:rsidRPr="00984A7C">
              <w:rPr>
                <w:rFonts w:ascii="Calibri" w:hAnsi="Calibri" w:cs="Arial"/>
                <w:i/>
                <w:iCs/>
                <w:color w:val="548DD4"/>
                <w:sz w:val="20"/>
                <w:szCs w:val="20"/>
                <w:lang w:eastAsia="es-CL"/>
              </w:rPr>
              <w:t>Entre los factores que han dificultado el desarrollo del plan de trabajo, uno de los más relevantes ha sido la disponibilidad limitada de residentes y autoridades para participar en entrevistas, encuestas y validaciones de prototipos, lo que generó retrasos en algunas actividades de descubrimiento y validación. A esto se suma el tiempo acotado del semestre, que obligó a priorizar el alcance del MVP y dejar ciertas funcionalidades avanzadas como parte de una evolución futura del producto. También se presentaron dificultades técnicas en la integración con sistemas externos (por ejemplo, CCTV) y en la definición de mecanismos adecuados para resguardar la privacidad y seguridad de los datos de la comunidad.</w:t>
            </w:r>
          </w:p>
          <w:p w14:paraId="17CE44DE" w14:textId="195E573B" w:rsidR="0003309E" w:rsidRPr="00371CBB" w:rsidRDefault="00984A7C" w:rsidP="00984A7C">
            <w:pPr>
              <w:jc w:val="both"/>
              <w:rPr>
                <w:rFonts w:ascii="Calibri" w:hAnsi="Calibri" w:cs="Arial"/>
                <w:i/>
                <w:iCs/>
                <w:color w:val="548DD4"/>
                <w:sz w:val="20"/>
                <w:szCs w:val="20"/>
                <w:lang w:eastAsia="es-CL"/>
              </w:rPr>
            </w:pPr>
            <w:r w:rsidRPr="00984A7C">
              <w:rPr>
                <w:rFonts w:ascii="Calibri" w:hAnsi="Calibri" w:cs="Arial"/>
                <w:i/>
                <w:iCs/>
                <w:color w:val="548DD4"/>
                <w:sz w:val="20"/>
                <w:szCs w:val="20"/>
                <w:lang w:eastAsia="es-CL"/>
              </w:rPr>
              <w:t>Frente a estas dificultades se tomaron distintas acciones. Para abordar los problemas de disponibilidad de los actores clave, se reforzó el uso de encuestas digitales y canales remotos, de modo de no depender exclusivamente de reuniones presenciales. Para enfrentar las restricciones de tiempo y la complejidad técnica, se redefinió el alcance del MVP, concentrando los esfuerzos en los módulos críticos (comunicación, incidencias, mantenimiento básico y panel administrativo) y moviendo algunas características avanzadas a una etapa posterior. Finalmente, se ajustó la planificación de pruebas y capacitación, concentrándolas hacia el tramo final del desarrollo, cuando el MVP se encontraba más estable, con el fin de obtener un feedback más representativo antes del cierre de la fase.</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91E032A" w14:textId="51771460" w:rsidR="00984A7C" w:rsidRPr="00984A7C" w:rsidRDefault="0003309E" w:rsidP="00984A7C">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984A7C">
              <w:rPr>
                <w:rFonts w:ascii="Calibri" w:hAnsi="Calibri" w:cs="Arial"/>
                <w:i/>
                <w:color w:val="548DD4"/>
                <w:sz w:val="20"/>
                <w:szCs w:val="20"/>
                <w:lang w:eastAsia="es-CL"/>
              </w:rPr>
              <w:br/>
            </w:r>
            <w:r w:rsidR="00984A7C">
              <w:t xml:space="preserve"> </w:t>
            </w:r>
            <w:r w:rsidR="00984A7C" w:rsidRPr="00984A7C">
              <w:rPr>
                <w:rFonts w:ascii="Calibri" w:hAnsi="Calibri" w:cs="Arial"/>
                <w:i/>
                <w:color w:val="548DD4"/>
                <w:sz w:val="20"/>
                <w:szCs w:val="20"/>
                <w:lang w:eastAsia="es-CL"/>
              </w:rPr>
              <w:t>El plan de trabajo del Proyecto APT sí requirió algunos ajustes, principalmente relacionados con la priorización del alcance y la reordenación de ciertas actividades. La actividad más relevante que fue ajustada corresponde al desarrollo de funcionalidades avanzadas del MVP. Inicialmente se consideraron características como una mayor profundidad en la transparencia financiera y una integración más completa con servicios municipales; sin embargo, a partir del monitoreo del avance y de las limitaciones de tiempo, estas funcionalidades se redefinieron como parte de una evolución futura del producto y no como entregables obligatorios de esta fase. La justificación de este ajuste se basa en la necesidad de asegurar primero un MVP funcional y estable en los módulos esenciales, antes de incorporar capacidades más complejas que requieren mayor coordinación externa.</w:t>
            </w:r>
          </w:p>
          <w:p w14:paraId="255327E1" w14:textId="60559132" w:rsidR="00984A7C" w:rsidRPr="00984A7C" w:rsidRDefault="00984A7C" w:rsidP="00984A7C">
            <w:pPr>
              <w:jc w:val="both"/>
              <w:rPr>
                <w:rFonts w:ascii="Calibri" w:hAnsi="Calibri" w:cs="Arial"/>
                <w:i/>
                <w:color w:val="548DD4"/>
                <w:sz w:val="20"/>
                <w:szCs w:val="20"/>
                <w:lang w:eastAsia="es-CL"/>
              </w:rPr>
            </w:pPr>
            <w:r w:rsidRPr="00984A7C">
              <w:rPr>
                <w:rFonts w:ascii="Calibri" w:hAnsi="Calibri" w:cs="Arial"/>
                <w:i/>
                <w:color w:val="548DD4"/>
                <w:sz w:val="20"/>
                <w:szCs w:val="20"/>
                <w:lang w:eastAsia="es-CL"/>
              </w:rPr>
              <w:t>También se ajustó la carga y duración de la etapa de prototipos y arquitectura. A partir del feedback recibido de residentes, autoridades y docentes, fue necesario realizar iteraciones adicionales sobre los prototipos y la arquitectura, lo que extendió ligeramente el tiempo previsto para esa actividad. Este ajuste se justifica porque permitió mejorar la usabilidad de la solución, clarificar los flujos de usuario y asegurar una base técnica más sólida para el desarrollo posterior del MVP.</w:t>
            </w:r>
          </w:p>
          <w:p w14:paraId="3B4EBD17" w14:textId="022D9EE9" w:rsidR="0003309E" w:rsidRPr="00711C16" w:rsidRDefault="00984A7C" w:rsidP="00984A7C">
            <w:pPr>
              <w:jc w:val="both"/>
              <w:rPr>
                <w:rFonts w:ascii="Calibri" w:hAnsi="Calibri" w:cs="Arial"/>
                <w:i/>
                <w:color w:val="548DD4"/>
                <w:sz w:val="20"/>
                <w:szCs w:val="20"/>
                <w:lang w:eastAsia="es-CL"/>
              </w:rPr>
            </w:pPr>
            <w:r w:rsidRPr="00984A7C">
              <w:rPr>
                <w:rFonts w:ascii="Calibri" w:hAnsi="Calibri" w:cs="Arial"/>
                <w:i/>
                <w:color w:val="548DD4"/>
                <w:sz w:val="20"/>
                <w:szCs w:val="20"/>
                <w:lang w:eastAsia="es-CL"/>
              </w:rPr>
              <w:t xml:space="preserve">Por último, se reorganizaron algunas actividades de pruebas y capacitación, concentrándolas más hacia el final de la fase, cuando el MVP ya contaba con la mayoría de sus funcionalidades críticas implementadas. Esta decisión permitió que las pruebas </w:t>
            </w:r>
            <w:proofErr w:type="spellStart"/>
            <w:r w:rsidRPr="00984A7C">
              <w:rPr>
                <w:rFonts w:ascii="Calibri" w:hAnsi="Calibri" w:cs="Arial"/>
                <w:i/>
                <w:color w:val="548DD4"/>
                <w:sz w:val="20"/>
                <w:szCs w:val="20"/>
                <w:lang w:eastAsia="es-CL"/>
              </w:rPr>
              <w:t>end-to-end</w:t>
            </w:r>
            <w:proofErr w:type="spellEnd"/>
            <w:r w:rsidRPr="00984A7C">
              <w:rPr>
                <w:rFonts w:ascii="Calibri" w:hAnsi="Calibri" w:cs="Arial"/>
                <w:i/>
                <w:color w:val="548DD4"/>
                <w:sz w:val="20"/>
                <w:szCs w:val="20"/>
                <w:lang w:eastAsia="es-CL"/>
              </w:rPr>
              <w:t>, las pruebas con usuarios (UAT) y las sesiones de capacitación se realizaran sobre una versión más madura del sistema, aumentando la calidad del feedback y la utilidad de las evidencias recolectadas.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C152CA9" w14:textId="466A0AB1" w:rsidR="00984A7C" w:rsidRPr="00984A7C" w:rsidRDefault="0003309E" w:rsidP="00984A7C">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984A7C">
              <w:rPr>
                <w:rFonts w:ascii="Calibri" w:hAnsi="Calibri" w:cs="Arial"/>
                <w:i/>
                <w:color w:val="548DD4"/>
                <w:sz w:val="20"/>
                <w:szCs w:val="20"/>
                <w:lang w:eastAsia="es-CL"/>
              </w:rPr>
              <w:br/>
            </w:r>
            <w:r w:rsidR="00984A7C" w:rsidRPr="00984A7C">
              <w:rPr>
                <w:rFonts w:ascii="Calibri" w:hAnsi="Calibri" w:cs="Arial"/>
                <w:i/>
                <w:color w:val="548DD4"/>
                <w:sz w:val="20"/>
                <w:szCs w:val="20"/>
                <w:lang w:eastAsia="es-CL"/>
              </w:rPr>
              <w:t>La principal actividad que presenta retraso respecto de la planificación original es el módulo de conexión con el sistema de CCTV del condominio. Si bien durante la Fase 2 se avanzó en el diseño de la arquitectura, en la definición de los puntos de integración y en la base tecnológica necesaria para soportar esta funcionalidad, no fue posible completar toda la implementación ni las pruebas de integración dentro del periodo establecido para el proyecto.</w:t>
            </w:r>
          </w:p>
          <w:p w14:paraId="2308C821" w14:textId="6D291060" w:rsidR="00984A7C" w:rsidRPr="00984A7C" w:rsidRDefault="00984A7C" w:rsidP="00984A7C">
            <w:pPr>
              <w:jc w:val="both"/>
              <w:rPr>
                <w:rFonts w:ascii="Calibri" w:hAnsi="Calibri" w:cs="Arial"/>
                <w:i/>
                <w:color w:val="548DD4"/>
                <w:sz w:val="20"/>
                <w:szCs w:val="20"/>
                <w:lang w:eastAsia="es-CL"/>
              </w:rPr>
            </w:pPr>
            <w:r w:rsidRPr="00984A7C">
              <w:rPr>
                <w:rFonts w:ascii="Calibri" w:hAnsi="Calibri" w:cs="Arial"/>
                <w:i/>
                <w:color w:val="548DD4"/>
                <w:sz w:val="20"/>
                <w:szCs w:val="20"/>
                <w:lang w:eastAsia="es-CL"/>
              </w:rPr>
              <w:t>Los motivos del retraso se relacionan principalmente con la complejidad técnica de la integración (compatibilidad con los sistemas existentes, prueba de flujos de video, seguridad de la información) y con la dependencia de coordinación externa para acceder a los equipos y configuraciones del CCTV real. Además, se priorizó completar y estabilizar primero los módulos críticos del MVP (comunicación, incidencias, mantenimiento y panel administrativo), a fin de asegurar un producto funcional para la comunidad dentro de los plazos del semestre.</w:t>
            </w:r>
          </w:p>
          <w:p w14:paraId="47ABBD27" w14:textId="22F259C1" w:rsidR="0003309E" w:rsidRPr="00711C16" w:rsidRDefault="00984A7C" w:rsidP="00984A7C">
            <w:pPr>
              <w:jc w:val="both"/>
              <w:rPr>
                <w:rFonts w:ascii="Calibri" w:hAnsi="Calibri" w:cs="Arial"/>
                <w:i/>
                <w:color w:val="548DD4"/>
                <w:sz w:val="20"/>
                <w:szCs w:val="20"/>
                <w:lang w:eastAsia="es-CL"/>
              </w:rPr>
            </w:pPr>
            <w:r w:rsidRPr="00984A7C">
              <w:rPr>
                <w:rFonts w:ascii="Calibri" w:hAnsi="Calibri" w:cs="Arial"/>
                <w:i/>
                <w:color w:val="548DD4"/>
                <w:sz w:val="20"/>
                <w:szCs w:val="20"/>
                <w:lang w:eastAsia="es-CL"/>
              </w:rPr>
              <w:t>Como estrategia para avanzar en esta actividad sin afectar el desarrollo global del Proyecto APT, se decidió tratar el módulo de conexión CCTV como una línea de evolución posterior del sistema, dejando documentada su arquitectura, los escenarios de uso y los requerimientos técnicos de integración. De esta forma, el MVP se entrega estable y utilizable, y el trabajo ya realizado en el diseño del módulo CCTV permite retomarlo y completarlo en una siguiente fase del proyecto.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1EFC4" w14:textId="77777777" w:rsidR="00864C26" w:rsidRDefault="00864C26" w:rsidP="0003309E">
      <w:pPr>
        <w:spacing w:after="0" w:line="240" w:lineRule="auto"/>
      </w:pPr>
      <w:r>
        <w:separator/>
      </w:r>
    </w:p>
  </w:endnote>
  <w:endnote w:type="continuationSeparator" w:id="0">
    <w:p w14:paraId="4753757B" w14:textId="77777777" w:rsidR="00864C26" w:rsidRDefault="00864C2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6C33" w14:textId="77777777" w:rsidR="00864C26" w:rsidRDefault="00864C26" w:rsidP="0003309E">
      <w:pPr>
        <w:spacing w:after="0" w:line="240" w:lineRule="auto"/>
      </w:pPr>
      <w:r>
        <w:separator/>
      </w:r>
    </w:p>
  </w:footnote>
  <w:footnote w:type="continuationSeparator" w:id="0">
    <w:p w14:paraId="0DEBE26F" w14:textId="77777777" w:rsidR="00864C26" w:rsidRDefault="00864C2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39D7"/>
    <w:multiLevelType w:val="hybridMultilevel"/>
    <w:tmpl w:val="3D1E07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A54295"/>
    <w:multiLevelType w:val="hybridMultilevel"/>
    <w:tmpl w:val="07CEADC0"/>
    <w:lvl w:ilvl="0" w:tplc="0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58D1B6C"/>
    <w:multiLevelType w:val="hybridMultilevel"/>
    <w:tmpl w:val="847285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F64109"/>
    <w:multiLevelType w:val="hybridMultilevel"/>
    <w:tmpl w:val="7AE29702"/>
    <w:lvl w:ilvl="0" w:tplc="FFFFFFFF">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11082989">
    <w:abstractNumId w:val="2"/>
  </w:num>
  <w:num w:numId="2" w16cid:durableId="1258252319">
    <w:abstractNumId w:val="4"/>
  </w:num>
  <w:num w:numId="3" w16cid:durableId="367224394">
    <w:abstractNumId w:val="1"/>
  </w:num>
  <w:num w:numId="4" w16cid:durableId="210963983">
    <w:abstractNumId w:val="0"/>
  </w:num>
  <w:num w:numId="5" w16cid:durableId="114107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01B44"/>
    <w:rsid w:val="007E7911"/>
    <w:rsid w:val="00806DE0"/>
    <w:rsid w:val="0081536B"/>
    <w:rsid w:val="008479F5"/>
    <w:rsid w:val="0085275A"/>
    <w:rsid w:val="00864C26"/>
    <w:rsid w:val="008F621F"/>
    <w:rsid w:val="009378F7"/>
    <w:rsid w:val="009552E5"/>
    <w:rsid w:val="00976ABB"/>
    <w:rsid w:val="00984A7C"/>
    <w:rsid w:val="009E52DF"/>
    <w:rsid w:val="00AC2159"/>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AC21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2281</Words>
  <Characters>12550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 ESPINOZA GAYTAN</cp:lastModifiedBy>
  <cp:revision>2</cp:revision>
  <dcterms:created xsi:type="dcterms:W3CDTF">2025-11-15T03:32:00Z</dcterms:created>
  <dcterms:modified xsi:type="dcterms:W3CDTF">2025-11-15T03:32:00Z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