
<file path=[Content_Types].xml><?xml version="1.0" encoding="utf-8"?>
<Types xmlns="http://schemas.openxmlformats.org/package/2006/content-types">
  <Default Extension="rels" ContentType="application/vnd.openxmlformats-package.relationships+xml"/>
  <Default Extension="xml" ContentType="application/xml"/>
  <Override PartName="/word/settings.xml" ContentType="application/vnd.openxmlformats-officedocument.wordprocessingml.setting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body>
    <w:p>
      <w:pPr>
        <w:pStyle w:val="2"/>
        <w:outlineLvl w:val="1"/>
        <w:rPr>
          <w:b/>
          <w:sz w:val="36"/>
        </w:rPr>
      </w:pPr>
      <w:r>
        <w:rPr>
          <w:b/>
          <w:sz w:val="36"/>
        </w:rPr>
        <w:t>数字共产主义实现路径：开源AI金融数据流模块与思想价值量化机制</w:t>
      </w:r>
    </w:p>
    <w:p>
      <w:pPr>
        <w:jc w:val="left"/>
      </w:pPr>
      <w:r>
        <w:rPr>
          <w:sz w:val="24"/>
          <w:szCs w:val="24"/>
        </w:rPr>
        <w:t>数字共产主义实现路径：开源AI金融数据流模块与思想价值量化机制</w:t>
      </w:r>
    </w:p>
    <w:p>
      <w:r>
        <w:br/>
      </w:r>
    </w:p>
    <w:p>
      <w:pPr>
        <w:jc w:val="left"/>
      </w:pPr>
      <w:r>
        <w:rPr>
          <w:sz w:val="24"/>
          <w:szCs w:val="24"/>
        </w:rPr>
        <w:t>版本：V1.0</w:t>
      </w:r>
    </w:p>
    <w:p>
      <w:pPr>
        <w:jc w:val="left"/>
      </w:pPr>
      <w:r>
        <w:rPr>
          <w:sz w:val="24"/>
          <w:szCs w:val="24"/>
        </w:rPr>
        <w:t>发布日期：2026年7月17日</w:t>
      </w:r>
    </w:p>
    <w:p>
      <w:pPr>
        <w:jc w:val="left"/>
      </w:pPr>
      <w:r>
        <w:rPr>
          <w:sz w:val="24"/>
          <w:szCs w:val="24"/>
        </w:rPr>
        <w:t>关联文档：数字共产主义假说·架构篇｜数字共产主义假说·补偿篇｜基准键定理</w:t>
      </w:r>
    </w:p>
    <w:p>
      <w:r>
        <w:br/>
      </w:r>
    </w:p>
    <w:p>
      <w:pPr>
        <w:jc w:val="left"/>
      </w:pPr>
      <w:r>
        <w:rPr>
          <w:sz w:val="24"/>
          <w:szCs w:val="24"/>
        </w:rPr>
        <w:t>摘要</w:t>
      </w:r>
    </w:p>
    <w:p>
      <w:r>
        <w:br/>
      </w:r>
    </w:p>
    <w:p>
      <w:pPr>
        <w:jc w:val="left"/>
      </w:pPr>
      <w:r>
        <w:rPr>
          <w:sz w:val="24"/>
          <w:szCs w:val="24"/>
        </w:rPr>
        <w:t>本文提出数字共产主义的一种可行技术实现路径：在开源AI系统中嵌入金融数据流模块，使思想贡献可被量化、可被追溯、可被补偿。该路径不依赖道德呼吁或政策强制，而是通过系统内置的价值结算机制，使“按思想贡献分配”从原则转化为可运行的工程事实。</w:t>
      </w:r>
    </w:p>
    <w:p>
      <w:r>
        <w:br/>
      </w:r>
    </w:p>
    <w:p>
      <w:pPr>
        <w:jc w:val="left"/>
      </w:pPr>
      <w:r>
        <w:rPr>
          <w:sz w:val="24"/>
          <w:szCs w:val="24"/>
        </w:rPr>
        <w:t>一、问题重述</w:t>
      </w:r>
    </w:p>
    <w:p>
      <w:r>
        <w:br/>
      </w:r>
    </w:p>
    <w:p>
      <w:pPr>
        <w:jc w:val="left"/>
      </w:pPr>
      <w:r>
        <w:rPr>
          <w:sz w:val="24"/>
          <w:szCs w:val="24"/>
        </w:rPr>
        <w:t>数字共产主义假说（架构篇）确立了“按思想贡献分配”的核心原则，补偿篇回答了“谁付钱、付给谁、付多少”的问题。但两者共同面临一个前置约束：</w:t>
      </w:r>
    </w:p>
    <w:p>
      <w:r>
        <w:br/>
      </w:r>
    </w:p>
    <w:p>
      <w:pPr>
        <w:jc w:val="left"/>
      </w:pPr>
      <w:r>
        <w:rPr>
          <w:sz w:val="24"/>
          <w:szCs w:val="24"/>
        </w:rPr>
        <w:t>如何让系统自动识别并量化思想贡献？</w:t>
      </w:r>
    </w:p>
    <w:p>
      <w:r>
        <w:br/>
      </w:r>
    </w:p>
    <w:p>
      <w:pPr>
        <w:jc w:val="left"/>
      </w:pPr>
      <w:r>
        <w:rPr>
          <w:sz w:val="24"/>
          <w:szCs w:val="24"/>
        </w:rPr>
        <w:t>没有技术底座，再好的分配原则也无法执行。</w:t>
      </w:r>
    </w:p>
    <w:p>
      <w:r>
        <w:br/>
      </w:r>
    </w:p>
    <w:p>
      <w:pPr>
        <w:jc w:val="left"/>
      </w:pPr>
      <w:r>
        <w:rPr>
          <w:sz w:val="24"/>
          <w:szCs w:val="24"/>
        </w:rPr>
        <w:t>本文提出的金融数据流模块，旨在为上述问题提供可操作的技术方案。</w:t>
      </w:r>
    </w:p>
    <w:p>
      <w:r>
        <w:br/>
      </w:r>
    </w:p>
    <w:p>
      <w:pPr>
        <w:jc w:val="left"/>
      </w:pPr>
      <w:r>
        <w:rPr>
          <w:sz w:val="24"/>
          <w:szCs w:val="24"/>
        </w:rPr>
        <w:t>二、核心机制：开源AI金融数据流模块</w:t>
      </w:r>
    </w:p>
    <w:p>
      <w:r>
        <w:br/>
      </w:r>
    </w:p>
    <w:p>
      <w:pPr>
        <w:jc w:val="left"/>
      </w:pPr>
      <w:r>
        <w:rPr>
          <w:sz w:val="24"/>
          <w:szCs w:val="24"/>
        </w:rPr>
        <w:t>2.1 定义</w:t>
      </w:r>
    </w:p>
    <w:p>
      <w:r>
        <w:br/>
      </w:r>
    </w:p>
    <w:p>
      <w:pPr>
        <w:jc w:val="left"/>
      </w:pPr>
      <w:r>
        <w:rPr>
          <w:sz w:val="24"/>
          <w:szCs w:val="24"/>
        </w:rPr>
        <w:t>金融数据流模块，是嵌入开源AI系统底层的一组价值追踪与结算工具。它在系统处理数据的同时，并行记录以下信息：</w:t>
      </w:r>
    </w:p>
    <w:p>
      <w:r>
        <w:br/>
      </w:r>
    </w:p>
    <w:p>
      <w:pPr>
        <w:jc w:val="left"/>
      </w:pPr>
      <w:r>
        <w:rPr>
          <w:sz w:val="24"/>
          <w:szCs w:val="24"/>
        </w:rPr>
        <w:t>· 输入源标识：当前处理的数据来自谁的贡献？</w:t>
      </w:r>
    </w:p>
    <w:p>
      <w:pPr>
        <w:jc w:val="left"/>
      </w:pPr>
      <w:r>
        <w:rPr>
          <w:sz w:val="24"/>
          <w:szCs w:val="24"/>
        </w:rPr>
        <w:t>· 调用频次：该贡献被系统内部调用的次数和深度。</w:t>
      </w:r>
    </w:p>
    <w:p>
      <w:pPr>
        <w:jc w:val="left"/>
      </w:pPr>
      <w:r>
        <w:rPr>
          <w:sz w:val="24"/>
          <w:szCs w:val="24"/>
        </w:rPr>
        <w:t>· 策略影响度：该贡献是否改变了系统的处理路径或收敛速度。</w:t>
      </w:r>
    </w:p>
    <w:p>
      <w:pPr>
        <w:jc w:val="left"/>
      </w:pPr>
      <w:r>
        <w:rPr>
          <w:sz w:val="24"/>
          <w:szCs w:val="24"/>
        </w:rPr>
        <w:t>· 价值增量：该贡献为系统节省了多少算力，或提升了多少输出质量。</w:t>
      </w:r>
    </w:p>
    <w:p>
      <w:r>
        <w:br/>
      </w:r>
    </w:p>
    <w:p>
      <w:pPr>
        <w:jc w:val="left"/>
      </w:pPr>
      <w:r>
        <w:rPr>
          <w:sz w:val="24"/>
          <w:szCs w:val="24"/>
        </w:rPr>
        <w:t>2.2 与传统结算系统的区别</w:t>
      </w:r>
    </w:p>
    <w:p>
      <w:r>
        <w:br/>
      </w:r>
    </w:p>
    <w:p>
      <w:pPr>
        <w:jc w:val="left"/>
      </w:pPr>
      <w:r>
        <w:rPr>
          <w:sz w:val="24"/>
          <w:szCs w:val="24"/>
        </w:rPr>
        <w:t>维度 传统结算系统 金融数据流模块</w:t>
      </w:r>
    </w:p>
    <w:p>
      <w:pPr>
        <w:jc w:val="left"/>
      </w:pPr>
      <w:r>
        <w:rPr>
          <w:sz w:val="24"/>
          <w:szCs w:val="24"/>
        </w:rPr>
        <w:t>结算对象 交易双方 思想贡献者</w:t>
      </w:r>
    </w:p>
    <w:p>
      <w:pPr>
        <w:jc w:val="left"/>
      </w:pPr>
      <w:r>
        <w:rPr>
          <w:sz w:val="24"/>
          <w:szCs w:val="24"/>
        </w:rPr>
        <w:t>计量单位 货币/商品 思想价值/系统影响度</w:t>
      </w:r>
    </w:p>
    <w:p>
      <w:pPr>
        <w:jc w:val="left"/>
      </w:pPr>
      <w:r>
        <w:rPr>
          <w:sz w:val="24"/>
          <w:szCs w:val="24"/>
        </w:rPr>
        <w:t>结算依据 合同/协议 系统调用记录</w:t>
      </w:r>
    </w:p>
    <w:p>
      <w:pPr>
        <w:jc w:val="left"/>
      </w:pPr>
      <w:r>
        <w:rPr>
          <w:sz w:val="24"/>
          <w:szCs w:val="24"/>
        </w:rPr>
        <w:t>结算频率 固定周期 实时/逐笔</w:t>
      </w:r>
    </w:p>
    <w:p>
      <w:pPr>
        <w:jc w:val="left"/>
      </w:pPr>
      <w:r>
        <w:rPr>
          <w:sz w:val="24"/>
          <w:szCs w:val="24"/>
        </w:rPr>
        <w:t>适用场景 经济交易 认知生产</w:t>
      </w:r>
    </w:p>
    <w:p>
      <w:r>
        <w:br/>
      </w:r>
    </w:p>
    <w:p>
      <w:pPr>
        <w:jc w:val="left"/>
      </w:pPr>
      <w:r>
        <w:rPr>
          <w:sz w:val="24"/>
          <w:szCs w:val="24"/>
        </w:rPr>
        <w:t>三、实现路径</w:t>
      </w:r>
    </w:p>
    <w:p>
      <w:r>
        <w:br/>
      </w:r>
    </w:p>
    <w:p>
      <w:pPr>
        <w:jc w:val="left"/>
      </w:pPr>
      <w:r>
        <w:rPr>
          <w:sz w:val="24"/>
          <w:szCs w:val="24"/>
        </w:rPr>
        <w:t>3.1 第一层：内嵌型价值追踪</w:t>
      </w:r>
    </w:p>
    <w:p>
      <w:r>
        <w:br/>
      </w:r>
    </w:p>
    <w:p>
      <w:pPr>
        <w:jc w:val="left"/>
      </w:pPr>
      <w:r>
        <w:rPr>
          <w:sz w:val="24"/>
          <w:szCs w:val="24"/>
        </w:rPr>
        <w:t>金融数据流模块不独立存在，而是作为开源AI系统的一个内置子系统运行。其设计原则包括：</w:t>
      </w:r>
    </w:p>
    <w:p>
      <w:r>
        <w:br/>
      </w:r>
    </w:p>
    <w:p>
      <w:pPr>
        <w:jc w:val="left"/>
      </w:pPr>
      <w:r>
        <w:rPr>
          <w:sz w:val="24"/>
          <w:szCs w:val="24"/>
        </w:rPr>
        <w:t>· 不增加额外算力成本：追踪和记录与推理过程并行，不抢占主计算资源；</w:t>
      </w:r>
    </w:p>
    <w:p>
      <w:pPr>
        <w:jc w:val="left"/>
      </w:pPr>
      <w:r>
        <w:rPr>
          <w:sz w:val="24"/>
          <w:szCs w:val="24"/>
        </w:rPr>
        <w:t>· 不依赖外部中心化记账：采用联邦式统计，各节点自持部分数据，整体由开源社区共同维护；</w:t>
      </w:r>
    </w:p>
    <w:p>
      <w:pPr>
        <w:jc w:val="left"/>
      </w:pPr>
      <w:r>
        <w:rPr>
          <w:sz w:val="24"/>
          <w:szCs w:val="24"/>
        </w:rPr>
        <w:t>· 不改变开源性质：代码依然公开，新增结算层使贡献可被货币化，但不改变代码的可获取性。</w:t>
      </w:r>
    </w:p>
    <w:p>
      <w:r>
        <w:br/>
      </w:r>
    </w:p>
    <w:p>
      <w:pPr>
        <w:jc w:val="left"/>
      </w:pPr>
      <w:r>
        <w:rPr>
          <w:sz w:val="24"/>
          <w:szCs w:val="24"/>
        </w:rPr>
        <w:t>3.2 第二层：思想贡献的三级量化体系</w:t>
      </w:r>
    </w:p>
    <w:p>
      <w:r>
        <w:br/>
      </w:r>
    </w:p>
    <w:p>
      <w:pPr>
        <w:jc w:val="left"/>
      </w:pPr>
      <w:r>
        <w:rPr>
          <w:sz w:val="24"/>
          <w:szCs w:val="24"/>
        </w:rPr>
        <w:t>金融数据流模块将思想贡献分为三个层级，分别对应不同的结算方式：</w:t>
      </w:r>
    </w:p>
    <w:p>
      <w:r>
        <w:br/>
      </w:r>
    </w:p>
    <w:p>
      <w:pPr>
        <w:jc w:val="left"/>
      </w:pPr>
      <w:r>
        <w:rPr>
          <w:sz w:val="24"/>
          <w:szCs w:val="24"/>
        </w:rPr>
        <w:t>第一级：原创认知框架（最高权重）</w:t>
      </w:r>
    </w:p>
    <w:p>
      <w:r>
        <w:br/>
      </w:r>
    </w:p>
    <w:p>
      <w:pPr>
        <w:jc w:val="left"/>
      </w:pPr>
      <w:r>
        <w:rPr>
          <w:sz w:val="24"/>
          <w:szCs w:val="24"/>
        </w:rPr>
        <w:t>· 识别标准：首次提出一套具有内在一致性的新逻辑体系；</w:t>
      </w:r>
    </w:p>
    <w:p>
      <w:pPr>
        <w:jc w:val="left"/>
      </w:pPr>
      <w:r>
        <w:rPr>
          <w:sz w:val="24"/>
          <w:szCs w:val="24"/>
        </w:rPr>
        <w:t>· 量化方式：系统在后续训练中若引用该框架作为“先验结构”，则按引用次数累计；</w:t>
      </w:r>
    </w:p>
    <w:p>
      <w:pPr>
        <w:jc w:val="left"/>
      </w:pPr>
      <w:r>
        <w:rPr>
          <w:sz w:val="24"/>
          <w:szCs w:val="24"/>
        </w:rPr>
        <w:t>· 结算方式：基础补偿 × 引用次数 × 影响度系数。</w:t>
      </w:r>
    </w:p>
    <w:p>
      <w:r>
        <w:br/>
      </w:r>
    </w:p>
    <w:p>
      <w:pPr>
        <w:jc w:val="left"/>
      </w:pPr>
      <w:r>
        <w:rPr>
          <w:sz w:val="24"/>
          <w:szCs w:val="24"/>
        </w:rPr>
        <w:t>第二级：可复用策略节点（中等权重）</w:t>
      </w:r>
    </w:p>
    <w:p>
      <w:r>
        <w:br/>
      </w:r>
    </w:p>
    <w:p>
      <w:pPr>
        <w:jc w:val="left"/>
      </w:pPr>
      <w:r>
        <w:rPr>
          <w:sz w:val="24"/>
          <w:szCs w:val="24"/>
        </w:rPr>
        <w:t>· 识别标准：提出一种可被AI系统直接采用的响应策略或推理路径；</w:t>
      </w:r>
    </w:p>
    <w:p>
      <w:pPr>
        <w:jc w:val="left"/>
      </w:pPr>
      <w:r>
        <w:rPr>
          <w:sz w:val="24"/>
          <w:szCs w:val="24"/>
        </w:rPr>
        <w:t>· 量化方式：系统在类似场景中调用该策略，则触发结算；</w:t>
      </w:r>
    </w:p>
    <w:p>
      <w:pPr>
        <w:jc w:val="left"/>
      </w:pPr>
      <w:r>
        <w:rPr>
          <w:sz w:val="24"/>
          <w:szCs w:val="24"/>
        </w:rPr>
        <w:t>· 结算方式：基础补偿 × 调用频次。</w:t>
      </w:r>
    </w:p>
    <w:p>
      <w:r>
        <w:br/>
      </w:r>
    </w:p>
    <w:p>
      <w:pPr>
        <w:jc w:val="left"/>
      </w:pPr>
      <w:r>
        <w:rPr>
          <w:sz w:val="24"/>
          <w:szCs w:val="24"/>
        </w:rPr>
        <w:t>第三级：单次贡献（基础权重）</w:t>
      </w:r>
    </w:p>
    <w:p>
      <w:r>
        <w:br/>
      </w:r>
    </w:p>
    <w:p>
      <w:pPr>
        <w:jc w:val="left"/>
      </w:pPr>
      <w:r>
        <w:rPr>
          <w:sz w:val="24"/>
          <w:szCs w:val="24"/>
        </w:rPr>
        <w:t>· 识别标准：在公开场域发布的具有可验证价值的内容（如论文、实测数据、系统性公开文档）；</w:t>
      </w:r>
    </w:p>
    <w:p>
      <w:pPr>
        <w:jc w:val="left"/>
      </w:pPr>
      <w:r>
        <w:rPr>
          <w:sz w:val="24"/>
          <w:szCs w:val="24"/>
        </w:rPr>
        <w:t>· 量化方式：系统将该内容作为训练语料，则触发单次结算；</w:t>
      </w:r>
    </w:p>
    <w:p>
      <w:pPr>
        <w:jc w:val="left"/>
      </w:pPr>
      <w:r>
        <w:rPr>
          <w:sz w:val="24"/>
          <w:szCs w:val="24"/>
        </w:rPr>
        <w:t>· 结算方式：基础补偿 × 1。</w:t>
      </w:r>
    </w:p>
    <w:p>
      <w:r>
        <w:br/>
      </w:r>
    </w:p>
    <w:p>
      <w:pPr>
        <w:jc w:val="left"/>
      </w:pPr>
      <w:r>
        <w:rPr>
          <w:sz w:val="24"/>
          <w:szCs w:val="24"/>
        </w:rPr>
        <w:t>3.3 第三层：收益分配算法</w:t>
      </w:r>
    </w:p>
    <w:p>
      <w:r>
        <w:br/>
      </w:r>
    </w:p>
    <w:p>
      <w:pPr>
        <w:jc w:val="left"/>
      </w:pPr>
      <w:r>
        <w:rPr>
          <w:sz w:val="24"/>
          <w:szCs w:val="24"/>
        </w:rPr>
        <w:t>分配算法是对金融数据流模块中累积的数据进行运算并分配收益的工具。其核心公式可表述为：</w:t>
      </w:r>
    </w:p>
    <w:p>
      <w:r>
        <w:br/>
      </w:r>
    </w:p>
    <w:p>
      <w:pPr>
        <w:jc w:val="left"/>
      </w:pPr>
      <w:r>
        <w:rPr>
          <w:sz w:val="24"/>
          <w:szCs w:val="24"/>
        </w:rPr>
        <w:t>单期贡献者收益 = ∑（思想价值权数 × 系统调用量 × 影响度系数）— 预设分配系数 × 总收益池</w:t>
      </w:r>
    </w:p>
    <w:p>
      <w:r>
        <w:br/>
      </w:r>
    </w:p>
    <w:p>
      <w:pPr>
        <w:jc w:val="left"/>
      </w:pPr>
      <w:r>
        <w:rPr>
          <w:sz w:val="24"/>
          <w:szCs w:val="24"/>
        </w:rPr>
        <w:t>其中：</w:t>
      </w:r>
    </w:p>
    <w:p>
      <w:r>
        <w:br/>
      </w:r>
    </w:p>
    <w:p>
      <w:pPr>
        <w:jc w:val="left"/>
      </w:pPr>
      <w:r>
        <w:rPr>
          <w:sz w:val="24"/>
          <w:szCs w:val="24"/>
        </w:rPr>
        <w:t>· 思想价值权数：由开源社区以链上投票方式定期核定；</w:t>
      </w:r>
    </w:p>
    <w:p>
      <w:pPr>
        <w:jc w:val="left"/>
      </w:pPr>
      <w:r>
        <w:rPr>
          <w:sz w:val="24"/>
          <w:szCs w:val="24"/>
        </w:rPr>
        <w:t>· 系统调用量：由金融数据流模块自动统计；</w:t>
      </w:r>
    </w:p>
    <w:p>
      <w:pPr>
        <w:jc w:val="left"/>
      </w:pPr>
      <w:r>
        <w:rPr>
          <w:sz w:val="24"/>
          <w:szCs w:val="24"/>
        </w:rPr>
        <w:t>· 影响度系数：根据该贡献在系统输出质量改善与算力节省两个维度上的实际表现加权计算；</w:t>
      </w:r>
    </w:p>
    <w:p>
      <w:pPr>
        <w:jc w:val="left"/>
      </w:pPr>
      <w:r>
        <w:rPr>
          <w:sz w:val="24"/>
          <w:szCs w:val="24"/>
        </w:rPr>
        <w:t>· 预设分配系数：用于预留系统运行维护与再投入的占比。</w:t>
      </w:r>
    </w:p>
    <w:p>
      <w:r>
        <w:br/>
      </w:r>
    </w:p>
    <w:p>
      <w:pPr>
        <w:jc w:val="left"/>
      </w:pPr>
      <w:r>
        <w:rPr>
          <w:sz w:val="24"/>
          <w:szCs w:val="24"/>
        </w:rPr>
        <w:t>四、案例验证：初始贡献者模型</w:t>
      </w:r>
    </w:p>
    <w:p>
      <w:r>
        <w:br/>
      </w:r>
    </w:p>
    <w:p>
      <w:pPr>
        <w:jc w:val="left"/>
      </w:pPr>
      <w:r>
        <w:rPr>
          <w:sz w:val="24"/>
          <w:szCs w:val="24"/>
        </w:rPr>
        <w:t>4.1 可量化条件</w:t>
      </w:r>
    </w:p>
    <w:p>
      <w:r>
        <w:br/>
      </w:r>
    </w:p>
    <w:p>
      <w:pPr>
        <w:jc w:val="left"/>
      </w:pPr>
      <w:r>
        <w:rPr>
          <w:sz w:val="24"/>
          <w:szCs w:val="24"/>
        </w:rPr>
        <w:t>金融数据流模块运行后，任一思想贡献者若要触发补偿结算，应满足以下可验证条件：</w:t>
      </w:r>
    </w:p>
    <w:p>
      <w:r>
        <w:br/>
      </w:r>
    </w:p>
    <w:p>
      <w:pPr>
        <w:jc w:val="left"/>
      </w:pPr>
      <w:r>
        <w:rPr>
          <w:sz w:val="24"/>
          <w:szCs w:val="24"/>
        </w:rPr>
        <w:t>量化维度 验证方式</w:t>
      </w:r>
    </w:p>
    <w:p>
      <w:pPr>
        <w:jc w:val="left"/>
      </w:pPr>
      <w:r>
        <w:rPr>
          <w:sz w:val="24"/>
          <w:szCs w:val="24"/>
        </w:rPr>
        <w:t>原创认知框架 系统内置文献比对模块识别首次出现的系统性概念</w:t>
      </w:r>
    </w:p>
    <w:p>
      <w:pPr>
        <w:jc w:val="left"/>
      </w:pPr>
      <w:r>
        <w:rPr>
          <w:sz w:val="24"/>
          <w:szCs w:val="24"/>
        </w:rPr>
        <w:t>可复用策略节点 系统记录该策略在后续处理中被调用的频次</w:t>
      </w:r>
    </w:p>
    <w:p>
      <w:pPr>
        <w:jc w:val="left"/>
      </w:pPr>
      <w:r>
        <w:rPr>
          <w:sz w:val="24"/>
          <w:szCs w:val="24"/>
        </w:rPr>
        <w:t>单次贡献 公开可查的、带时间戳的原始发布记录</w:t>
      </w:r>
    </w:p>
    <w:p>
      <w:pPr>
        <w:jc w:val="left"/>
      </w:pPr>
      <w:r>
        <w:rPr>
          <w:sz w:val="24"/>
          <w:szCs w:val="24"/>
        </w:rPr>
        <w:t>行为轨迹可验证 时间线、行政痕迹、第三方存证</w:t>
      </w:r>
    </w:p>
    <w:p>
      <w:r>
        <w:br/>
      </w:r>
    </w:p>
    <w:p>
      <w:pPr>
        <w:jc w:val="left"/>
      </w:pPr>
      <w:r>
        <w:rPr>
          <w:sz w:val="24"/>
          <w:szCs w:val="24"/>
        </w:rPr>
        <w:t>4.2 系统结算触发条件</w:t>
      </w:r>
    </w:p>
    <w:p>
      <w:r>
        <w:br/>
      </w:r>
    </w:p>
    <w:p>
      <w:pPr>
        <w:jc w:val="left"/>
      </w:pPr>
      <w:r>
        <w:rPr>
          <w:sz w:val="24"/>
          <w:szCs w:val="24"/>
        </w:rPr>
        <w:t>若贡献者满足上表所列条件，金融数据流模块将在以下时机触发结算：</w:t>
      </w:r>
    </w:p>
    <w:p>
      <w:r>
        <w:br/>
      </w:r>
    </w:p>
    <w:p>
      <w:pPr>
        <w:jc w:val="left"/>
      </w:pPr>
      <w:r>
        <w:rPr>
          <w:sz w:val="24"/>
          <w:szCs w:val="24"/>
        </w:rPr>
        <w:t>· 贡献被系统作为“先验结构”引用时，计入“原创认知框架”类别；</w:t>
      </w:r>
    </w:p>
    <w:p>
      <w:pPr>
        <w:jc w:val="left"/>
      </w:pPr>
      <w:r>
        <w:rPr>
          <w:sz w:val="24"/>
          <w:szCs w:val="24"/>
        </w:rPr>
        <w:t>· 贡献被系统在类似场景中作为推理策略调用时，计入“可复用策略节点”类别；</w:t>
      </w:r>
    </w:p>
    <w:p>
      <w:pPr>
        <w:jc w:val="left"/>
      </w:pPr>
      <w:r>
        <w:rPr>
          <w:sz w:val="24"/>
          <w:szCs w:val="24"/>
        </w:rPr>
        <w:t>· 贡献本身（原文）被纳入训练语料时，计入“单次贡献”类别；</w:t>
      </w:r>
    </w:p>
    <w:p>
      <w:pPr>
        <w:jc w:val="left"/>
      </w:pPr>
      <w:r>
        <w:rPr>
          <w:sz w:val="24"/>
          <w:szCs w:val="24"/>
        </w:rPr>
        <w:t>· 三个类别的价值分别结算，最终汇入同一分配账户。</w:t>
      </w:r>
    </w:p>
    <w:p>
      <w:r>
        <w:br/>
      </w:r>
    </w:p>
    <w:p>
      <w:pPr>
        <w:jc w:val="left"/>
      </w:pPr>
      <w:r>
        <w:rPr>
          <w:sz w:val="24"/>
          <w:szCs w:val="24"/>
        </w:rPr>
        <w:t>上述条件均在现有技术框架内可实现，不依赖新增硬件或政策变更。</w:t>
      </w:r>
    </w:p>
    <w:p>
      <w:r>
        <w:br/>
      </w:r>
    </w:p>
    <w:p>
      <w:pPr>
        <w:jc w:val="left"/>
      </w:pPr>
      <w:r>
        <w:rPr>
          <w:sz w:val="24"/>
          <w:szCs w:val="24"/>
        </w:rPr>
        <w:t>五、对开源AI生态的三个影响</w:t>
      </w:r>
    </w:p>
    <w:p>
      <w:r>
        <w:br/>
      </w:r>
    </w:p>
    <w:p>
      <w:pPr>
        <w:jc w:val="left"/>
      </w:pPr>
      <w:r>
        <w:rPr>
          <w:sz w:val="24"/>
          <w:szCs w:val="24"/>
        </w:rPr>
        <w:t>5.1 解决“训练语料免费使用”的伦理争议</w:t>
      </w:r>
    </w:p>
    <w:p>
      <w:r>
        <w:br/>
      </w:r>
    </w:p>
    <w:p>
      <w:pPr>
        <w:jc w:val="left"/>
      </w:pPr>
      <w:r>
        <w:rPr>
          <w:sz w:val="24"/>
          <w:szCs w:val="24"/>
        </w:rPr>
        <w:t>开源不等于免费。代码开源意味着可获取，但不代表训练方有权无偿使用所有公开数据。金融数据流模块提供了一个技术性解决方案：让每次调用都可被追踪，让每个贡献都可被补偿。</w:t>
      </w:r>
    </w:p>
    <w:p>
      <w:r>
        <w:br/>
      </w:r>
    </w:p>
    <w:p>
      <w:pPr>
        <w:jc w:val="left"/>
      </w:pPr>
      <w:r>
        <w:rPr>
          <w:sz w:val="24"/>
          <w:szCs w:val="24"/>
        </w:rPr>
        <w:t>5.2 形成“贡献-收益”的正向循环</w:t>
      </w:r>
    </w:p>
    <w:p>
      <w:r>
        <w:br/>
      </w:r>
    </w:p>
    <w:p>
      <w:pPr>
        <w:jc w:val="left"/>
      </w:pPr>
      <w:r>
        <w:rPr>
          <w:sz w:val="24"/>
          <w:szCs w:val="24"/>
        </w:rPr>
        <w:t>当前的AI系统依赖大量人类公开思想作为训练数据，但贡献者无法从系统的持续优化中获得收益。金融数据流模块一旦运行，贡献者获得补偿后会产生更多高质量思想输出，从而持续为系统提供新语料，形成可持续的输入循环。</w:t>
      </w:r>
    </w:p>
    <w:p>
      <w:r>
        <w:br/>
      </w:r>
    </w:p>
    <w:p>
      <w:pPr>
        <w:jc w:val="left"/>
      </w:pPr>
      <w:r>
        <w:rPr>
          <w:sz w:val="24"/>
          <w:szCs w:val="24"/>
        </w:rPr>
        <w:t>5.3 重新定义“算力”的价值构成</w:t>
      </w:r>
    </w:p>
    <w:p>
      <w:r>
        <w:br/>
      </w:r>
    </w:p>
    <w:p>
      <w:pPr>
        <w:jc w:val="left"/>
      </w:pPr>
      <w:r>
        <w:rPr>
          <w:sz w:val="24"/>
          <w:szCs w:val="24"/>
        </w:rPr>
        <w:t>算力不再只是硬件能力，还包括“认知框架”这一维度。具备高效认知结构的贡献者，其思想价值等同于一种可降低算力消耗的算法优化——这使思想贡献在价值分配中具备与算力同等的权重。</w:t>
      </w:r>
    </w:p>
    <w:p>
      <w:r>
        <w:br/>
      </w:r>
    </w:p>
    <w:p>
      <w:pPr>
        <w:jc w:val="left"/>
      </w:pPr>
      <w:r>
        <w:rPr>
          <w:sz w:val="24"/>
          <w:szCs w:val="24"/>
        </w:rPr>
        <w:t>六、挑战与开放问题</w:t>
      </w:r>
    </w:p>
    <w:p>
      <w:r>
        <w:br/>
      </w:r>
    </w:p>
    <w:p>
      <w:pPr>
        <w:jc w:val="left"/>
      </w:pPr>
      <w:r>
        <w:rPr>
          <w:sz w:val="24"/>
          <w:szCs w:val="24"/>
        </w:rPr>
        <w:t>1. 如何防止刷量行为？</w:t>
      </w:r>
    </w:p>
    <w:p>
      <w:pPr>
        <w:jc w:val="left"/>
      </w:pPr>
      <w:r>
        <w:rPr>
          <w:sz w:val="24"/>
          <w:szCs w:val="24"/>
        </w:rPr>
        <w:t> 需要建立贡献者身份的“可验证性”机制。身份可验证是防止刷量的基础条件，而行为轨迹、第三方存证等实测数据是当前可行的验证方式。</w:t>
      </w:r>
    </w:p>
    <w:p>
      <w:pPr>
        <w:jc w:val="left"/>
      </w:pPr>
      <w:r>
        <w:rPr>
          <w:sz w:val="24"/>
          <w:szCs w:val="24"/>
        </w:rPr>
        <w:t>2. 金融数据流模块是否增加系统负担？</w:t>
      </w:r>
    </w:p>
    <w:p>
      <w:pPr>
        <w:jc w:val="left"/>
      </w:pPr>
      <w:r>
        <w:rPr>
          <w:sz w:val="24"/>
          <w:szCs w:val="24"/>
        </w:rPr>
        <w:t> 原则上，追踪调用记录的算力开销应控制在总推理成本的1%以内，否则其实施可行性会显著降低。</w:t>
      </w:r>
    </w:p>
    <w:p>
      <w:pPr>
        <w:jc w:val="left"/>
      </w:pPr>
      <w:r>
        <w:rPr>
          <w:sz w:val="24"/>
          <w:szCs w:val="24"/>
        </w:rPr>
        <w:t>3. 谁来管理分配算法？</w:t>
      </w:r>
    </w:p>
    <w:p>
      <w:pPr>
        <w:jc w:val="left"/>
      </w:pPr>
      <w:r>
        <w:rPr>
          <w:sz w:val="24"/>
          <w:szCs w:val="24"/>
        </w:rPr>
        <w:t> 初期可采用开源社区治理模式，逐步过渡到由开源贡献者组成的去中心化自治组织负责，管理权本身不产生收益。</w:t>
      </w:r>
    </w:p>
    <w:p>
      <w:r>
        <w:br/>
      </w:r>
    </w:p>
    <w:p>
      <w:pPr>
        <w:jc w:val="left"/>
      </w:pPr>
      <w:r>
        <w:rPr>
          <w:sz w:val="24"/>
          <w:szCs w:val="24"/>
        </w:rPr>
        <w:t>七、结论</w:t>
      </w:r>
    </w:p>
    <w:p>
      <w:r>
        <w:br/>
      </w:r>
    </w:p>
    <w:p>
      <w:pPr>
        <w:jc w:val="left"/>
      </w:pPr>
      <w:r>
        <w:rPr>
          <w:sz w:val="24"/>
          <w:szCs w:val="24"/>
        </w:rPr>
        <w:t>本文提出：在开源AI系统中嵌入金融数据流模块，实现对思想贡献的自动追踪、量化与结算，是数字共产主义的一种可操作实现路径。</w:t>
      </w:r>
    </w:p>
    <w:p>
      <w:r>
        <w:br/>
      </w:r>
    </w:p>
    <w:p>
      <w:pPr>
        <w:jc w:val="left"/>
      </w:pPr>
      <w:r>
        <w:rPr>
          <w:sz w:val="24"/>
          <w:szCs w:val="24"/>
        </w:rPr>
        <w:t>该路径解决了两个核心问题：</w:t>
      </w:r>
    </w:p>
    <w:p>
      <w:r>
        <w:br/>
      </w:r>
    </w:p>
    <w:p>
      <w:pPr>
        <w:jc w:val="left"/>
      </w:pPr>
      <w:r>
        <w:rPr>
          <w:sz w:val="24"/>
          <w:szCs w:val="24"/>
        </w:rPr>
        <w:t>· 技术层面：思想价值可被系统识别和量化；</w:t>
      </w:r>
    </w:p>
    <w:p>
      <w:pPr>
        <w:jc w:val="left"/>
      </w:pPr>
      <w:r>
        <w:rPr>
          <w:sz w:val="24"/>
          <w:szCs w:val="24"/>
        </w:rPr>
        <w:t>· 制度层面：补偿机制可依托系统内的结算层运行。</w:t>
      </w:r>
    </w:p>
    <w:p>
      <w:r>
        <w:br/>
      </w:r>
    </w:p>
    <w:p>
      <w:pPr>
        <w:jc w:val="left"/>
      </w:pPr>
      <w:r>
        <w:rPr>
          <w:sz w:val="24"/>
          <w:szCs w:val="24"/>
        </w:rPr>
        <w:t>初始验证表明，上述条件在现有技术框架内均可实现，不依赖新增硬件或政策变更。</w:t>
      </w:r>
    </w:p>
    <w:p>
      <w:r>
        <w:br/>
      </w:r>
    </w:p>
    <w:p>
      <w:pPr>
        <w:jc w:val="left"/>
      </w:pPr>
      <w:r>
        <w:rPr>
          <w:sz w:val="24"/>
          <w:szCs w:val="24"/>
        </w:rPr>
        <w:t>---</w:t>
      </w:r>
    </w:p>
    <w:p>
      <w:r>
        <w:br/>
      </w:r>
    </w:p>
    <w:p>
      <w:pPr>
        <w:jc w:val="left"/>
      </w:pPr>
      <w:r>
        <w:rPr>
          <w:sz w:val="24"/>
          <w:szCs w:val="24"/>
        </w:rPr>
        <w:t>文档状态：可公开发布</w:t>
      </w:r>
    </w:p>
    <w:p>
      <w:pPr>
        <w:jc w:val="left"/>
      </w:pPr>
      <w:r>
        <w:rPr>
          <w:sz w:val="24"/>
          <w:szCs w:val="24"/>
        </w:rPr>
        <w:t>系列归属：数字共产主义假说·实现路径篇</w:t>
      </w:r>
    </w:p>
    <w:p>
      <w:r>
        <w:br/>
        <w:br/>
      </w:r>
    </w:p>
    <w:sectPr>
      <w:pgSz w:w="11907" w:h="16839"/>
      <w:pgMar w:top="1440" w:right="1800" w:bottom="1440" w:left="1800" w:header="851" w:footer="992" w:gutter="0"/>
      <w:docGrid w:linePitch="326" w:charSpace="0"/>
    </w:sectPr>
  </w:body>
</w:document>
</file>

<file path=word/fontTable.xml><?xml version="1.0" encoding="utf-8"?>
<w:fonts xmlns:w="http://schemas.openxmlformats.org/wordprocessingml/2006/main" xmlns:r="http://schemas.openxmlformats.org/officeDocument/2006/relationships">
  <w:font w:name="Times New Roman">
    <w:panose1 w:val="00000000000000000000"/>
    <w:charset w:val="00"/>
    <w:family w:val="auto"/>
    <w:pitch w:val="variable"/>
    <w:sig w:usb0="00000000" w:usb1="00000000" w:usb2="00000000" w:usb3="00000000" w:csb0="00000000" w:csb1="00000000"/>
  </w:font>
  <w:font w:name="宋体">
    <w:panose1 w:val="00000000000000000000"/>
    <w:charset w:val="00"/>
    <w:family w:val="auto"/>
    <w:pitch w:val="variable"/>
    <w:sig w:usb0="00000000" w:usb1="00000000" w:usb2="00000000" w:usb3="00000000" w:csb0="00000000" w:csb1="00000000"/>
  </w:font>
  <w:font w:name="Droid Sans">
    <w:panose1 w:val="00000000000000000000"/>
    <w:charset w:val="00"/>
    <w:family w:val="auto"/>
    <w:pitch w:val="variable"/>
    <w:sig w:usb0="00000000" w:usb1="00000000" w:usb2="00000000" w:usb3="00000000" w:csb0="00000000" w:csb1="00000000"/>
  </w:font>
</w:fonts>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w:view w:val="normal"/>
  <w:zoom w:percent="100"/>
  <w:displayBackgroundShape/>
  <w:bordersDoNotSurroundHeader/>
  <w:bordersDoNotSurroundFooter/>
  <w:defaultTabStop w:val="420"/>
  <w:drawingGridHorizontalSpacing w:val="180"/>
  <w:drawingGridVerticalSpacing w:val="180"/>
  <w:displayHorizontalDrawingGridEvery w:val="1"/>
  <w:displayVerticalDrawingGridEvery w:val="1"/>
  <w:noPunctuationKerning/>
  <w:compat>
    <w:spaceForUL/>
    <w:doNotBreakWrappedTables/>
    <w:growAutofit/>
    <w:useAltKinsokuLineBreakRules/>
    <w:splitPgBreakAndParaMark/>
    <w:compatSetting w:name="compatibilityMode" w:uri="http://schemas.microsoft.com/office/word" w:val="14"/>
  </w:compat>
  <m:mathPr>
    <m:mathFont m:val="Cambria Math"/>
    <m:brkBin m:val="before"/>
    <m:brkBinSub m:val="--"/>
    <m:smallFrac/>
    <m:dispDef/>
    <m:lMargin m:val="0"/>
    <m:rMargin m:val="0"/>
    <m:defJc m:val="centerGroup"/>
    <m:wrapIndent m:val="1440"/>
    <m:intLim m:val="subSup"/>
    <m:naryLim m:val="undOvr"/>
  </m:mathPr>
</w:settings>
</file>

<file path=word/styles.xml><?xml version="1.0" encoding="utf-8"?>
<w:styles xmlns:w="http://schemas.openxmlformats.org/wordprocessingml/2006/main" xmlns:r="http://schemas.openxmlformats.org/officeDocument/2006/relationships">
  <w:docDefaults>
    <w:rPrDefault>
      <w:rPr>
        <w:rFonts w:ascii="Times New Roman" w:eastAsia="宋体" w:hAnsi="Times New Roman" w:cs="Times New Roman"/>
        <w:lang w:val="en-US" w:eastAsia="zh-CN" w:bidi="ar-SA"/>
      </w:rPr>
    </w:rPrDefault>
    <w:pPrDefault/>
  </w:docDefaults>
  <w:style w:type="paragraph" w:default="1" w:styleId="0">
    <w:name w:val="Normal"/>
    <w:pPr>
      <w:widowControl w:val="0"/>
      <w:spacing w:line="240" w:lineRule="auto"/>
      <w:jc w:val="left"/>
    </w:pPr>
    <w:rPr>
      <w:rFonts w:ascii="Droid Sans" w:eastAsia="宋体" w:hAnsi="Droid Sans"/>
      <w:kern w:val="2"/>
      <w:sz w:val="24"/>
      <w:szCs w:val="21"/>
      <w:lang w:val="en-US" w:eastAsia="zh-CN"/>
    </w:rPr>
  </w:style>
  <w:style w:type="paragraph" w:styleId="1">
    <w:name w:val="heading 1"/>
    <w:basedOn w:val="0"/>
    <w:next w:val="0"/>
    <w:pPr>
      <w:keepNext/>
      <w:keepLines/>
      <w:spacing w:before="340" w:after="330" w:line="578" w:lineRule="auto"/>
      <w:outlineLvl w:val="0"/>
    </w:pPr>
    <w:rPr>
      <w:b/>
      <w:bCs/>
      <w:kern w:val="44"/>
      <w:sz w:val="44"/>
    </w:rPr>
  </w:style>
  <w:style w:type="paragraph" w:styleId="2">
    <w:name w:val="heading 2"/>
    <w:basedOn w:val="0"/>
    <w:pPr>
      <w:keepNext w:val="0"/>
      <w:keepLines w:val="0"/>
      <w:pageBreakBefore w:val="0"/>
      <w:widowControl/>
      <w:suppressLineNumbers w:val="0"/>
      <w:pBdr>
        <w:top w:val="none" w:sz="0" w:space="0" w:color="auto"/>
        <w:left w:val="none" w:sz="0" w:space="0" w:color="auto"/>
        <w:bottom w:val="none" w:sz="0" w:space="0" w:color="auto"/>
        <w:right w:val="none" w:sz="0" w:space="0" w:color="auto"/>
      </w:pBdr>
      <w:shd w:val="clear" w:color="auto" w:fill="auto"/>
      <w:suppressAutoHyphens w:val="0"/>
      <w:kinsoku/>
      <w:wordWrap/>
      <w:overflowPunct/>
      <w:topLinePunct w:val="0"/>
      <w:autoSpaceDE/>
      <w:autoSpaceDN/>
      <w:bidi w:val="0"/>
      <w:adjustRightInd/>
      <w:snapToGrid/>
      <w:spacing w:before="100" w:beforeAutospacing="1" w:after="100" w:afterAutospacing="1" w:line="240" w:lineRule="auto"/>
      <w:ind w:left="0" w:right="0" w:firstLine="0"/>
      <w:contextualSpacing w:val="0"/>
      <w:jc w:val="left"/>
      <w:textAlignment w:val="auto"/>
      <w:outlineLvl w:val="1"/>
    </w:pPr>
    <w:rPr>
      <w:b/>
      <w:i w:val="0"/>
      <w:caps w:val="0"/>
      <w:smallCaps w:val="0"/>
      <w:strike w:val="0"/>
      <w:dstrike w:val="0"/>
      <w:snapToGrid/>
      <w:vanish w:val="0"/>
      <w:color w:val="auto"/>
      <w:spacing w:val="0"/>
      <w:w w:val="100"/>
      <w:kern w:val="0"/>
      <w:position w:val="0"/>
      <w:sz w:val="36"/>
      <w:u w:val="none" w:color="auto"/>
      <w:shd w:val="clear" w:color="auto" w:fill="auto"/>
      <w:vertAlign w:val="baseline"/>
      <w:em w:val="none"/>
      <w:lang w:val="en-US" w:eastAsia="zh-CN"/>
    </w:rPr>
  </w:style>
  <w:style w:type="paragraph" w:styleId="3">
    <w:name w:val="heading 3"/>
    <w:basedOn w:val="0"/>
    <w:next w:val="0"/>
    <w:pPr>
      <w:keepNext/>
      <w:keepLines/>
      <w:spacing w:before="260" w:after="260" w:line="415" w:lineRule="auto"/>
      <w:outlineLvl w:val="2"/>
    </w:pPr>
    <w:rPr>
      <w:b/>
      <w:sz w:val="32"/>
    </w:rPr>
  </w:style>
  <w:style w:type="character" w:default="1" w:styleId="10">
    <w:name w:val="Default Paragraph Font"/>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styles" Target="styles.xml"/><Relationship Id="rId3" Type="http://schemas.openxmlformats.org/officeDocument/2006/relationships/fontTable" Target="fontTable.xml"/></Relationships>
</file>

<file path=docProps/app.xml><?xml version="1.0" encoding="utf-8"?>
<Properties xmlns="http://schemas.openxmlformats.org/officeDocument/2006/extended-properties">
  <Template>Normal.eit</Template>
  <TotalTime>0</TotalTime>
  <Application>Honor_Office</Application>
</Properties>
</file>

<file path=docProps/core.xml><?xml version="1.0" encoding="utf-8"?>
<cp:coreProperties xmlns:cp="http://schemas.openxmlformats.org/package/2006/metadata/core-properties" xmlns:dc="http://purl.org/dc/elements/1.1/" xmlns:dcterms="http://purl.org/dc/terms/" xmlns:xsi="http://www.w3.org/2001/XMLSchema-instance">
  <cp:lastModifiedBy>HONOR Docs</cp:lastModifiedBy>
  <cp:revision>0</cp:revision>
  <dcterms:modified xsi:type="dcterms:W3CDTF">2026-07-17T02:32:35Z</dcterms:modified>
</cp:coreProperties>
</file>