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Run, Access, and Call the Model Server</w:t>
      </w:r>
    </w:p>
    <w:p>
      <w:pPr>
        <w:pStyle w:val="Subtitle"/>
      </w:pPr>
      <w:r>
        <w:t>Two-page runbook • Linux/WSL2 + NVIDIA GPU • Repository state: 10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Outcome  </w:t>
            </w:r>
            <w:r>
              <w:t>Start the Qwen3.6-27B AWQ model locally, verify it, call the OpenAI-compatible API, and select a LoRA adapter when needed.</w:t>
            </w:r>
          </w:p>
        </w:tc>
      </w:tr>
    </w:tbl>
    <w:p>
      <w:pPr>
        <w:pStyle w:val="Heading1"/>
      </w:pPr>
      <w:r>
        <w:t>1. One-time setup</w:t>
      </w:r>
    </w:p>
    <w:p>
      <w:r>
        <w:t>Run from the repository root. Native Windows does not host this GPU stack; the Windows wrappers enter WSL2. The setup recreates .venv, installs requirements, and verifies CUDA/vLLM.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# Windows PowerShell or cmd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scripts\setup.cmd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# Linux / already in WSL2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./scripts/setup.sh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source .venv/bin/activate</w:t>
            </w:r>
          </w:p>
        </w:tc>
      </w:tr>
    </w:tbl>
    <w:p>
      <w:r>
        <w:t>WSL only: if Triton/FlashInfer reports compiler or CUDA-header problems, run bash scripts/_install_usergcc.sh once. Model weights download on first use; keep ample disk space and Hugging Face access.</w:t>
      </w:r>
    </w:p>
    <w:p>
      <w:pPr>
        <w:pStyle w:val="Heading1"/>
      </w:pPr>
      <w:r>
        <w:t>2. Start and verify the base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source .venv/bin/activate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./scripts/start_server.sh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# Leave this terminal open. Wait until the server reports it is ready.</w:t>
            </w:r>
          </w:p>
        </w:tc>
      </w:tr>
    </w:tbl>
    <w:p>
      <w:r>
        <w:t>The script reads config/model.env and currently serves shawnw3i/Qwen3.6-27B-AWQ-MTP on port 8000 with AWQ, 4,096-token context, max 32 concurrent sequences, and 92% GPU-memory utilization.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# In a second WSL/Linux terminal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source .venv/bin/activate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curl http://localhost:8000/v1/models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scripts/test_client.py --prompt "Explain what this server does."</w:t>
            </w:r>
          </w:p>
        </w:tc>
      </w:tr>
    </w:tbl>
    <w:p>
      <w:pPr>
        <w:pStyle w:val="Heading1"/>
      </w:pPr>
      <w:r>
        <w:t>3. How clients reach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/>
        </w:trPr>
        <w:tc>
          <w:tcPr>
            <w:tcW w:type="dxa" w:w="187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Client</w:t>
            </w:r>
          </w:p>
        </w:tc>
        <w:tc>
          <w:tcPr>
            <w:tcW w:type="dxa" w:w="302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Base URL</w:t>
            </w:r>
          </w:p>
        </w:tc>
        <w:tc>
          <w:tcPr>
            <w:tcW w:type="dxa" w:w="561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87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Same WSL/Linux host</w:t>
            </w:r>
          </w:p>
        </w:tc>
        <w:tc>
          <w:tcPr>
            <w:tcW w:type="dxa" w:w="30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http://localhost:8000/v1</w:t>
            </w:r>
          </w:p>
        </w:tc>
        <w:tc>
          <w:tcPr>
            <w:tcW w:type="dxa" w:w="56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Preferred test path.</w:t>
            </w:r>
          </w:p>
        </w:tc>
      </w:tr>
      <w:tr>
        <w:tc>
          <w:tcPr>
            <w:tcW w:type="dxa" w:w="187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Windows host with WSL2</w:t>
            </w:r>
          </w:p>
        </w:tc>
        <w:tc>
          <w:tcPr>
            <w:tcW w:type="dxa" w:w="3024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http://localhost:8000/v1</w:t>
            </w:r>
          </w:p>
        </w:tc>
        <w:tc>
          <w:tcPr>
            <w:tcW w:type="dxa" w:w="5616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WSL localhost forwarding normally makes this work.</w:t>
            </w:r>
          </w:p>
        </w:tc>
      </w:tr>
      <w:tr>
        <w:tc>
          <w:tcPr>
            <w:tcW w:type="dxa" w:w="187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Another LAN machine</w:t>
            </w:r>
          </w:p>
        </w:tc>
        <w:tc>
          <w:tcPr>
            <w:tcW w:type="dxa" w:w="30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http://&lt;server-ip&gt;:8000/v1</w:t>
            </w:r>
          </w:p>
        </w:tc>
        <w:tc>
          <w:tcPr>
            <w:tcW w:type="dxa" w:w="56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Only after binding/routing and firewall rules are intentionally configured.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Security  </w:t>
            </w:r>
            <w:r>
              <w:t>This configuration has no meaningful API key enforcement. Do not expose port 8000 to the public Internet. Put authentication and TLS in a reverse proxy before any shared deployment.</w:t>
            </w:r>
          </w:p>
        </w:tc>
      </w:tr>
    </w:tbl>
    <w:p>
      <w:pPr>
        <w:spacing w:after="0"/>
      </w:pPr>
      <w:r>
        <w:br w:type="page"/>
      </w:r>
    </w:p>
    <w:p>
      <w:pPr>
        <w:pStyle w:val="Title"/>
      </w:pPr>
      <w:r>
        <w:t>Requests, Adapters, and Recovery</w:t>
      </w:r>
    </w:p>
    <w:p>
      <w:pPr>
        <w:pStyle w:val="Subtitle"/>
      </w:pPr>
      <w:r>
        <w:t>Use the model name exactly as advertised by /v1/models or by the LoRA launch command.</w:t>
      </w:r>
    </w:p>
    <w:p>
      <w:pPr>
        <w:pStyle w:val="Heading1"/>
      </w:pPr>
      <w:r>
        <w:t>4. Call the chat-completions endpoint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curl http://localhost:8000/v1/chat/completions \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+  -H "Content-Type: application/json" \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+  -d '{"model":"shawnw3i/Qwen3.6-27B-AWQ-MTP","messages":[{"role":"user","content":"Give one GPU troubleshooting tip."}],"temperature":0.2}'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from openai import OpenAI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client = OpenAI(base_url="http://localhost:8000/v1", api_key="not-needed")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r = client.chat.completions.create(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 xml:space="preserve">    model="shawnw3i/Qwen3.6-27B-AWQ-MTP",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 xml:space="preserve">    messages=[{"role": "user", "content": "Hello"}],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)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print(r.choices[0].message.content)</w:t>
            </w:r>
          </w:p>
        </w:tc>
      </w:tr>
    </w:tbl>
    <w:p>
      <w:pPr>
        <w:pStyle w:val="Heading1"/>
      </w:pPr>
      <w:r>
        <w:t>5. Serve and call adapters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# Default support adapter: output/lora_adapter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./scripts/serve_with_lora.sh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scripts/test_client.py --model support-adapter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# Two named personal adapters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LORA_MODULES="question-sharper=output/lora_question_sharper,me-assistant=output/lora_me_assistant" ./scripts/serve_with_lora.sh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scripts/test_client.py --model me-assistant --prompt "Why did vLLM OOM?"</w:t>
            </w:r>
          </w:p>
        </w:tc>
      </w:tr>
    </w:tbl>
    <w:p>
      <w:r>
        <w:t>Adapter names become API model names. For the two-stage workflow, run python scripts/personal_pipeline.py "&lt;messy technical question&gt;"; it calls question-sharper first and me-assistant second.</w:t>
      </w:r>
    </w:p>
    <w:p>
      <w:pPr>
        <w:pStyle w:val="Heading1"/>
      </w:pPr>
      <w:r>
        <w:t>6. Stop, tune, and diagnose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/>
        </w:trPr>
        <w:tc>
          <w:tcPr>
            <w:tcW w:type="dxa" w:w="2880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7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Connection refused</w:t>
            </w:r>
          </w:p>
        </w:tc>
        <w:tc>
          <w:tcPr>
            <w:tcW w:type="dxa" w:w="763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Server is not ready, wrong port, or terminal exited. Check its log and /v1/models.</w:t>
            </w:r>
          </w:p>
        </w:tc>
      </w:tr>
      <w:tr>
        <w:tc>
          <w:tcPr>
            <w:tcW w:type="dxa" w:w="288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CUDA OOM / Mamba cache error</w:t>
            </w:r>
          </w:p>
        </w:tc>
        <w:tc>
          <w:tcPr>
            <w:tcW w:type="dxa" w:w="763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Stop other GPU jobs; reduce MAX_MODEL_LEN and then MAX_NUM_SEQS in config/model.env. Restart.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Adapter not found</w:t>
            </w:r>
          </w:p>
        </w:tc>
        <w:tc>
          <w:tcPr>
            <w:tcW w:type="dxa" w:w="763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Confirm its directory contains adapter_config.json and adapter_model.safetensors; verify LORA_MODULES path/name.</w:t>
            </w:r>
          </w:p>
        </w:tc>
      </w:tr>
      <w:tr>
        <w:tc>
          <w:tcPr>
            <w:tcW w:type="dxa" w:w="288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Training needed</w:t>
            </w:r>
          </w:p>
        </w:tc>
        <w:tc>
          <w:tcPr>
            <w:tcW w:type="dxa" w:w="763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Stop the server with Ctrl+C and confirm nvidia-smi shows VRAM released before training.</w:t>
            </w:r>
          </w:p>
        </w:tc>
      </w:tr>
      <w:tr>
        <w:tc>
          <w:tcPr>
            <w:tcW w:type="dxa" w:w="288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Need extra vLLM flags</w:t>
            </w:r>
          </w:p>
        </w:tc>
        <w:tc>
          <w:tcPr>
            <w:tcW w:type="dxa" w:w="763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Launch with EXTRA_ARGS="--enforce-eager" ./scripts/start_server.sh (example).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Operational check  </w:t>
            </w:r>
            <w:r>
              <w:t>A successful HTTP connection is not enough: verify a sensible response, log latency/errors, and keep a small fixed prompt set for base-versus-adapter regression tests.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3"/>
        <w:sz w:val="15"/>
      </w:rPr>
      <w:t>QWEN-vLLM-LoRA  |  Server &amp;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Repository operations and model training guide</dc:subject>
  <dc:creator>QWEN-vLLM-LoRA repository</dc:creator>
  <cp:keywords>Qwen, vLLM, AWQ, LoRA, QLoRA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