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AWQ Serving and QLoRA Training?</w:t>
      </w:r>
    </w:p>
    <w:p>
      <w:pPr>
        <w:pStyle w:val="Subtitle"/>
      </w:pPr>
      <w:r>
        <w:t>Two-page engineering rationale • Current target: Qwen3.6-27B on one 24 GB-class NVIDIA GPU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Decision in one sentence  </w:t>
            </w:r>
            <w:r>
              <w:t>Use an inference-optimized 4-bit AWQ checkpoint to serve, but load the matching dense checkpoint as training-oriented 4-bit NF4 to learn small LoRA adapters.</w:t>
            </w:r>
          </w:p>
        </w:tc>
      </w:tr>
    </w:tbl>
    <w:p>
      <w:pPr>
        <w:pStyle w:val="Heading1"/>
      </w:pPr>
      <w:r>
        <w:t>1. AWQ instead of dense BF16 for serving</w:t>
      </w:r>
    </w:p>
    <w:p>
      <w:r>
        <w:t>A 27B model in BF16 needs roughly 54 GB for parameters alone (27 billion × 2 bytes), before KV cache and runtime workspaces. It cannot fit on the target 24 GB GPU. The AWQ checkpoint is about 19 GB on disk and keeps weights at 4-bit for inference, leaving limited but usable VRAM for context, concurrency, and LoRA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/>
        </w:trPr>
        <w:tc>
          <w:tcPr>
            <w:tcW w:type="dxa" w:w="1800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Choice</w:t>
            </w:r>
          </w:p>
        </w:tc>
        <w:tc>
          <w:tcPr>
            <w:tcW w:type="dxa" w:w="4320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Benefit</w:t>
            </w:r>
          </w:p>
        </w:tc>
        <w:tc>
          <w:tcPr>
            <w:tcW w:type="dxa" w:w="439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Cost / when to choose otherwise</w:t>
            </w:r>
          </w:p>
        </w:tc>
      </w:tr>
      <w:tr>
        <w:tc>
          <w:tcPr>
            <w:tcW w:type="dxa" w:w="180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AWQ 4-bit</w:t>
            </w:r>
          </w:p>
        </w:tc>
        <w:tc>
          <w:tcPr>
            <w:tcW w:type="dxa" w:w="432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Fits the capable 27B model; fast vLLM inference; dynamic named LoRAs.</w:t>
            </w:r>
          </w:p>
        </w:tc>
        <w:tc>
          <w:tcPr>
            <w:tcW w:type="dxa" w:w="439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Small quantization-quality loss; tight KV cache. Use BF16 only with ~60+ GB VRAM or multi-GPU capacity.</w:t>
            </w:r>
          </w:p>
        </w:tc>
      </w:tr>
      <w:tr>
        <w:tc>
          <w:tcPr>
            <w:tcW w:type="dxa" w:w="1800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Dense BF16</w:t>
            </w:r>
          </w:p>
        </w:tc>
        <w:tc>
          <w:tcPr>
            <w:tcW w:type="dxa" w:w="4320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Highest numerical fidelity and simplest merge/training source.</w:t>
            </w:r>
          </w:p>
        </w:tc>
        <w:tc>
          <w:tcPr>
            <w:tcW w:type="dxa" w:w="439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Far beyond this GPU for 27B serving; higher hardware and power cost.</w:t>
            </w:r>
          </w:p>
        </w:tc>
      </w:tr>
      <w:tr>
        <w:tc>
          <w:tcPr>
            <w:tcW w:type="dxa" w:w="180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Smaller dense model</w:t>
            </w:r>
          </w:p>
        </w:tc>
        <w:tc>
          <w:tcPr>
            <w:tcW w:type="dxa" w:w="432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Fast experiments, larger context/batch on the same GPU.</w:t>
            </w:r>
          </w:p>
        </w:tc>
        <w:tc>
          <w:tcPr>
            <w:tcW w:type="dxa" w:w="439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Lower base capability, but often the best dataset-development baseline.</w:t>
            </w:r>
          </w:p>
        </w:tc>
      </w:tr>
    </w:tbl>
    <w:p>
      <w:pPr>
        <w:pStyle w:val="Heading1"/>
      </w:pPr>
      <w:r>
        <w:t>2. QLoRA instead of ordinary BF16 LoRA</w:t>
      </w:r>
    </w:p>
    <w:p>
      <w:r>
        <w:t>LoRA defines the trainable low-rank matrices; QLoRA is the memory-saving way the frozen base is loaded during training. This trainer quantizes the matching dense Qwen/Qwen3.6-27B base to NF4 with double quantization and BF16 compute. Only the LoRA parameters receive updates. The output is a normal PEFT LoRA adapter—not a special QLoRA-only format.</w:t>
      </w:r>
    </w:p>
    <w:p>
      <w:pPr>
        <w:pStyle w:val="ListBullet"/>
        <w:spacing w:after="20"/>
        <w:ind w:left="259" w:hanging="173"/>
      </w:pPr>
      <w:r>
        <w:t>Ordinary BF16 LoRA still keeps the frozen 27B base in BF16, so the base alone exceeds 24 GB VRAM.</w:t>
      </w:r>
    </w:p>
    <w:p>
      <w:pPr>
        <w:pStyle w:val="ListBullet"/>
        <w:spacing w:after="20"/>
        <w:ind w:left="259" w:hanging="173"/>
      </w:pPr>
      <w:r>
        <w:t>AWQ is optimized for inference, not this bitsandbytes/PEFT training path; train from the dense source instead.</w:t>
      </w:r>
    </w:p>
    <w:p>
      <w:pPr>
        <w:pStyle w:val="ListBullet"/>
        <w:spacing w:after="20"/>
        <w:ind w:left="259" w:hanging="173"/>
      </w:pPr>
      <w:r>
        <w:t>At inference, vLLM applies the floating-point LoRA delta over the quantized AWQ base without permanently merging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Compatibility condition  </w:t>
            </w:r>
            <w:r>
              <w:t>The dense training source and AWQ serving checkpoint must represent the same underlying base: architecture, layer names/shapes, tokenizer behavior, and pretrained revision. Structural loading success is necessary; held-out quality testing is still required.</w:t>
            </w:r>
          </w:p>
        </w:tc>
      </w:tr>
    </w:tbl>
    <w:p>
      <w:pPr>
        <w:spacing w:after="0"/>
      </w:pPr>
      <w:r>
        <w:br w:type="page"/>
      </w:r>
    </w:p>
    <w:p>
      <w:pPr>
        <w:pStyle w:val="Title"/>
      </w:pPr>
      <w:r>
        <w:t>Why These Values—and What to Improve</w:t>
      </w:r>
    </w:p>
    <w:p>
      <w:pPr>
        <w:pStyle w:val="Subtitle"/>
      </w:pPr>
      <w:r>
        <w:t>Tune one variable at a time and judge with held-out examples, latency, throughput, and peak VRAM.</w:t>
      </w:r>
    </w:p>
    <w:p>
      <w:pPr>
        <w:pStyle w:val="Heading1"/>
      </w:pPr>
      <w:r>
        <w:t>3. Current parameter choices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453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Why it is reasonable</w:t>
            </w:r>
          </w:p>
        </w:tc>
        <w:tc>
          <w:tcPr>
            <w:tcW w:type="dxa" w:w="352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If larger / smaller</w:t>
            </w:r>
          </w:p>
        </w:tc>
      </w:tr>
      <w:tr>
        <w:tc>
          <w:tcPr>
            <w:tcW w:type="dxa" w:w="244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AWQ group size 128</w:t>
            </w:r>
          </w:p>
        </w:tc>
        <w:tc>
          <w:tcPr>
            <w:tcW w:type="dxa" w:w="453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Checkpoint’s established accuracy/size compromise.</w:t>
            </w:r>
          </w:p>
        </w:tc>
        <w:tc>
          <w:tcPr>
            <w:tcW w:type="dxa" w:w="35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a runtime knob; re-quantization is required to change it.</w:t>
            </w:r>
          </w:p>
        </w:tc>
      </w:tr>
      <w:tr>
        <w:tc>
          <w:tcPr>
            <w:tcW w:type="dxa" w:w="244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Context 4,096</w:t>
            </w:r>
          </w:p>
        </w:tc>
        <w:tc>
          <w:tcPr>
            <w:tcW w:type="dxa" w:w="4536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Leaves KV-cache room on 24 GB while covering common support/personal prompts.</w:t>
            </w:r>
          </w:p>
        </w:tc>
        <w:tc>
          <w:tcPr>
            <w:tcW w:type="dxa" w:w="352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8,192 improves long tasks but raises KV memory; smaller improves stability/throughput.</w:t>
            </w:r>
          </w:p>
        </w:tc>
      </w:tr>
      <w:tr>
        <w:tc>
          <w:tcPr>
            <w:tcW w:type="dxa" w:w="244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Max sequences 32</w:t>
            </w:r>
          </w:p>
        </w:tc>
        <w:tc>
          <w:tcPr>
            <w:tcW w:type="dxa" w:w="453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Throughput-oriented ceiling for short requests.</w:t>
            </w:r>
          </w:p>
        </w:tc>
        <w:tc>
          <w:tcPr>
            <w:tcW w:type="dxa" w:w="35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Lower for OOM/latency consistency; raise only after measured load tests.</w:t>
            </w:r>
          </w:p>
        </w:tc>
      </w:tr>
      <w:tr>
        <w:tc>
          <w:tcPr>
            <w:tcW w:type="dxa" w:w="244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GPU utilization 0.92</w:t>
            </w:r>
          </w:p>
        </w:tc>
        <w:tc>
          <w:tcPr>
            <w:tcW w:type="dxa" w:w="4536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Lets vLLM reserve most VRAM for weights/cache.</w:t>
            </w:r>
          </w:p>
        </w:tc>
        <w:tc>
          <w:tcPr>
            <w:tcW w:type="dxa" w:w="352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Higher risks fragmentation/OOM; lower is safer but reduces cache capacity.</w:t>
            </w:r>
          </w:p>
        </w:tc>
      </w:tr>
      <w:tr>
        <w:tc>
          <w:tcPr>
            <w:tcW w:type="dxa" w:w="244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LoRA rank/alpha 16/16</w:t>
            </w:r>
          </w:p>
        </w:tc>
        <w:tc>
          <w:tcPr>
            <w:tcW w:type="dxa" w:w="453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~159 MB adapters; enough capacity for style/task behavior without large overhead.</w:t>
            </w:r>
          </w:p>
        </w:tc>
        <w:tc>
          <w:tcPr>
            <w:tcW w:type="dxa" w:w="35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Higher rank may learn complex shifts but costs memory/overfits; lower is cheaper but less expressive.</w:t>
            </w:r>
          </w:p>
        </w:tc>
      </w:tr>
      <w:tr>
        <w:tc>
          <w:tcPr>
            <w:tcW w:type="dxa" w:w="244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Targets: q/k/v/o + gate/up/down</w:t>
            </w:r>
          </w:p>
        </w:tc>
        <w:tc>
          <w:tcPr>
            <w:tcW w:type="dxa" w:w="4536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Adapts attention and MLP paths across the model.</w:t>
            </w:r>
          </w:p>
        </w:tc>
        <w:tc>
          <w:tcPr>
            <w:tcW w:type="dxa" w:w="352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Fewer targets reduce size/compute but can limit behavior change.</w:t>
            </w:r>
          </w:p>
        </w:tc>
      </w:tr>
      <w:tr>
        <w:tc>
          <w:tcPr>
            <w:tcW w:type="dxa" w:w="244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Dropout 0; LR 2e-4</w:t>
            </w:r>
          </w:p>
        </w:tc>
        <w:tc>
          <w:tcPr>
            <w:tcW w:type="dxa" w:w="453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Common efficient SFT starting point for a small adapter.</w:t>
            </w:r>
          </w:p>
        </w:tc>
        <w:tc>
          <w:tcPr>
            <w:tcW w:type="dxa" w:w="35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Dropout may help small/noisy data; lower LR is safer if loss/behavior is unstable.</w:t>
            </w:r>
          </w:p>
        </w:tc>
      </w:tr>
      <w:tr>
        <w:tc>
          <w:tcPr>
            <w:tcW w:type="dxa" w:w="244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Seq 1,024; batch 1; accum 8</w:t>
            </w:r>
          </w:p>
        </w:tc>
        <w:tc>
          <w:tcPr>
            <w:tcW w:type="dxa" w:w="4536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Fits proven 24 GB smoke runs; effective batch = 8 examples/update.</w:t>
            </w:r>
          </w:p>
        </w:tc>
        <w:tc>
          <w:tcPr>
            <w:tcW w:type="dxa" w:w="352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Longer/bigger raises activation VRAM; smaller context truncates examples.</w:t>
            </w:r>
          </w:p>
        </w:tc>
      </w:tr>
      <w:tr>
        <w:tc>
          <w:tcPr>
            <w:tcW w:type="dxa" w:w="244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1 epoch smoke; 3 configured</w:t>
            </w:r>
          </w:p>
        </w:tc>
        <w:tc>
          <w:tcPr>
            <w:tcW w:type="dxa" w:w="453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One proves the pipeline; more passes may fit style/data.</w:t>
            </w:r>
          </w:p>
        </w:tc>
        <w:tc>
          <w:tcPr>
            <w:tcW w:type="dxa" w:w="35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More can memorize tiny datasets; choose by validation, not training loss alone.</w:t>
            </w:r>
          </w:p>
        </w:tc>
      </w:tr>
    </w:tbl>
    <w:p>
      <w:pPr>
        <w:pStyle w:val="Heading1"/>
      </w:pPr>
      <w:r>
        <w:t>4. Highest-value improvements</w:t>
      </w:r>
    </w:p>
    <w:p>
      <w:pPr>
        <w:pStyle w:val="ListBullet"/>
        <w:spacing w:after="20"/>
        <w:ind w:left="259" w:hanging="173"/>
      </w:pPr>
      <w:r>
        <w:t>Data first: manually fix copied-input question-sharper rows, deduplicate, redact secrets, and add held-out task/style evaluations. Better examples usually beat larger rank or more epochs.</w:t>
      </w:r>
    </w:p>
    <w:p>
      <w:pPr>
        <w:pStyle w:val="ListBullet"/>
        <w:spacing w:after="20"/>
        <w:ind w:left="259" w:hanging="173"/>
      </w:pPr>
      <w:r>
        <w:t>Reproducibility: pin dense and AWQ model revisions; save dataset hashes, seed, package versions, command, GPU, loss, and evaluation scores with every adapter.</w:t>
      </w:r>
    </w:p>
    <w:p>
      <w:pPr>
        <w:pStyle w:val="ListBullet"/>
        <w:spacing w:after="20"/>
        <w:ind w:left="259" w:hanging="173"/>
      </w:pPr>
      <w:r>
        <w:t>Configuration: wire the TRAIN_* keys in model.env to the trainer or remove them; currently they can imply settings that are not used.</w:t>
      </w:r>
    </w:p>
    <w:p>
      <w:pPr>
        <w:pStyle w:val="ListBullet"/>
        <w:spacing w:after="20"/>
        <w:ind w:left="259" w:hanging="173"/>
      </w:pPr>
      <w:r>
        <w:t>Reliability/security: benchmark context × concurrency, add readiness/metrics, and require authenticated TLS ingress before remote access.</w:t>
      </w:r>
    </w:p>
    <w:p>
      <w:pPr>
        <w:pStyle w:val="ListBullet"/>
        <w:spacing w:after="20"/>
        <w:ind w:left="259" w:hanging="173"/>
      </w:pPr>
      <w:r>
        <w:t>Iteration speed: develop data and evaluation on a 4B–8B model, then confirm the final adapter on 27B. Enable gradient checkpointing when memory is marginal.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When to change architecture  </w:t>
            </w:r>
            <w:r>
              <w:t>Use cloud/multi-GPU BF16 LoRA or full fine-tuning only when evaluation proves QLoRA capacity/quantization is the bottleneck. Use retrieval for changing facts; use prompting when behavior does not need persistent learned adaptation.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91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5"/>
      </w:rP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3"/>
        <w:sz w:val="15"/>
      </w:rPr>
      <w:t>QWEN-vLLM-LoRA  |  Design Rationale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color w:val="202A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Repository operations and model training guide</dc:subject>
  <dc:creator>QWEN-vLLM-LoRA repository</dc:creator>
  <cp:keywords>Qwen, vLLM, AWQ, LoRA, QLoRA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