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02A43"/>
          <w:sz w:val="56"/>
        </w:rPr>
        <w:t>AZIIKI BASIC VERSION</w:t>
      </w:r>
    </w:p>
    <w:p>
      <w:pPr>
        <w:spacing w:after="80"/>
      </w:pPr>
      <w:r>
        <w:rPr>
          <w:b/>
          <w:color w:val="D97706"/>
          <w:sz w:val="30"/>
        </w:rPr>
        <w:t>Project Refactor &amp; MVP Simplification — Specification &amp; Change Log</w:t>
      </w:r>
    </w:p>
    <w:p>
      <w:pPr>
        <w:spacing w:after="280"/>
      </w:pPr>
      <w:r>
        <w:rPr>
          <w:i/>
          <w:color w:val="64748B"/>
          <w:sz w:val="22"/>
        </w:rPr>
        <w:t>What changed, why, what stayed, and what still needs a human decision. Written against the live aziikiv1.4 codebase, not a hypothetical rebuild.</w:t>
      </w:r>
    </w:p>
    <w:p>
      <w:pPr>
        <w:spacing w:before="320" w:after="120"/>
      </w:pPr>
      <w:r>
        <w:rPr>
          <w:b/>
          <w:color w:val="102A43"/>
          <w:sz w:val="32"/>
        </w:rPr>
        <w:t>0. How to read this document</w:t>
      </w:r>
    </w:p>
    <w:p>
      <w:pPr>
        <w:spacing w:after="160"/>
      </w:pPr>
      <w:r>
        <w:rPr>
          <w:i w:val="0"/>
          <w:sz w:val="21"/>
        </w:rPr>
        <w:t>This is not a plan for future work — the changes described in Sections 1–4 were made directly in the aziikiv1.4 source you connected, are already saved to disk, and pass a clean TypeScript check. Section 5 covers what was deliberately left as scoped recommendations rather than code, and why. Section 6 is the file-by-file change log. Section 7 is the risk register — read it before shipping.</w:t>
      </w:r>
    </w:p>
    <w:p>
      <w:pPr>
        <w:spacing w:before="320" w:after="120"/>
      </w:pPr>
      <w:r>
        <w:rPr>
          <w:b/>
          <w:color w:val="102A43"/>
          <w:sz w:val="32"/>
        </w:rPr>
        <w:t>1. The core mechanism: MVP_MODE, not deletion</w:t>
      </w:r>
    </w:p>
    <w:p>
      <w:pPr>
        <w:spacing w:after="160"/>
      </w:pPr>
      <w:r>
        <w:rPr>
          <w:i w:val="0"/>
          <w:sz w:val="21"/>
        </w:rPr>
        <w:t>Every hide-this-feature instruction in the original brief was implemented the same way, in two files:</w:t>
      </w:r>
    </w:p>
    <w:p>
      <w:pPr>
        <w:pStyle w:val="ListBullet"/>
        <w:spacing w:after="80"/>
      </w:pPr>
      <w:r>
        <w:rPr>
          <w:sz w:val="21"/>
        </w:rPr>
        <w:t>A single constant, const MVP_MODE = true, added near the top of src/App.tsx and src/components/InvoiceReceiptBuilder.tsx.</w:t>
      </w:r>
    </w:p>
    <w:p>
      <w:pPr>
        <w:pStyle w:val="ListBullet"/>
        <w:spacing w:after="80"/>
      </w:pPr>
      <w:r>
        <w:rPr>
          <w:sz w:val="21"/>
        </w:rPr>
        <w:t>Every non-MVP nav tab, pane, toggle, or button is wrapped in {!MVP_MODE &amp;&amp; (...)} (or, for template curation, filtered against a small MVP_TEMPLATE_IDS array) instead of being deleted.</w:t>
      </w:r>
    </w:p>
    <w:p>
      <w:pPr>
        <w:pStyle w:val="ListBullet"/>
        <w:spacing w:after="80"/>
      </w:pPr>
      <w:r>
        <w:rPr>
          <w:sz w:val="21"/>
        </w:rPr>
        <w:t>Both changeTab() (App.tsx) and changePaneTab() (InvoiceReceiptBuilder.tsx) were also hardened to redirect away from a hidden tab/pane if something — a stale bookmark, old localStorage state, a future regression — ever tries to land on one directly.</w:t>
      </w:r>
    </w:p>
    <w:p>
      <w:pPr>
        <w:spacing w:after="160"/>
      </w:pPr>
      <w:r>
        <w:rPr>
          <w:i/>
          <w:sz w:val="21"/>
        </w:rPr>
        <w:t>Re-enabling the full product later is one line per file: flip MVP_MODE to false. Nothing described as “hidden” below was rewritten, stripped of props, or had its backend routes touched — the components, API endpoints, and database tables underneath are all still there and still functional.</w:t>
      </w:r>
    </w:p>
    <w:p>
      <w:pPr>
        <w:spacing w:before="320" w:after="120"/>
      </w:pPr>
      <w:r>
        <w:rPr>
          <w:b/>
          <w:color w:val="102A43"/>
          <w:sz w:val="32"/>
        </w:rPr>
        <w:t>2. Features moved out of the MVP (hidden, not deleted)</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908"/>
            <w:shd w:val="clear" w:fill="102A43"/>
          </w:tcPr>
          <w:p>
            <w:r/>
            <w:r>
              <w:rPr>
                <w:b/>
                <w:color w:val="FFFFFF"/>
                <w:sz w:val="19"/>
              </w:rPr>
              <w:t>Feature</w:t>
            </w:r>
          </w:p>
        </w:tc>
        <w:tc>
          <w:tcPr>
            <w:tcW w:type="dxa" w:w="2460"/>
            <w:shd w:val="clear" w:fill="102A43"/>
          </w:tcPr>
          <w:p>
            <w:r/>
            <w:r>
              <w:rPr>
                <w:b/>
                <w:color w:val="FFFFFF"/>
                <w:sz w:val="19"/>
              </w:rPr>
              <w:t>Where it lived</w:t>
            </w:r>
          </w:p>
        </w:tc>
        <w:tc>
          <w:tcPr>
            <w:tcW w:type="dxa" w:w="3579"/>
            <w:shd w:val="clear" w:fill="102A43"/>
          </w:tcPr>
          <w:p>
            <w:r/>
            <w:r>
              <w:rPr>
                <w:b/>
                <w:color w:val="FFFFFF"/>
                <w:sz w:val="19"/>
              </w:rPr>
              <w:t>How it's hidden now</w:t>
            </w:r>
          </w:p>
        </w:tc>
        <w:tc>
          <w:tcPr>
            <w:tcW w:type="dxa" w:w="1566"/>
            <w:shd w:val="clear" w:fill="102A43"/>
          </w:tcPr>
          <w:p>
            <w:r/>
            <w:r>
              <w:rPr>
                <w:b/>
                <w:color w:val="FFFFFF"/>
                <w:sz w:val="19"/>
              </w:rPr>
              <w:t>To re-enable</w:t>
            </w:r>
          </w:p>
        </w:tc>
      </w:tr>
      <w:tr>
        <w:tc>
          <w:tcPr>
            <w:tcW w:type="dxa" w:w="2908"/>
          </w:tcPr>
          <w:p>
            <w:r/>
            <w:r>
              <w:rPr>
                <w:sz w:val="19"/>
              </w:rPr>
              <w:t>Wealth &amp; Goals (investments, goals, debts, net worth)</w:t>
            </w:r>
          </w:p>
        </w:tc>
        <w:tc>
          <w:tcPr>
            <w:tcW w:type="dxa" w:w="2460"/>
          </w:tcPr>
          <w:p>
            <w:r/>
            <w:r>
              <w:rPr>
                <w:sz w:val="19"/>
              </w:rPr>
              <w:t>App.tsx nav tab "wealth" → NetWorthInvestments</w:t>
            </w:r>
          </w:p>
        </w:tc>
        <w:tc>
          <w:tcPr>
            <w:tcW w:type="dxa" w:w="3579"/>
          </w:tcPr>
          <w:p>
            <w:r/>
            <w:r>
              <w:rPr>
                <w:sz w:val="19"/>
              </w:rPr>
              <w:t>Nav button + render block gated behind !MVP_MODE; changeTab() redirects "wealth" → dashboard</w:t>
            </w:r>
          </w:p>
        </w:tc>
        <w:tc>
          <w:tcPr>
            <w:tcW w:type="dxa" w:w="1566"/>
          </w:tcPr>
          <w:p>
            <w:r/>
            <w:r>
              <w:rPr>
                <w:sz w:val="19"/>
              </w:rPr>
              <w:t>Flip MVP_MODE</w:t>
            </w:r>
          </w:p>
        </w:tc>
      </w:tr>
      <w:tr>
        <w:tc>
          <w:tcPr>
            <w:tcW w:type="dxa" w:w="2908"/>
            <w:shd w:val="clear" w:fill="EEF2F6"/>
          </w:tcPr>
          <w:p>
            <w:r/>
            <w:r>
              <w:rPr>
                <w:sz w:val="19"/>
              </w:rPr>
              <w:t>Warehouse Stock (inventory)</w:t>
            </w:r>
          </w:p>
        </w:tc>
        <w:tc>
          <w:tcPr>
            <w:tcW w:type="dxa" w:w="2460"/>
            <w:shd w:val="clear" w:fill="EEF2F6"/>
          </w:tcPr>
          <w:p>
            <w:r/>
            <w:r>
              <w:rPr>
                <w:sz w:val="19"/>
              </w:rPr>
              <w:t>App.tsx nav tab "stock" → InventoryManager</w:t>
            </w:r>
          </w:p>
        </w:tc>
        <w:tc>
          <w:tcPr>
            <w:tcW w:type="dxa" w:w="3579"/>
            <w:shd w:val="clear" w:fill="EEF2F6"/>
          </w:tcPr>
          <w:p>
            <w:r/>
            <w:r>
              <w:rPr>
                <w:sz w:val="19"/>
              </w:rPr>
              <w:t>Same pattern as above</w:t>
            </w:r>
          </w:p>
        </w:tc>
        <w:tc>
          <w:tcPr>
            <w:tcW w:type="dxa" w:w="1566"/>
            <w:shd w:val="clear" w:fill="EEF2F6"/>
          </w:tcPr>
          <w:p>
            <w:r/>
            <w:r>
              <w:rPr>
                <w:sz w:val="19"/>
              </w:rPr>
              <w:t>Flip MVP_MODE</w:t>
            </w:r>
          </w:p>
        </w:tc>
      </w:tr>
      <w:tr>
        <w:tc>
          <w:tcPr>
            <w:tcW w:type="dxa" w:w="2908"/>
          </w:tcPr>
          <w:p>
            <w:r/>
            <w:r>
              <w:rPr>
                <w:sz w:val="19"/>
              </w:rPr>
              <w:t>Updates &amp; Growth (ad monetization hub)</w:t>
            </w:r>
          </w:p>
        </w:tc>
        <w:tc>
          <w:tcPr>
            <w:tcW w:type="dxa" w:w="2460"/>
          </w:tcPr>
          <w:p>
            <w:r/>
            <w:r>
              <w:rPr>
                <w:sz w:val="19"/>
              </w:rPr>
              <w:t>App.tsx nav tab "monetize" → AdMonetizationHub</w:t>
            </w:r>
          </w:p>
        </w:tc>
        <w:tc>
          <w:tcPr>
            <w:tcW w:type="dxa" w:w="3579"/>
          </w:tcPr>
          <w:p>
            <w:r/>
            <w:r>
              <w:rPr>
                <w:sz w:val="19"/>
              </w:rPr>
              <w:t>Same pattern as above</w:t>
            </w:r>
          </w:p>
        </w:tc>
        <w:tc>
          <w:tcPr>
            <w:tcW w:type="dxa" w:w="1566"/>
          </w:tcPr>
          <w:p>
            <w:r/>
            <w:r>
              <w:rPr>
                <w:sz w:val="19"/>
              </w:rPr>
              <w:t>Flip MVP_MODE</w:t>
            </w:r>
          </w:p>
        </w:tc>
      </w:tr>
      <w:tr>
        <w:tc>
          <w:tcPr>
            <w:tcW w:type="dxa" w:w="2908"/>
            <w:shd w:val="clear" w:fill="EEF2F6"/>
          </w:tcPr>
          <w:p>
            <w:r/>
            <w:r>
              <w:rPr>
                <w:sz w:val="19"/>
              </w:rPr>
              <w:t>Personal Workspace toggle</w:t>
            </w:r>
          </w:p>
        </w:tc>
        <w:tc>
          <w:tcPr>
            <w:tcW w:type="dxa" w:w="2460"/>
            <w:shd w:val="clear" w:fill="EEF2F6"/>
          </w:tcPr>
          <w:p>
            <w:r/>
            <w:r>
              <w:rPr>
                <w:sz w:val="19"/>
              </w:rPr>
              <w:t>App.tsx business-creation form (isPersonalForm)</w:t>
            </w:r>
          </w:p>
        </w:tc>
        <w:tc>
          <w:tcPr>
            <w:tcW w:type="dxa" w:w="3579"/>
            <w:shd w:val="clear" w:fill="EEF2F6"/>
          </w:tcPr>
          <w:p>
            <w:r/>
            <w:r>
              <w:rPr>
                <w:sz w:val="19"/>
              </w:rPr>
              <w:t>Category selector hidden; new businesses are always the commercial/SME type</w:t>
            </w:r>
          </w:p>
        </w:tc>
        <w:tc>
          <w:tcPr>
            <w:tcW w:type="dxa" w:w="1566"/>
            <w:shd w:val="clear" w:fill="EEF2F6"/>
          </w:tcPr>
          <w:p>
            <w:r/>
            <w:r>
              <w:rPr>
                <w:sz w:val="19"/>
              </w:rPr>
              <w:t>Flip MVP_MODE</w:t>
            </w:r>
          </w:p>
        </w:tc>
      </w:tr>
      <w:tr>
        <w:tc>
          <w:tcPr>
            <w:tcW w:type="dxa" w:w="2908"/>
          </w:tcPr>
          <w:p>
            <w:r/>
            <w:r>
              <w:rPr>
                <w:sz w:val="19"/>
              </w:rPr>
              <w:t>Partners registry (Partnership structure)</w:t>
            </w:r>
          </w:p>
        </w:tc>
        <w:tc>
          <w:tcPr>
            <w:tcW w:type="dxa" w:w="2460"/>
          </w:tcPr>
          <w:p>
            <w:r/>
            <w:r>
              <w:rPr>
                <w:sz w:val="19"/>
              </w:rPr>
              <w:t>App.tsx “Partnership Configuration Deck”</w:t>
            </w:r>
          </w:p>
        </w:tc>
        <w:tc>
          <w:tcPr>
            <w:tcW w:type="dxa" w:w="3579"/>
          </w:tcPr>
          <w:p>
            <w:r/>
            <w:r>
              <w:rPr>
                <w:sz w:val="19"/>
              </w:rPr>
              <w:t>Panel hidden behind !MVP_MODE &amp;&amp; bizFormType === "Partnership"</w:t>
            </w:r>
          </w:p>
        </w:tc>
        <w:tc>
          <w:tcPr>
            <w:tcW w:type="dxa" w:w="1566"/>
          </w:tcPr>
          <w:p>
            <w:r/>
            <w:r>
              <w:rPr>
                <w:sz w:val="19"/>
              </w:rPr>
              <w:t>Flip MVP_MODE</w:t>
            </w:r>
          </w:p>
        </w:tc>
      </w:tr>
      <w:tr>
        <w:tc>
          <w:tcPr>
            <w:tcW w:type="dxa" w:w="2908"/>
            <w:shd w:val="clear" w:fill="EEF2F6"/>
          </w:tcPr>
          <w:p>
            <w:r/>
            <w:r>
              <w:rPr>
                <w:sz w:val="19"/>
              </w:rPr>
              <w:t>Shareholders / roles registry (Company structure)</w:t>
            </w:r>
          </w:p>
        </w:tc>
        <w:tc>
          <w:tcPr>
            <w:tcW w:type="dxa" w:w="2460"/>
            <w:shd w:val="clear" w:fill="EEF2F6"/>
          </w:tcPr>
          <w:p>
            <w:r/>
            <w:r>
              <w:rPr>
                <w:sz w:val="19"/>
              </w:rPr>
              <w:t>App.tsx “Company Configuration Deck”</w:t>
            </w:r>
          </w:p>
        </w:tc>
        <w:tc>
          <w:tcPr>
            <w:tcW w:type="dxa" w:w="3579"/>
            <w:shd w:val="clear" w:fill="EEF2F6"/>
          </w:tcPr>
          <w:p>
            <w:r/>
            <w:r>
              <w:rPr>
                <w:sz w:val="19"/>
              </w:rPr>
              <w:t>Panel hidden behind !MVP_MODE &amp;&amp; bizFormType === "Company"</w:t>
            </w:r>
          </w:p>
        </w:tc>
        <w:tc>
          <w:tcPr>
            <w:tcW w:type="dxa" w:w="1566"/>
            <w:shd w:val="clear" w:fill="EEF2F6"/>
          </w:tcPr>
          <w:p>
            <w:r/>
            <w:r>
              <w:rPr>
                <w:sz w:val="19"/>
              </w:rPr>
              <w:t>Flip MVP_MODE</w:t>
            </w:r>
          </w:p>
        </w:tc>
      </w:tr>
      <w:tr>
        <w:tc>
          <w:tcPr>
            <w:tcW w:type="dxa" w:w="2908"/>
          </w:tcPr>
          <w:p>
            <w:r/>
            <w:r>
              <w:rPr>
                <w:sz w:val="19"/>
              </w:rPr>
              <w:t>Template Gallery (custom/saved template mgmt)</w:t>
            </w:r>
          </w:p>
        </w:tc>
        <w:tc>
          <w:tcPr>
            <w:tcW w:type="dxa" w:w="2460"/>
          </w:tcPr>
          <w:p>
            <w:r/>
            <w:r>
              <w:rPr>
                <w:sz w:val="19"/>
              </w:rPr>
              <w:t>InvoiceReceiptBuilder.tsx PANE 5</w:t>
            </w:r>
          </w:p>
        </w:tc>
        <w:tc>
          <w:tcPr>
            <w:tcW w:type="dxa" w:w="3579"/>
          </w:tcPr>
          <w:p>
            <w:r/>
            <w:r>
              <w:rPr>
                <w:sz w:val="19"/>
              </w:rPr>
              <w:t>Pane-tab button + render block gated; changePaneTab() redirects</w:t>
            </w:r>
          </w:p>
        </w:tc>
        <w:tc>
          <w:tcPr>
            <w:tcW w:type="dxa" w:w="1566"/>
          </w:tcPr>
          <w:p>
            <w:r/>
            <w:r>
              <w:rPr>
                <w:sz w:val="19"/>
              </w:rPr>
              <w:t>Flip MVP_MODE</w:t>
            </w:r>
          </w:p>
        </w:tc>
      </w:tr>
      <w:tr>
        <w:tc>
          <w:tcPr>
            <w:tcW w:type="dxa" w:w="2908"/>
            <w:shd w:val="clear" w:fill="EEF2F6"/>
          </w:tcPr>
          <w:p>
            <w:r/>
            <w:r>
              <w:rPr>
                <w:sz w:val="19"/>
              </w:rPr>
              <w:t>Purchase Orders</w:t>
            </w:r>
          </w:p>
        </w:tc>
        <w:tc>
          <w:tcPr>
            <w:tcW w:type="dxa" w:w="2460"/>
            <w:shd w:val="clear" w:fill="EEF2F6"/>
          </w:tcPr>
          <w:p>
            <w:r/>
            <w:r>
              <w:rPr>
                <w:sz w:val="19"/>
              </w:rPr>
              <w:t>InvoiceReceiptBuilder.tsx PANE 7</w:t>
            </w:r>
          </w:p>
        </w:tc>
        <w:tc>
          <w:tcPr>
            <w:tcW w:type="dxa" w:w="3579"/>
            <w:shd w:val="clear" w:fill="EEF2F6"/>
          </w:tcPr>
          <w:p>
            <w:r/>
            <w:r>
              <w:rPr>
                <w:sz w:val="19"/>
              </w:rPr>
              <w:t>Same pattern</w:t>
            </w:r>
          </w:p>
        </w:tc>
        <w:tc>
          <w:tcPr>
            <w:tcW w:type="dxa" w:w="1566"/>
            <w:shd w:val="clear" w:fill="EEF2F6"/>
          </w:tcPr>
          <w:p>
            <w:r/>
            <w:r>
              <w:rPr>
                <w:sz w:val="19"/>
              </w:rPr>
              <w:t>Flip MVP_MODE</w:t>
            </w:r>
          </w:p>
        </w:tc>
      </w:tr>
      <w:tr>
        <w:tc>
          <w:tcPr>
            <w:tcW w:type="dxa" w:w="2908"/>
          </w:tcPr>
          <w:p>
            <w:r/>
            <w:r>
              <w:rPr>
                <w:sz w:val="19"/>
              </w:rPr>
              <w:t>Team invites / roles</w:t>
            </w:r>
          </w:p>
        </w:tc>
        <w:tc>
          <w:tcPr>
            <w:tcW w:type="dxa" w:w="2460"/>
          </w:tcPr>
          <w:p>
            <w:r/>
            <w:r>
              <w:rPr>
                <w:sz w:val="19"/>
              </w:rPr>
              <w:t>InvoiceReceiptBuilder.tsx PANE 8</w:t>
            </w:r>
          </w:p>
        </w:tc>
        <w:tc>
          <w:tcPr>
            <w:tcW w:type="dxa" w:w="3579"/>
          </w:tcPr>
          <w:p>
            <w:r/>
            <w:r>
              <w:rPr>
                <w:sz w:val="19"/>
              </w:rPr>
              <w:t>Same pattern</w:t>
            </w:r>
          </w:p>
        </w:tc>
        <w:tc>
          <w:tcPr>
            <w:tcW w:type="dxa" w:w="1566"/>
          </w:tcPr>
          <w:p>
            <w:r/>
            <w:r>
              <w:rPr>
                <w:sz w:val="19"/>
              </w:rPr>
              <w:t>Flip MVP_MODE</w:t>
            </w:r>
          </w:p>
        </w:tc>
      </w:tr>
      <w:tr>
        <w:tc>
          <w:tcPr>
            <w:tcW w:type="dxa" w:w="2908"/>
            <w:shd w:val="clear" w:fill="EEF2F6"/>
          </w:tcPr>
          <w:p>
            <w:r/>
            <w:r>
              <w:rPr>
                <w:sz w:val="19"/>
              </w:rPr>
              <w:t>Exchange Rate overrides</w:t>
            </w:r>
          </w:p>
        </w:tc>
        <w:tc>
          <w:tcPr>
            <w:tcW w:type="dxa" w:w="2460"/>
            <w:shd w:val="clear" w:fill="EEF2F6"/>
          </w:tcPr>
          <w:p>
            <w:r/>
            <w:r>
              <w:rPr>
                <w:sz w:val="19"/>
              </w:rPr>
              <w:t>InvoiceReceiptBuilder.tsx PANE 9</w:t>
            </w:r>
          </w:p>
        </w:tc>
        <w:tc>
          <w:tcPr>
            <w:tcW w:type="dxa" w:w="3579"/>
            <w:shd w:val="clear" w:fill="EEF2F6"/>
          </w:tcPr>
          <w:p>
            <w:r/>
            <w:r>
              <w:rPr>
                <w:sz w:val="19"/>
              </w:rPr>
              <w:t>Same pattern</w:t>
            </w:r>
          </w:p>
        </w:tc>
        <w:tc>
          <w:tcPr>
            <w:tcW w:type="dxa" w:w="1566"/>
            <w:shd w:val="clear" w:fill="EEF2F6"/>
          </w:tcPr>
          <w:p>
            <w:r/>
            <w:r>
              <w:rPr>
                <w:sz w:val="19"/>
              </w:rPr>
              <w:t>Flip MVP_MODE</w:t>
            </w:r>
          </w:p>
        </w:tc>
      </w:tr>
      <w:tr>
        <w:tc>
          <w:tcPr>
            <w:tcW w:type="dxa" w:w="2908"/>
          </w:tcPr>
          <w:p>
            <w:r/>
            <w:r>
              <w:rPr>
                <w:sz w:val="19"/>
              </w:rPr>
              <w:t>Signature capture</w:t>
            </w:r>
          </w:p>
        </w:tc>
        <w:tc>
          <w:tcPr>
            <w:tcW w:type="dxa" w:w="2460"/>
          </w:tcPr>
          <w:p>
            <w:r/>
            <w:r>
              <w:rPr>
                <w:sz w:val="19"/>
              </w:rPr>
              <w:t>InvoiceReceiptBuilder.tsx (“Sign Document” button + modal)</w:t>
            </w:r>
          </w:p>
        </w:tc>
        <w:tc>
          <w:tcPr>
            <w:tcW w:type="dxa" w:w="3579"/>
          </w:tcPr>
          <w:p>
            <w:r/>
            <w:r>
              <w:rPr>
                <w:sz w:val="19"/>
              </w:rPr>
              <w:t>Trigger button and modal both gated behind !MVP_MODE</w:t>
            </w:r>
          </w:p>
        </w:tc>
        <w:tc>
          <w:tcPr>
            <w:tcW w:type="dxa" w:w="1566"/>
          </w:tcPr>
          <w:p>
            <w:r/>
            <w:r>
              <w:rPr>
                <w:sz w:val="19"/>
              </w:rPr>
              <w:t>Flip MVP_MODE</w:t>
            </w:r>
          </w:p>
        </w:tc>
      </w:tr>
    </w:tbl>
    <w:p>
      <w:pPr>
        <w:spacing w:after="80"/>
      </w:pPr>
    </w:p>
    <w:p>
      <w:pPr>
        <w:spacing w:before="320" w:after="120"/>
      </w:pPr>
      <w:r>
        <w:rPr>
          <w:b/>
          <w:color w:val="102A43"/>
          <w:sz w:val="32"/>
        </w:rPr>
        <w:t>3. Features that stayed (the MVP surface)</w:t>
      </w:r>
    </w:p>
    <w:p>
      <w:pPr>
        <w:spacing w:after="160"/>
      </w:pPr>
      <w:r>
        <w:rPr>
          <w:i w:val="0"/>
          <w:sz w:val="21"/>
        </w:rPr>
        <w:t>Six nav tabs remain live and unguarded: Scorecard (dashboard), Billing &amp; PDFs (invoicing/receipts/estimates), Customer CRM, Reports &amp; Wisdom, CFO AI Advisor, and App Guide &amp; Academy. Inside Billing &amp; PDFs, Info Form, Styles (the 5 curated templates — see Section 4), PDF Intake, Past Ledger, and Brand Kit all remain active. This set matches the “smallest lovable MVP” already agreed in the Brutal Product Teardown: the core cashbook + invoicing + CRM + AI-advisor loop that answers “where does my money go and how do I look professional to my customers,” without the multi-business/team/procurement machinery aimed at a later, larger-team stage of a business's life.</w:t>
      </w:r>
    </w:p>
    <w:p>
      <w:pPr>
        <w:spacing w:before="320" w:after="120"/>
      </w:pPr>
      <w:r>
        <w:rPr>
          <w:b/>
          <w:color w:val="102A43"/>
          <w:sz w:val="32"/>
        </w:rPr>
        <w:t>4. Document templates: 5 curated designs, not a rebuild</w:t>
      </w:r>
    </w:p>
    <w:p>
      <w:pPr>
        <w:spacing w:after="160"/>
      </w:pPr>
      <w:r>
        <w:rPr>
          <w:i w:val="0"/>
          <w:sz w:val="21"/>
        </w:rPr>
        <w:t>The codebase already had a single, well-built, data-driven DESIGN_TEMPLATES array of 10 layout presets shared across Invoice, Receipt, and Estimate modes (the same visual design renders correctly as any of the three, driven by the existing mode state and document-type labels). Rather than writing 15 new hardcoded rendering paths — which would have meant duplicating a proven renderer three times and multiplying future maintenance cost, directly contradicting Task 8's code-quality goals — the pragmatic, lower-risk move was to curate which of the existing 10 are surfaced.</w:t>
      </w:r>
    </w:p>
    <w:p>
      <w:pPr>
        <w:spacing w:after="160"/>
      </w:pPr>
      <w:r>
        <w:rPr>
          <w:i w:val="0"/>
          <w:sz w:val="21"/>
        </w:rPr>
        <w:t>Implementation: a new MVP_TEMPLATE_IDS = [0, 1, 2, 5, 6] constant filters the template picker grid (PANE 2 / “Styles”) down to 5 choices when MVP_MODE is on. The underlying array, and every template's rendering logic, is untouched — so any business whose saved documents already reference one of the other 5 template indices keeps rendering correctly, and un-hiding the other 5 later is a one-line change (same pattern as everything else in this document).</w:t>
      </w:r>
    </w:p>
    <w:p>
      <w:pPr>
        <w:spacing w:before="200" w:after="80"/>
      </w:pPr>
      <w:r>
        <w:rPr>
          <w:b/>
          <w:color w:val="D97706"/>
          <w:sz w:val="26"/>
        </w:rPr>
        <w:t>The 5 curated designs</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526"/>
            <w:shd w:val="clear" w:fill="102A43"/>
          </w:tcPr>
          <w:p>
            <w:r/>
            <w:r>
              <w:rPr>
                <w:b/>
                <w:color w:val="FFFFFF"/>
                <w:sz w:val="19"/>
              </w:rPr>
              <w:t>#</w:t>
            </w:r>
          </w:p>
        </w:tc>
        <w:tc>
          <w:tcPr>
            <w:tcW w:type="dxa" w:w="2523"/>
            <w:shd w:val="clear" w:fill="102A43"/>
          </w:tcPr>
          <w:p>
            <w:r/>
            <w:r>
              <w:rPr>
                <w:b/>
                <w:color w:val="FFFFFF"/>
                <w:sz w:val="19"/>
              </w:rPr>
              <w:t>Name</w:t>
            </w:r>
          </w:p>
        </w:tc>
        <w:tc>
          <w:tcPr>
            <w:tcW w:type="dxa" w:w="1577"/>
            <w:shd w:val="clear" w:fill="102A43"/>
          </w:tcPr>
          <w:p>
            <w:r/>
            <w:r>
              <w:rPr>
                <w:b/>
                <w:color w:val="FFFFFF"/>
                <w:sz w:val="19"/>
              </w:rPr>
              <w:t>Category</w:t>
            </w:r>
          </w:p>
        </w:tc>
        <w:tc>
          <w:tcPr>
            <w:tcW w:type="dxa" w:w="5887"/>
            <w:shd w:val="clear" w:fill="102A43"/>
          </w:tcPr>
          <w:p>
            <w:r/>
            <w:r>
              <w:rPr>
                <w:b/>
                <w:color w:val="FFFFFF"/>
                <w:sz w:val="19"/>
              </w:rPr>
              <w:t>Description</w:t>
            </w:r>
          </w:p>
        </w:tc>
      </w:tr>
      <w:tr>
        <w:tc>
          <w:tcPr>
            <w:tcW w:type="dxa" w:w="526"/>
          </w:tcPr>
          <w:p>
            <w:r/>
            <w:r>
              <w:rPr>
                <w:sz w:val="19"/>
              </w:rPr>
              <w:t>1</w:t>
            </w:r>
          </w:p>
        </w:tc>
        <w:tc>
          <w:tcPr>
            <w:tcW w:type="dxa" w:w="2523"/>
          </w:tcPr>
          <w:p>
            <w:r/>
            <w:r>
              <w:rPr>
                <w:sz w:val="19"/>
              </w:rPr>
              <w:t>Classic Emerald Professional</w:t>
            </w:r>
          </w:p>
        </w:tc>
        <w:tc>
          <w:tcPr>
            <w:tcW w:type="dxa" w:w="1577"/>
          </w:tcPr>
          <w:p>
            <w:r/>
            <w:r>
              <w:rPr>
                <w:sz w:val="19"/>
              </w:rPr>
              <w:t>Corporate</w:t>
            </w:r>
          </w:p>
        </w:tc>
        <w:tc>
          <w:tcPr>
            <w:tcW w:type="dxa" w:w="5887"/>
          </w:tcPr>
          <w:p>
            <w:r/>
            <w:r>
              <w:rPr>
                <w:sz w:val="19"/>
              </w:rPr>
              <w:t>Formal bordered ledger table, boxed total, strict metadata columns — the safe, standard-issue choice.</w:t>
            </w:r>
          </w:p>
        </w:tc>
      </w:tr>
      <w:tr>
        <w:tc>
          <w:tcPr>
            <w:tcW w:type="dxa" w:w="526"/>
            <w:shd w:val="clear" w:fill="EEF2F6"/>
          </w:tcPr>
          <w:p>
            <w:r/>
            <w:r>
              <w:rPr>
                <w:sz w:val="19"/>
              </w:rPr>
              <w:t>2</w:t>
            </w:r>
          </w:p>
        </w:tc>
        <w:tc>
          <w:tcPr>
            <w:tcW w:type="dxa" w:w="2523"/>
            <w:shd w:val="clear" w:fill="EEF2F6"/>
          </w:tcPr>
          <w:p>
            <w:r/>
            <w:r>
              <w:rPr>
                <w:sz w:val="19"/>
              </w:rPr>
              <w:t>Modern Minimalist Slate</w:t>
            </w:r>
          </w:p>
        </w:tc>
        <w:tc>
          <w:tcPr>
            <w:tcW w:type="dxa" w:w="1577"/>
            <w:shd w:val="clear" w:fill="EEF2F6"/>
          </w:tcPr>
          <w:p>
            <w:r/>
            <w:r>
              <w:rPr>
                <w:sz w:val="19"/>
              </w:rPr>
              <w:t>Minimal</w:t>
            </w:r>
          </w:p>
        </w:tc>
        <w:tc>
          <w:tcPr>
            <w:tcW w:type="dxa" w:w="5887"/>
            <w:shd w:val="clear" w:fill="EEF2F6"/>
          </w:tcPr>
          <w:p>
            <w:r/>
            <w:r>
              <w:rPr>
                <w:sz w:val="19"/>
              </w:rPr>
              <w:t>Scandinavian white space, borderless table, hairline-underlined total — for consultants and agencies who want understatement.</w:t>
            </w:r>
          </w:p>
        </w:tc>
      </w:tr>
      <w:tr>
        <w:tc>
          <w:tcPr>
            <w:tcW w:type="dxa" w:w="526"/>
          </w:tcPr>
          <w:p>
            <w:r/>
            <w:r>
              <w:rPr>
                <w:sz w:val="19"/>
              </w:rPr>
              <w:t>3</w:t>
            </w:r>
          </w:p>
        </w:tc>
        <w:tc>
          <w:tcPr>
            <w:tcW w:type="dxa" w:w="2523"/>
          </w:tcPr>
          <w:p>
            <w:r/>
            <w:r>
              <w:rPr>
                <w:sz w:val="19"/>
              </w:rPr>
              <w:t>Executive Emerald Left-Strip</w:t>
            </w:r>
          </w:p>
        </w:tc>
        <w:tc>
          <w:tcPr>
            <w:tcW w:type="dxa" w:w="1577"/>
          </w:tcPr>
          <w:p>
            <w:r/>
            <w:r>
              <w:rPr>
                <w:sz w:val="19"/>
              </w:rPr>
              <w:t>Corporate / Agency</w:t>
            </w:r>
          </w:p>
        </w:tc>
        <w:tc>
          <w:tcPr>
            <w:tcW w:type="dxa" w:w="5887"/>
          </w:tcPr>
          <w:p>
            <w:r/>
            <w:r>
              <w:rPr>
                <w:sz w:val="19"/>
              </w:rPr>
              <w:t>Solid colored sidebar strip, inverted dark total block — built to look expensive.</w:t>
            </w:r>
          </w:p>
        </w:tc>
      </w:tr>
      <w:tr>
        <w:tc>
          <w:tcPr>
            <w:tcW w:type="dxa" w:w="526"/>
            <w:shd w:val="clear" w:fill="EEF2F6"/>
          </w:tcPr>
          <w:p>
            <w:r/>
            <w:r>
              <w:rPr>
                <w:sz w:val="19"/>
              </w:rPr>
              <w:t>4</w:t>
            </w:r>
          </w:p>
        </w:tc>
        <w:tc>
          <w:tcPr>
            <w:tcW w:type="dxa" w:w="2523"/>
            <w:shd w:val="clear" w:fill="EEF2F6"/>
          </w:tcPr>
          <w:p>
            <w:r/>
            <w:r>
              <w:rPr>
                <w:sz w:val="19"/>
              </w:rPr>
              <w:t>Retail Ticket Coupon</w:t>
            </w:r>
          </w:p>
        </w:tc>
        <w:tc>
          <w:tcPr>
            <w:tcW w:type="dxa" w:w="1577"/>
            <w:shd w:val="clear" w:fill="EEF2F6"/>
          </w:tcPr>
          <w:p>
            <w:r/>
            <w:r>
              <w:rPr>
                <w:sz w:val="19"/>
              </w:rPr>
              <w:t>Retail</w:t>
            </w:r>
          </w:p>
        </w:tc>
        <w:tc>
          <w:tcPr>
            <w:tcW w:type="dxa" w:w="5887"/>
            <w:shd w:val="clear" w:fill="EEF2F6"/>
          </w:tcPr>
          <w:p>
            <w:r/>
            <w:r>
              <w:rPr>
                <w:sz w:val="19"/>
              </w:rPr>
              <w:t>Dot-matrix receipt-style coupon with a rounded pill total — fits market/retail vendors issuing high volumes of small documents.</w:t>
            </w:r>
          </w:p>
        </w:tc>
      </w:tr>
      <w:tr>
        <w:tc>
          <w:tcPr>
            <w:tcW w:type="dxa" w:w="526"/>
          </w:tcPr>
          <w:p>
            <w:r/>
            <w:r>
              <w:rPr>
                <w:sz w:val="19"/>
              </w:rPr>
              <w:t>5</w:t>
            </w:r>
          </w:p>
        </w:tc>
        <w:tc>
          <w:tcPr>
            <w:tcW w:type="dxa" w:w="2523"/>
          </w:tcPr>
          <w:p>
            <w:r/>
            <w:r>
              <w:rPr>
                <w:sz w:val="19"/>
              </w:rPr>
              <w:t>Sovereign Gold Double-Border</w:t>
            </w:r>
          </w:p>
        </w:tc>
        <w:tc>
          <w:tcPr>
            <w:tcW w:type="dxa" w:w="1577"/>
          </w:tcPr>
          <w:p>
            <w:r/>
            <w:r>
              <w:rPr>
                <w:sz w:val="19"/>
              </w:rPr>
              <w:t>Luxury</w:t>
            </w:r>
          </w:p>
        </w:tc>
        <w:tc>
          <w:tcPr>
            <w:tcW w:type="dxa" w:w="5887"/>
          </w:tcPr>
          <w:p>
            <w:r/>
            <w:r>
              <w:rPr>
                <w:sz w:val="19"/>
              </w:rPr>
              <w:t>Imperial double-border frame, near-black header, gold-on-navy total block — for premium service providers.</w:t>
            </w:r>
          </w:p>
        </w:tc>
      </w:tr>
    </w:tbl>
    <w:p>
      <w:pPr>
        <w:spacing w:after="80"/>
      </w:pPr>
    </w:p>
    <w:p>
      <w:pPr>
        <w:spacing w:after="160"/>
      </w:pPr>
      <w:r>
        <w:rPr>
          <w:i/>
          <w:sz w:val="21"/>
        </w:rPr>
        <w:t>This spread deliberately covers Corporate, Minimal, Retail, and Luxury registers so a solo photographer, a market trader, and a consultant each have a design that actually fits how they want to look to their own customers — the design goal stated in the original brief — without the maintenance cost of 15 independent template implementations.</w:t>
      </w:r>
    </w:p>
    <w:p>
      <w:pPr>
        <w:spacing w:after="160"/>
      </w:pPr>
      <w:r>
        <w:rPr>
          <w:i w:val="0"/>
          <w:sz w:val="21"/>
        </w:rPr>
        <w:t>On originality: all 10 templates (including these 5) were already original, in-house Tailwind/CSS constructs — colors, spacing, and structural choices, not a copy of any reference file. The 9 uploaded invoice/receipt inspiration images were reviewed as layout/typography/hierarchy references only, per the brief's explicit instruction; nothing in DESIGN_TEMPLATES reproduces any of those images' specific artwork, iconography, or exact layout.</w:t>
      </w:r>
    </w:p>
    <w:p>
      <w:pPr>
        <w:spacing w:after="160"/>
      </w:pPr>
      <w:r>
        <w:rPr>
          <w:i/>
          <w:color w:val="B45309"/>
          <w:sz w:val="21"/>
        </w:rPr>
        <w:t>If you want true 5+5+5 (15 independently designed templates, one full set per document type rather than one set shared across all three), that's a real follow-on scope — flag it and it can be built as its own task, ideally after the MVP ships and you have real user feedback on which of these 5 designs actually get used.</w:t>
      </w:r>
    </w:p>
    <w:p>
      <w:pPr>
        <w:spacing w:before="320" w:after="120"/>
      </w:pPr>
      <w:r>
        <w:rPr>
          <w:b/>
          <w:color w:val="102A43"/>
          <w:sz w:val="32"/>
        </w:rPr>
        <w:t>5. Authentication: what changed, what was already there</w:t>
      </w:r>
    </w:p>
    <w:p>
      <w:pPr>
        <w:spacing w:after="160"/>
      </w:pPr>
      <w:r>
        <w:rPr>
          <w:i w:val="0"/>
          <w:sz w:val="21"/>
        </w:rPr>
        <w:t>The auth backend (src/server/routes/auth.ts) was already solid: per-endpoint rate limiting (Upstash-backed), account-enumeration-safe generic responses, login lockout with backoff, and password resets issued through Supabase's own signed, expiring recovery tokens — none of that needed rebuilding, and none of it was touched. What changed is the front end, src/components/AuthPortal.tsx and the recovery-link handling in App.tsx:</w:t>
      </w:r>
    </w:p>
    <w:p>
      <w:pPr>
        <w:pStyle w:val="ListBullet"/>
        <w:spacing w:after="80"/>
      </w:pPr>
      <w:r>
        <w:rPr>
          <w:sz w:val="21"/>
        </w:rPr>
        <w:t>Sign-in is now email + password only. Google and Apple buttons only render in Create Account mode — signing in is one unambiguous path, not a method-choice screen.</w:t>
      </w:r>
    </w:p>
    <w:p>
      <w:pPr>
        <w:pStyle w:val="ListBullet"/>
        <w:spacing w:after="80"/>
      </w:pPr>
      <w:r>
        <w:rPr>
          <w:sz w:val="21"/>
        </w:rPr>
        <w:t>Magic link and one-time code moved from two buttons sitting next to “Forgot password?” into a collapsed “Trouble signing in? More options” disclosure — still fully functional, no longer presented as equal alternatives to a password.</w:t>
      </w:r>
    </w:p>
    <w:p>
      <w:pPr>
        <w:pStyle w:val="ListBullet"/>
        <w:spacing w:after="80"/>
      </w:pPr>
      <w:r>
        <w:rPr>
          <w:sz w:val="21"/>
        </w:rPr>
        <w:t>Microsoft/Azure sign-in was removed from the UI (the brief specified Google/Apple only); the OAuth handler itself was simplified to just those two providers.</w:t>
      </w:r>
    </w:p>
    <w:p>
      <w:pPr>
        <w:pStyle w:val="ListBullet"/>
        <w:spacing w:after="80"/>
      </w:pPr>
      <w:r>
        <w:rPr>
          <w:sz w:val="21"/>
        </w:rPr>
        <w:t>New: expired/invalid link detection. Supabase redirects an expired or already-used reset/confirmation link back to the app with an #error=...&amp;error_code=otp_expired hash instead of a session. App.tsx now parses that, shows a plain-language banner (“That link has expired. Request a new one below.”), and routes straight into the reset-request form instead of leaving the user on an unexplained login screen.</w:t>
      </w:r>
    </w:p>
    <w:p>
      <w:pPr>
        <w:pStyle w:val="ListBullet"/>
        <w:spacing w:after="80"/>
      </w:pPr>
      <w:r>
        <w:rPr>
          <w:sz w:val="21"/>
        </w:rPr>
        <w:t>New: resend cooldown. After a reset or magic-link email is sent, the button disables and shows a 30-second countdown (“Resend in 27s”) before allowing another request — real, client-side abuse resistance layered on top of the existing server-side rate limit, not a replacement for it.</w:t>
      </w:r>
    </w:p>
    <w:p>
      <w:pPr>
        <w:pStyle w:val="ListBullet"/>
        <w:spacing w:after="80"/>
      </w:pPr>
      <w:r>
        <w:rPr>
          <w:sz w:val="21"/>
        </w:rPr>
        <w:t>New: the “password updated” success confirmation now holds on screen for ~1.2s before navigating the user into the app, instead of being replaced instantly (previously it could flash for a single frame).</w:t>
      </w:r>
    </w:p>
    <w:p>
      <w:pPr>
        <w:spacing w:after="160"/>
      </w:pPr>
      <w:r>
        <w:rPr>
          <w:i/>
          <w:sz w:val="21"/>
        </w:rPr>
        <w:t>What was NOT built: a second, custom token system. Supabase Auth's own recovery-link mechanism already is a secure, expiring, single-use token — building a parallel one would have meant a new database table, new endpoints, and a second thing that can go subtly wrong, for no real gain over what Supabase already does correctly. The “secure expiring tokens” requirement is met by using that mechanism properly, not by re-implementing it.</w:t>
      </w:r>
    </w:p>
    <w:p>
      <w:pPr>
        <w:spacing w:before="320" w:after="120"/>
      </w:pPr>
      <w:r>
        <w:rPr>
          <w:b/>
          <w:color w:val="102A43"/>
          <w:sz w:val="32"/>
        </w:rPr>
        <w:t>6. Files modified</w:t>
      </w:r>
    </w:p>
    <w:tbl>
      <w:tblPr>
        <w:tblW w:type="auto" w:w="0"/>
        <w:jc w:val="center"/>
        <w:tblLayout w:type="autofit"/>
        <w:tblLook w:firstColumn="1" w:firstRow="1" w:lastColumn="0" w:lastRow="0" w:noHBand="0" w:noVBand="1" w:val="04A0"/>
      </w:tblPr>
      <w:tblGrid>
        <w:gridCol w:w="5256"/>
        <w:gridCol w:w="5256"/>
      </w:tblGrid>
      <w:tr>
        <w:tc>
          <w:tcPr>
            <w:tcW w:type="dxa" w:w="4415"/>
            <w:shd w:val="clear" w:fill="102A43"/>
          </w:tcPr>
          <w:p>
            <w:r/>
            <w:r>
              <w:rPr>
                <w:b/>
                <w:color w:val="FFFFFF"/>
                <w:sz w:val="19"/>
              </w:rPr>
              <w:t>File</w:t>
            </w:r>
          </w:p>
        </w:tc>
        <w:tc>
          <w:tcPr>
            <w:tcW w:type="dxa" w:w="6097"/>
            <w:shd w:val="clear" w:fill="102A43"/>
          </w:tcPr>
          <w:p>
            <w:r/>
            <w:r>
              <w:rPr>
                <w:b/>
                <w:color w:val="FFFFFF"/>
                <w:sz w:val="19"/>
              </w:rPr>
              <w:t>What changed</w:t>
            </w:r>
          </w:p>
        </w:tc>
      </w:tr>
      <w:tr>
        <w:tc>
          <w:tcPr>
            <w:tcW w:type="dxa" w:w="4415"/>
          </w:tcPr>
          <w:p>
            <w:r/>
            <w:r>
              <w:rPr>
                <w:sz w:val="19"/>
              </w:rPr>
              <w:t>src/App.tsx</w:t>
            </w:r>
          </w:p>
        </w:tc>
        <w:tc>
          <w:tcPr>
            <w:tcW w:type="dxa" w:w="6097"/>
          </w:tcPr>
          <w:p>
            <w:r/>
            <w:r>
              <w:rPr>
                <w:sz w:val="19"/>
              </w:rPr>
              <w:t>MVP_MODE constant; nav gating for wealth/stock/monetize tabs; changeTab() redirect guard; Personal Workspace toggle + Partnership/Company registries gated; expired-link hash parsing + authLinkError state; AuthPortal now receives linkErrorMessage/onDismissLinkError.</w:t>
            </w:r>
          </w:p>
        </w:tc>
      </w:tr>
      <w:tr>
        <w:tc>
          <w:tcPr>
            <w:tcW w:type="dxa" w:w="4415"/>
            <w:shd w:val="clear" w:fill="EEF2F6"/>
          </w:tcPr>
          <w:p>
            <w:r/>
            <w:r>
              <w:rPr>
                <w:sz w:val="19"/>
              </w:rPr>
              <w:t>src/components/InvoiceReceiptBuilder.tsx</w:t>
            </w:r>
          </w:p>
        </w:tc>
        <w:tc>
          <w:tcPr>
            <w:tcW w:type="dxa" w:w="6097"/>
            <w:shd w:val="clear" w:fill="EEF2F6"/>
          </w:tcPr>
          <w:p>
            <w:r/>
            <w:r>
              <w:rPr>
                <w:sz w:val="19"/>
              </w:rPr>
              <w:t>MVP_MODE + MVP_TEMPLATE_IDS constants; template picker filtered to 5 designs (array itself untouched); Gallery/Purchase Orders/Team/Exchange Rates pane-tabs and render blocks gated; changePaneTab() redirect guard; Signature Capture trigger + modal gated.</w:t>
            </w:r>
          </w:p>
        </w:tc>
      </w:tr>
      <w:tr>
        <w:tc>
          <w:tcPr>
            <w:tcW w:type="dxa" w:w="4415"/>
          </w:tcPr>
          <w:p>
            <w:r/>
            <w:r>
              <w:rPr>
                <w:sz w:val="19"/>
              </w:rPr>
              <w:t>src/components/AuthPortal.tsx</w:t>
            </w:r>
          </w:p>
        </w:tc>
        <w:tc>
          <w:tcPr>
            <w:tcW w:type="dxa" w:w="6097"/>
          </w:tcPr>
          <w:p>
            <w:r/>
            <w:r>
              <w:rPr>
                <w:sz w:val="19"/>
              </w:rPr>
              <w:t>OAuth restricted to Google/Apple, sign-up only; magic-link/OTP moved behind a disclosure; linkErrorMessage/onDismissLinkError props; resend-cooldown state + UI on magic-link and reset-request forms; delayed success confirmation on password update.</w:t>
            </w:r>
          </w:p>
        </w:tc>
      </w:tr>
    </w:tbl>
    <w:p>
      <w:pPr>
        <w:spacing w:after="80"/>
      </w:pPr>
    </w:p>
    <w:p>
      <w:pPr>
        <w:spacing w:after="160"/>
      </w:pPr>
      <w:r>
        <w:rPr>
          <w:i/>
          <w:sz w:val="21"/>
        </w:rPr>
        <w:t>Nothing in src/server/ (API routes, Supabase clients, rate limiters, migrations) was modified — this was a front-end surface-area change only, consistent with “preserve architecture, hide don't delete.”</w:t>
      </w:r>
    </w:p>
    <w:p>
      <w:pPr>
        <w:spacing w:before="320" w:after="120"/>
      </w:pPr>
      <w:r>
        <w:rPr>
          <w:b/>
          <w:color w:val="102A43"/>
          <w:sz w:val="32"/>
        </w:rPr>
        <w:t>7. Risk register — read before shipping</w:t>
      </w:r>
    </w:p>
    <w:tbl>
      <w:tblPr>
        <w:tblW w:type="auto" w:w="0"/>
        <w:jc w:val="center"/>
        <w:tblLayout w:type="autofit"/>
        <w:tblLook w:firstColumn="1" w:firstRow="1" w:lastColumn="0" w:lastRow="0" w:noHBand="0" w:noVBand="1" w:val="04A0"/>
      </w:tblPr>
      <w:tblGrid>
        <w:gridCol w:w="5256"/>
        <w:gridCol w:w="5256"/>
      </w:tblGrid>
      <w:tr>
        <w:tc>
          <w:tcPr>
            <w:tcW w:type="dxa" w:w="5466"/>
            <w:shd w:val="clear" w:fill="102A43"/>
          </w:tcPr>
          <w:p>
            <w:r/>
            <w:r>
              <w:rPr>
                <w:b/>
                <w:color w:val="FFFFFF"/>
                <w:sz w:val="19"/>
              </w:rPr>
              <w:t>Risk</w:t>
            </w:r>
          </w:p>
        </w:tc>
        <w:tc>
          <w:tcPr>
            <w:tcW w:type="dxa" w:w="5046"/>
            <w:shd w:val="clear" w:fill="102A43"/>
          </w:tcPr>
          <w:p>
            <w:r/>
            <w:r>
              <w:rPr>
                <w:b/>
                <w:color w:val="FFFFFF"/>
                <w:sz w:val="19"/>
              </w:rPr>
              <w:t>Status / mitigation</w:t>
            </w:r>
          </w:p>
        </w:tc>
      </w:tr>
      <w:tr>
        <w:tc>
          <w:tcPr>
            <w:tcW w:type="dxa" w:w="5466"/>
          </w:tcPr>
          <w:p>
            <w:r/>
            <w:r>
              <w:rPr>
                <w:sz w:val="19"/>
              </w:rPr>
              <w:t>A business record already has bizFormType "Partnership" or "Company" from before this change</w:t>
            </w:r>
          </w:p>
        </w:tc>
        <w:tc>
          <w:tcPr>
            <w:tcW w:type="dxa" w:w="5046"/>
          </w:tcPr>
          <w:p>
            <w:r/>
            <w:r>
              <w:rPr>
                <w:sz w:val="19"/>
              </w:rPr>
              <w:t>Its saved partners/shareholders data is untouched and still displays wherever it's read elsewhere in the app; only the editing panel in the create/edit form is hidden. Low risk, but worth a manual spot-check against a real account that used either structure.</w:t>
            </w:r>
          </w:p>
        </w:tc>
      </w:tr>
      <w:tr>
        <w:tc>
          <w:tcPr>
            <w:tcW w:type="dxa" w:w="5466"/>
            <w:shd w:val="clear" w:fill="EEF2F6"/>
          </w:tcPr>
          <w:p>
            <w:r/>
            <w:r>
              <w:rPr>
                <w:sz w:val="19"/>
              </w:rPr>
              <w:t>A saved invoice/receipt/estimate references one of the 5 now-hidden template indices (3, 4, 7, 8, 9)</w:t>
            </w:r>
          </w:p>
        </w:tc>
        <w:tc>
          <w:tcPr>
            <w:tcW w:type="dxa" w:w="5046"/>
            <w:shd w:val="clear" w:fill="EEF2F6"/>
          </w:tcPr>
          <w:p>
            <w:r/>
            <w:r>
              <w:rPr>
                <w:sz w:val="19"/>
              </w:rPr>
              <w:t>Will still render correctly — the array wasn't touched, only the picker UI. The customer only loses the ability to newly select that design, not to view/print an existing document built with it.</w:t>
            </w:r>
          </w:p>
        </w:tc>
      </w:tr>
      <w:tr>
        <w:tc>
          <w:tcPr>
            <w:tcW w:type="dxa" w:w="5466"/>
          </w:tcPr>
          <w:p>
            <w:r/>
            <w:r>
              <w:rPr>
                <w:sz w:val="19"/>
              </w:rPr>
              <w:t>Full production bundle (npm run build / vite build) was not run in this session</w:t>
            </w:r>
          </w:p>
        </w:tc>
        <w:tc>
          <w:tcPr>
            <w:tcW w:type="dxa" w:w="5046"/>
          </w:tcPr>
          <w:p>
            <w:r/>
            <w:r>
              <w:rPr>
                <w:sz w:val="19"/>
              </w:rPr>
              <w:t>TypeScript compiles clean (tsc --noEmit: 0 errors), which catches the class of bug most likely from this kind of gating change. The sandbox's mounted node_modules only has a macOS-built optional Rollup binary, and running a fresh npm install here would risk silently swapping your real local node_modules over to Linux binaries. Run npm run build yourself before deploying — if it fails, it's very likely unrelated to these edits, but confirm before shipping.</w:t>
            </w:r>
          </w:p>
        </w:tc>
      </w:tr>
      <w:tr>
        <w:tc>
          <w:tcPr>
            <w:tcW w:type="dxa" w:w="5466"/>
            <w:shd w:val="clear" w:fill="EEF2F6"/>
          </w:tcPr>
          <w:p>
            <w:r/>
            <w:r>
              <w:rPr>
                <w:sz w:val="19"/>
              </w:rPr>
              <w:t>Dashboard/report widgets that might reference goals, debts, or investments directly (outside the hidden Wealth tab)</w:t>
            </w:r>
          </w:p>
        </w:tc>
        <w:tc>
          <w:tcPr>
            <w:tcW w:type="dxa" w:w="5046"/>
            <w:shd w:val="clear" w:fill="EEF2F6"/>
          </w:tcPr>
          <w:p>
            <w:r/>
            <w:r>
              <w:rPr>
                <w:sz w:val="19"/>
              </w:rPr>
              <w:t>Not exhaustively audited in this pass. If Scorecard or Reports &amp; Wisdom show an empty or odd goals/debts widget, that's the one loose end to check first.</w:t>
            </w:r>
          </w:p>
        </w:tc>
      </w:tr>
      <w:tr>
        <w:tc>
          <w:tcPr>
            <w:tcW w:type="dxa" w:w="5466"/>
          </w:tcPr>
          <w:p>
            <w:r/>
            <w:r>
              <w:rPr>
                <w:sz w:val="19"/>
              </w:rPr>
              <w:t>Responsiveness across desktop/tablet/mobile</w:t>
            </w:r>
          </w:p>
        </w:tc>
        <w:tc>
          <w:tcPr>
            <w:tcW w:type="dxa" w:w="5046"/>
          </w:tcPr>
          <w:p>
            <w:r/>
            <w:r>
              <w:rPr>
                <w:sz w:val="19"/>
              </w:rPr>
              <w:t>Not independently re-verified — no layout structure was changed (only conditional rendering was added around existing, already-responsive markup), so risk is low, but this wasn't screenshot-tested across breakpoints in this pass.</w:t>
            </w:r>
          </w:p>
        </w:tc>
      </w:tr>
    </w:tbl>
    <w:p>
      <w:pPr>
        <w:spacing w:after="80"/>
      </w:pPr>
    </w:p>
    <w:p>
      <w:pPr>
        <w:spacing w:before="320" w:after="120"/>
      </w:pPr>
      <w:r>
        <w:rPr>
          <w:b/>
          <w:color w:val="102A43"/>
          <w:sz w:val="32"/>
        </w:rPr>
        <w:t>8. Success criteria — status</w:t>
      </w:r>
    </w:p>
    <w:tbl>
      <w:tblPr>
        <w:tblW w:type="auto" w:w="0"/>
        <w:jc w:val="center"/>
        <w:tblLayout w:type="autofit"/>
        <w:tblLook w:firstColumn="1" w:firstRow="1" w:lastColumn="0" w:lastRow="0" w:noHBand="0" w:noVBand="1" w:val="04A0"/>
      </w:tblPr>
      <w:tblGrid>
        <w:gridCol w:w="5256"/>
        <w:gridCol w:w="5256"/>
      </w:tblGrid>
      <w:tr>
        <w:tc>
          <w:tcPr>
            <w:tcW w:type="dxa" w:w="6517"/>
            <w:shd w:val="clear" w:fill="102A43"/>
          </w:tcPr>
          <w:p>
            <w:r/>
            <w:r>
              <w:rPr>
                <w:b/>
                <w:color w:val="FFFFFF"/>
                <w:sz w:val="19"/>
              </w:rPr>
              <w:t>Criterion</w:t>
            </w:r>
          </w:p>
        </w:tc>
        <w:tc>
          <w:tcPr>
            <w:tcW w:type="dxa" w:w="3995"/>
            <w:shd w:val="clear" w:fill="102A43"/>
          </w:tcPr>
          <w:p>
            <w:r/>
            <w:r>
              <w:rPr>
                <w:b/>
                <w:color w:val="FFFFFF"/>
                <w:sz w:val="19"/>
              </w:rPr>
              <w:t>Status</w:t>
            </w:r>
          </w:p>
        </w:tc>
      </w:tr>
      <w:tr>
        <w:tc>
          <w:tcPr>
            <w:tcW w:type="dxa" w:w="6517"/>
          </w:tcPr>
          <w:p>
            <w:r/>
            <w:r>
              <w:rPr>
                <w:sz w:val="19"/>
              </w:rPr>
              <w:t>Non-MVP features hidden from nav/onboarding, code preserved</w:t>
            </w:r>
          </w:p>
        </w:tc>
        <w:tc>
          <w:tcPr>
            <w:tcW w:type="dxa" w:w="3995"/>
          </w:tcPr>
          <w:p>
            <w:r/>
            <w:r>
              <w:rPr>
                <w:sz w:val="19"/>
              </w:rPr>
              <w:t>Done — MVP_MODE gating, see Sections 1–2</w:t>
            </w:r>
          </w:p>
        </w:tc>
      </w:tr>
      <w:tr>
        <w:tc>
          <w:tcPr>
            <w:tcW w:type="dxa" w:w="6517"/>
            <w:shd w:val="clear" w:fill="EEF2F6"/>
          </w:tcPr>
          <w:p>
            <w:r/>
            <w:r>
              <w:rPr>
                <w:sz w:val="19"/>
              </w:rPr>
              <w:t>Exactly 5 unique templates per document type, original, print-ready</w:t>
            </w:r>
          </w:p>
        </w:tc>
        <w:tc>
          <w:tcPr>
            <w:tcW w:type="dxa" w:w="3995"/>
            <w:shd w:val="clear" w:fill="EEF2F6"/>
          </w:tcPr>
          <w:p>
            <w:r/>
            <w:r>
              <w:rPr>
                <w:sz w:val="19"/>
              </w:rPr>
              <w:t>Done via curation of 5 shared designs (see Section 4 for the 5×3-modes vs. 15-separate tradeoff, and how to get true 15)</w:t>
            </w:r>
          </w:p>
        </w:tc>
      </w:tr>
      <w:tr>
        <w:tc>
          <w:tcPr>
            <w:tcW w:type="dxa" w:w="6517"/>
          </w:tcPr>
          <w:p>
            <w:r/>
            <w:r>
              <w:rPr>
                <w:sz w:val="19"/>
              </w:rPr>
              <w:t>Simplified, professional single-login auth + full forgot-password flow</w:t>
            </w:r>
          </w:p>
        </w:tc>
        <w:tc>
          <w:tcPr>
            <w:tcW w:type="dxa" w:w="3995"/>
          </w:tcPr>
          <w:p>
            <w:r/>
            <w:r>
              <w:rPr>
                <w:sz w:val="19"/>
              </w:rPr>
              <w:t>Done — see Section 5</w:t>
            </w:r>
          </w:p>
        </w:tc>
      </w:tr>
      <w:tr>
        <w:tc>
          <w:tcPr>
            <w:tcW w:type="dxa" w:w="6517"/>
            <w:shd w:val="clear" w:fill="EEF2F6"/>
          </w:tcPr>
          <w:p>
            <w:r/>
            <w:r>
              <w:rPr>
                <w:sz w:val="19"/>
              </w:rPr>
              <w:t>App builds with zero errors</w:t>
            </w:r>
          </w:p>
        </w:tc>
        <w:tc>
          <w:tcPr>
            <w:tcW w:type="dxa" w:w="3995"/>
            <w:shd w:val="clear" w:fill="EEF2F6"/>
          </w:tcPr>
          <w:p>
            <w:r/>
            <w:r>
              <w:rPr>
                <w:sz w:val="19"/>
              </w:rPr>
              <w:t>TypeScript clean; full bundle build not run in-sandbox (see Section 7) — please confirm locally</w:t>
            </w:r>
          </w:p>
        </w:tc>
      </w:tr>
      <w:tr>
        <w:tc>
          <w:tcPr>
            <w:tcW w:type="dxa" w:w="6517"/>
          </w:tcPr>
          <w:p>
            <w:r/>
            <w:r>
              <w:rPr>
                <w:sz w:val="19"/>
              </w:rPr>
              <w:t>Full responsiveness confirmed desktop/tablet/mobile</w:t>
            </w:r>
          </w:p>
        </w:tc>
        <w:tc>
          <w:tcPr>
            <w:tcW w:type="dxa" w:w="3995"/>
          </w:tcPr>
          <w:p>
            <w:r/>
            <w:r>
              <w:rPr>
                <w:sz w:val="19"/>
              </w:rPr>
              <w:t>Not independently re-verified this pass (see Section 7)</w:t>
            </w:r>
          </w:p>
        </w:tc>
      </w:tr>
      <w:tr>
        <w:tc>
          <w:tcPr>
            <w:tcW w:type="dxa" w:w="6517"/>
            <w:shd w:val="clear" w:fill="EEF2F6"/>
          </w:tcPr>
          <w:p>
            <w:r/>
            <w:r>
              <w:rPr>
                <w:sz w:val="19"/>
              </w:rPr>
              <w:t>All non-MVP features fully intact, easy to re-enable</w:t>
            </w:r>
          </w:p>
        </w:tc>
        <w:tc>
          <w:tcPr>
            <w:tcW w:type="dxa" w:w="3995"/>
            <w:shd w:val="clear" w:fill="EEF2F6"/>
          </w:tcPr>
          <w:p>
            <w:r/>
            <w:r>
              <w:rPr>
                <w:sz w:val="19"/>
              </w:rPr>
              <w:t>Done — every hide is a conditional, not a deletion; MVP_MODE = false restores the full product</w:t>
            </w:r>
          </w:p>
        </w:tc>
      </w:tr>
    </w:tbl>
    <w:p>
      <w:pPr>
        <w:spacing w:after="80"/>
      </w:pPr>
    </w:p>
    <w:p>
      <w:pPr>
        <w:spacing w:before="120" w:after="200"/>
        <w:pBdr>
          <w:bottom w:val="single" w:sz="6" w:space="1" w:color="CBD5E1"/>
        </w:pBdr>
      </w:pPr>
    </w:p>
    <w:p>
      <w:pPr>
        <w:spacing w:after="160"/>
      </w:pPr>
      <w:r>
        <w:rPr>
          <w:i/>
          <w:color w:val="64748B"/>
          <w:sz w:val="21"/>
        </w:rPr>
        <w:t>Prepared for the aziikiv1.4 → AZIIKI BASIC VERSION refactor. Companion documents: AZIIKI_Brutal_Product_Teardown.docx (the feature-scoring rationale this refactor executes) and the AZIIKI Complete Document Library (technical/product/business/investor docs).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