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02A43"/>
          <w:sz w:val="56"/>
        </w:rPr>
        <w:t>AZIIKI BASIC VERSION 1.0</w:t>
      </w:r>
    </w:p>
    <w:p>
      <w:pPr>
        <w:spacing w:after="80"/>
      </w:pPr>
      <w:r>
        <w:rPr>
          <w:b/>
          <w:color w:val="D97706"/>
          <w:sz w:val="30"/>
        </w:rPr>
        <w:t>Second Refactor Pass — Change Log, Template System v1.0, and V2 Roadmap</w:t>
      </w:r>
    </w:p>
    <w:p>
      <w:pPr>
        <w:spacing w:after="280"/>
      </w:pPr>
      <w:r>
        <w:rPr>
          <w:i/>
          <w:color w:val="64748B"/>
          <w:sz w:val="22"/>
        </w:rPr>
        <w:t>Builds on AZIIKI_BASIC_VERSION.docx (the first MVP pass). This document covers what changed in this second pass, why two of the earlier decisions were reversed, and what's deliberately deferred to Version 2.</w:t>
      </w:r>
    </w:p>
    <w:p>
      <w:pPr>
        <w:spacing w:before="320" w:after="120"/>
      </w:pPr>
      <w:r>
        <w:rPr>
          <w:b/>
          <w:color w:val="102A43"/>
          <w:sz w:val="32"/>
        </w:rPr>
        <w:t>0. What prompted this pass</w:t>
      </w:r>
    </w:p>
    <w:p>
      <w:pPr>
        <w:spacing w:after="160"/>
      </w:pPr>
      <w:r>
        <w:rPr>
          <w:b w:val="0"/>
          <w:i w:val="0"/>
          <w:sz w:val="21"/>
        </w:rPr>
        <w:t>You sent a more detailed product/design brief with 10 named reference images and a specific Core Version 1 feature list, and you flagged a real bug from your own testing: the template picker showed designs numbered #1, #2, #3, #6, #7 instead of running 1 through 5. This document explains the fix for that bug, reconciles two places where this new brief's Core V1 list differs from the first pass's MVP scope, and adds the one genuinely new, self-contained feature this brief specified in enough detail to build safely: the compound-interest Wealth Calculator.</w:t>
      </w:r>
    </w:p>
    <w:p>
      <w:pPr>
        <w:spacing w:before="320" w:after="120"/>
      </w:pPr>
      <w:r>
        <w:rPr>
          <w:b/>
          <w:color w:val="102A43"/>
          <w:sz w:val="32"/>
        </w:rPr>
        <w:t>1. The numbering bug — root cause and fix</w:t>
      </w:r>
    </w:p>
    <w:p>
      <w:pPr>
        <w:spacing w:after="160"/>
      </w:pPr>
      <w:r>
        <w:rPr>
          <w:b w:val="0"/>
          <w:i w:val="0"/>
          <w:sz w:val="21"/>
        </w:rPr>
        <w:t>What you saw: template badges reading #1, #2, #3, #6, #7 instead of #1–#5. Root cause: the first pass curated the 10-design array down to 5, but the on-screen badge number was still pulling from each design's original position in the full 10-item array (ids 0, 1, 2, 5, 6) rather than its position in the 5-item list actually shown to you. Fix: the badge now always numbers the DISPLAYED list sequentially (1, 2, 3, 4...), while the invisible internal id — the one that decides which design actually renders — is kept separate and untouched. This means the bug can't recur even if the visible set is trimmed again later.</w:t>
      </w:r>
    </w:p>
    <w:p>
      <w:pPr>
        <w:spacing w:before="320" w:after="120"/>
      </w:pPr>
      <w:r>
        <w:rPr>
          <w:b/>
          <w:color w:val="102A43"/>
          <w:sz w:val="32"/>
        </w:rPr>
        <w:t>2. Document template system — now all 10, renamed</w:t>
      </w:r>
    </w:p>
    <w:p>
      <w:pPr>
        <w:spacing w:after="160"/>
      </w:pPr>
      <w:r>
        <w:rPr>
          <w:b w:val="0"/>
          <w:i w:val="0"/>
          <w:sz w:val="21"/>
        </w:rPr>
        <w:t>This brief's Document Design System section asked for 10 specific named templates rather than a curated 5, so this pass restores all 10 designs to the picker and renames each to match your list. The underlying visual designs (colors, borders, spacing, totals styling) are the same well-tested ones from the first pass — only the names, categories, and which ones are visible changed, which is why this was safe to do without a new build-verification risk.</w:t>
      </w:r>
    </w:p>
    <w:tbl>
      <w:tblPr>
        <w:tblW w:type="auto" w:w="0"/>
        <w:jc w:val="center"/>
        <w:tblLayout w:type="autofit"/>
        <w:tblLook w:firstColumn="1" w:firstRow="1" w:lastColumn="0" w:lastRow="0" w:noHBand="0" w:noVBand="1" w:val="04A0"/>
      </w:tblPr>
      <w:tblGrid>
        <w:gridCol w:w="2102"/>
        <w:gridCol w:w="2102"/>
        <w:gridCol w:w="2102"/>
        <w:gridCol w:w="2102"/>
        <w:gridCol w:w="2102"/>
      </w:tblGrid>
      <w:tr>
        <w:tc>
          <w:tcPr>
            <w:tcW w:type="dxa" w:w="526"/>
            <w:shd w:val="clear" w:fill="102A43"/>
          </w:tcPr>
          <w:p>
            <w:r/>
            <w:r>
              <w:rPr>
                <w:b/>
                <w:color w:val="FFFFFF"/>
                <w:sz w:val="19"/>
              </w:rPr>
              <w:t>#</w:t>
            </w:r>
          </w:p>
        </w:tc>
        <w:tc>
          <w:tcPr>
            <w:tcW w:type="dxa" w:w="2523"/>
            <w:shd w:val="clear" w:fill="102A43"/>
          </w:tcPr>
          <w:p>
            <w:r/>
            <w:r>
              <w:rPr>
                <w:b/>
                <w:color w:val="FFFFFF"/>
                <w:sz w:val="19"/>
              </w:rPr>
              <w:t>Name</w:t>
            </w:r>
          </w:p>
        </w:tc>
        <w:tc>
          <w:tcPr>
            <w:tcW w:type="dxa" w:w="1682"/>
            <w:shd w:val="clear" w:fill="102A43"/>
          </w:tcPr>
          <w:p>
            <w:r/>
            <w:r>
              <w:rPr>
                <w:b/>
                <w:color w:val="FFFFFF"/>
                <w:sz w:val="19"/>
              </w:rPr>
              <w:t>Category</w:t>
            </w:r>
          </w:p>
        </w:tc>
        <w:tc>
          <w:tcPr>
            <w:tcW w:type="dxa" w:w="3154"/>
            <w:shd w:val="clear" w:fill="102A43"/>
          </w:tcPr>
          <w:p>
            <w:r/>
            <w:r>
              <w:rPr>
                <w:b/>
                <w:color w:val="FFFFFF"/>
                <w:sz w:val="19"/>
              </w:rPr>
              <w:t>Was previously called</w:t>
            </w:r>
          </w:p>
        </w:tc>
        <w:tc>
          <w:tcPr>
            <w:tcW w:type="dxa" w:w="2628"/>
            <w:shd w:val="clear" w:fill="102A43"/>
          </w:tcPr>
          <w:p>
            <w:r/>
            <w:r>
              <w:rPr>
                <w:b/>
                <w:color w:val="FFFFFF"/>
                <w:sz w:val="19"/>
              </w:rPr>
              <w:t>Fits</w:t>
            </w:r>
          </w:p>
        </w:tc>
      </w:tr>
      <w:tr>
        <w:tc>
          <w:tcPr>
            <w:tcW w:type="dxa" w:w="526"/>
          </w:tcPr>
          <w:p>
            <w:r/>
            <w:r>
              <w:rPr>
                <w:sz w:val="19"/>
              </w:rPr>
              <w:t>1</w:t>
            </w:r>
          </w:p>
        </w:tc>
        <w:tc>
          <w:tcPr>
            <w:tcW w:type="dxa" w:w="2523"/>
          </w:tcPr>
          <w:p>
            <w:r/>
            <w:r>
              <w:rPr>
                <w:sz w:val="19"/>
              </w:rPr>
              <w:t>Corporate Style</w:t>
            </w:r>
          </w:p>
        </w:tc>
        <w:tc>
          <w:tcPr>
            <w:tcW w:type="dxa" w:w="1682"/>
          </w:tcPr>
          <w:p>
            <w:r/>
            <w:r>
              <w:rPr>
                <w:sz w:val="19"/>
              </w:rPr>
              <w:t>Corporate</w:t>
            </w:r>
          </w:p>
        </w:tc>
        <w:tc>
          <w:tcPr>
            <w:tcW w:type="dxa" w:w="3154"/>
          </w:tcPr>
          <w:p>
            <w:r/>
            <w:r>
              <w:rPr>
                <w:sz w:val="19"/>
              </w:rPr>
              <w:t>Classic Emerald Professional</w:t>
            </w:r>
          </w:p>
        </w:tc>
        <w:tc>
          <w:tcPr>
            <w:tcW w:type="dxa" w:w="2628"/>
          </w:tcPr>
          <w:p>
            <w:r/>
            <w:r>
              <w:rPr>
                <w:sz w:val="19"/>
              </w:rPr>
              <w:t>Formal, bordered ledger — safe default</w:t>
            </w:r>
          </w:p>
        </w:tc>
      </w:tr>
      <w:tr>
        <w:tc>
          <w:tcPr>
            <w:tcW w:type="dxa" w:w="526"/>
            <w:shd w:val="clear" w:fill="EEF2F6"/>
          </w:tcPr>
          <w:p>
            <w:r/>
            <w:r>
              <w:rPr>
                <w:sz w:val="19"/>
              </w:rPr>
              <w:t>2</w:t>
            </w:r>
          </w:p>
        </w:tc>
        <w:tc>
          <w:tcPr>
            <w:tcW w:type="dxa" w:w="2523"/>
            <w:shd w:val="clear" w:fill="EEF2F6"/>
          </w:tcPr>
          <w:p>
            <w:r/>
            <w:r>
              <w:rPr>
                <w:sz w:val="19"/>
              </w:rPr>
              <w:t>Minimal Professional</w:t>
            </w:r>
          </w:p>
        </w:tc>
        <w:tc>
          <w:tcPr>
            <w:tcW w:type="dxa" w:w="1682"/>
            <w:shd w:val="clear" w:fill="EEF2F6"/>
          </w:tcPr>
          <w:p>
            <w:r/>
            <w:r>
              <w:rPr>
                <w:sz w:val="19"/>
              </w:rPr>
              <w:t>Minimal</w:t>
            </w:r>
          </w:p>
        </w:tc>
        <w:tc>
          <w:tcPr>
            <w:tcW w:type="dxa" w:w="3154"/>
            <w:shd w:val="clear" w:fill="EEF2F6"/>
          </w:tcPr>
          <w:p>
            <w:r/>
            <w:r>
              <w:rPr>
                <w:sz w:val="19"/>
              </w:rPr>
              <w:t>Modern Minimalist Slate</w:t>
            </w:r>
          </w:p>
        </w:tc>
        <w:tc>
          <w:tcPr>
            <w:tcW w:type="dxa" w:w="2628"/>
            <w:shd w:val="clear" w:fill="EEF2F6"/>
          </w:tcPr>
          <w:p>
            <w:r/>
            <w:r>
              <w:rPr>
                <w:sz w:val="19"/>
              </w:rPr>
              <w:t>Consultants, understated</w:t>
            </w:r>
          </w:p>
        </w:tc>
      </w:tr>
      <w:tr>
        <w:tc>
          <w:tcPr>
            <w:tcW w:type="dxa" w:w="526"/>
          </w:tcPr>
          <w:p>
            <w:r/>
            <w:r>
              <w:rPr>
                <w:sz w:val="19"/>
              </w:rPr>
              <w:t>3</w:t>
            </w:r>
          </w:p>
        </w:tc>
        <w:tc>
          <w:tcPr>
            <w:tcW w:type="dxa" w:w="2523"/>
          </w:tcPr>
          <w:p>
            <w:r/>
            <w:r>
              <w:rPr>
                <w:sz w:val="19"/>
              </w:rPr>
              <w:t>Creative Agency</w:t>
            </w:r>
          </w:p>
        </w:tc>
        <w:tc>
          <w:tcPr>
            <w:tcW w:type="dxa" w:w="1682"/>
          </w:tcPr>
          <w:p>
            <w:r/>
            <w:r>
              <w:rPr>
                <w:sz w:val="19"/>
              </w:rPr>
              <w:t>Agency</w:t>
            </w:r>
          </w:p>
        </w:tc>
        <w:tc>
          <w:tcPr>
            <w:tcW w:type="dxa" w:w="3154"/>
          </w:tcPr>
          <w:p>
            <w:r/>
            <w:r>
              <w:rPr>
                <w:sz w:val="19"/>
              </w:rPr>
              <w:t>Executive Emerald Left-Strip</w:t>
            </w:r>
          </w:p>
        </w:tc>
        <w:tc>
          <w:tcPr>
            <w:tcW w:type="dxa" w:w="2628"/>
          </w:tcPr>
          <w:p>
            <w:r/>
            <w:r>
              <w:rPr>
                <w:sz w:val="19"/>
              </w:rPr>
              <w:t>Agencies — sidebar strip, dark total</w:t>
            </w:r>
          </w:p>
        </w:tc>
      </w:tr>
      <w:tr>
        <w:tc>
          <w:tcPr>
            <w:tcW w:type="dxa" w:w="526"/>
            <w:shd w:val="clear" w:fill="EEF2F6"/>
          </w:tcPr>
          <w:p>
            <w:r/>
            <w:r>
              <w:rPr>
                <w:sz w:val="19"/>
              </w:rPr>
              <w:t>4</w:t>
            </w:r>
          </w:p>
        </w:tc>
        <w:tc>
          <w:tcPr>
            <w:tcW w:type="dxa" w:w="2523"/>
            <w:shd w:val="clear" w:fill="EEF2F6"/>
          </w:tcPr>
          <w:p>
            <w:r/>
            <w:r>
              <w:rPr>
                <w:sz w:val="19"/>
              </w:rPr>
              <w:t>Startup Style</w:t>
            </w:r>
          </w:p>
        </w:tc>
        <w:tc>
          <w:tcPr>
            <w:tcW w:type="dxa" w:w="1682"/>
            <w:shd w:val="clear" w:fill="EEF2F6"/>
          </w:tcPr>
          <w:p>
            <w:r/>
            <w:r>
              <w:rPr>
                <w:sz w:val="19"/>
              </w:rPr>
              <w:t>Startup</w:t>
            </w:r>
          </w:p>
        </w:tc>
        <w:tc>
          <w:tcPr>
            <w:tcW w:type="dxa" w:w="3154"/>
            <w:shd w:val="clear" w:fill="EEF2F6"/>
          </w:tcPr>
          <w:p>
            <w:r/>
            <w:r>
              <w:rPr>
                <w:sz w:val="19"/>
              </w:rPr>
              <w:t>Retro Carbon Monospaced</w:t>
            </w:r>
          </w:p>
        </w:tc>
        <w:tc>
          <w:tcPr>
            <w:tcW w:type="dxa" w:w="2628"/>
            <w:shd w:val="clear" w:fill="EEF2F6"/>
          </w:tcPr>
          <w:p>
            <w:r/>
            <w:r>
              <w:rPr>
                <w:sz w:val="19"/>
              </w:rPr>
              <w:t>Tech/startup — terminal aesthetic</w:t>
            </w:r>
          </w:p>
        </w:tc>
      </w:tr>
      <w:tr>
        <w:tc>
          <w:tcPr>
            <w:tcW w:type="dxa" w:w="526"/>
          </w:tcPr>
          <w:p>
            <w:r/>
            <w:r>
              <w:rPr>
                <w:sz w:val="19"/>
              </w:rPr>
              <w:t>5</w:t>
            </w:r>
          </w:p>
        </w:tc>
        <w:tc>
          <w:tcPr>
            <w:tcW w:type="dxa" w:w="2523"/>
          </w:tcPr>
          <w:p>
            <w:r/>
            <w:r>
              <w:rPr>
                <w:sz w:val="19"/>
              </w:rPr>
              <w:t>Elegant Classic</w:t>
            </w:r>
          </w:p>
        </w:tc>
        <w:tc>
          <w:tcPr>
            <w:tcW w:type="dxa" w:w="1682"/>
          </w:tcPr>
          <w:p>
            <w:r/>
            <w:r>
              <w:rPr>
                <w:sz w:val="19"/>
              </w:rPr>
              <w:t>Classic</w:t>
            </w:r>
          </w:p>
        </w:tc>
        <w:tc>
          <w:tcPr>
            <w:tcW w:type="dxa" w:w="3154"/>
          </w:tcPr>
          <w:p>
            <w:r/>
            <w:r>
              <w:rPr>
                <w:sz w:val="19"/>
              </w:rPr>
              <w:t>Editorial Bookman Traditional</w:t>
            </w:r>
          </w:p>
        </w:tc>
        <w:tc>
          <w:tcPr>
            <w:tcW w:type="dxa" w:w="2628"/>
          </w:tcPr>
          <w:p>
            <w:r/>
            <w:r>
              <w:rPr>
                <w:sz w:val="19"/>
              </w:rPr>
              <w:t>Serif, high-society, legal-adjacent</w:t>
            </w:r>
          </w:p>
        </w:tc>
      </w:tr>
      <w:tr>
        <w:tc>
          <w:tcPr>
            <w:tcW w:type="dxa" w:w="526"/>
            <w:shd w:val="clear" w:fill="EEF2F6"/>
          </w:tcPr>
          <w:p>
            <w:r/>
            <w:r>
              <w:rPr>
                <w:sz w:val="19"/>
              </w:rPr>
              <w:t>6</w:t>
            </w:r>
          </w:p>
        </w:tc>
        <w:tc>
          <w:tcPr>
            <w:tcW w:type="dxa" w:w="2523"/>
            <w:shd w:val="clear" w:fill="EEF2F6"/>
          </w:tcPr>
          <w:p>
            <w:r/>
            <w:r>
              <w:rPr>
                <w:sz w:val="19"/>
              </w:rPr>
              <w:t>African Business Style</w:t>
            </w:r>
          </w:p>
        </w:tc>
        <w:tc>
          <w:tcPr>
            <w:tcW w:type="dxa" w:w="1682"/>
            <w:shd w:val="clear" w:fill="EEF2F6"/>
          </w:tcPr>
          <w:p>
            <w:r/>
            <w:r>
              <w:rPr>
                <w:sz w:val="19"/>
              </w:rPr>
              <w:t>African Business</w:t>
            </w:r>
          </w:p>
        </w:tc>
        <w:tc>
          <w:tcPr>
            <w:tcW w:type="dxa" w:w="3154"/>
            <w:shd w:val="clear" w:fill="EEF2F6"/>
          </w:tcPr>
          <w:p>
            <w:r/>
            <w:r>
              <w:rPr>
                <w:sz w:val="19"/>
              </w:rPr>
              <w:t>Retail Ticket Coupon</w:t>
            </w:r>
          </w:p>
        </w:tc>
        <w:tc>
          <w:tcPr>
            <w:tcW w:type="dxa" w:w="2628"/>
            <w:shd w:val="clear" w:fill="EEF2F6"/>
          </w:tcPr>
          <w:p>
            <w:r/>
            <w:r>
              <w:rPr>
                <w:sz w:val="19"/>
              </w:rPr>
              <w:t>Market/retail — high-volume coupon style</w:t>
            </w:r>
          </w:p>
        </w:tc>
      </w:tr>
      <w:tr>
        <w:tc>
          <w:tcPr>
            <w:tcW w:type="dxa" w:w="526"/>
          </w:tcPr>
          <w:p>
            <w:r/>
            <w:r>
              <w:rPr>
                <w:sz w:val="19"/>
              </w:rPr>
              <w:t>7</w:t>
            </w:r>
          </w:p>
        </w:tc>
        <w:tc>
          <w:tcPr>
            <w:tcW w:type="dxa" w:w="2523"/>
          </w:tcPr>
          <w:p>
            <w:r/>
            <w:r>
              <w:rPr>
                <w:sz w:val="19"/>
              </w:rPr>
              <w:t>Luxury Dark</w:t>
            </w:r>
          </w:p>
        </w:tc>
        <w:tc>
          <w:tcPr>
            <w:tcW w:type="dxa" w:w="1682"/>
          </w:tcPr>
          <w:p>
            <w:r/>
            <w:r>
              <w:rPr>
                <w:sz w:val="19"/>
              </w:rPr>
              <w:t>Luxury</w:t>
            </w:r>
          </w:p>
        </w:tc>
        <w:tc>
          <w:tcPr>
            <w:tcW w:type="dxa" w:w="3154"/>
          </w:tcPr>
          <w:p>
            <w:r/>
            <w:r>
              <w:rPr>
                <w:sz w:val="19"/>
              </w:rPr>
              <w:t>Sovereign Gold Double-Border</w:t>
            </w:r>
          </w:p>
        </w:tc>
        <w:tc>
          <w:tcPr>
            <w:tcW w:type="dxa" w:w="2628"/>
          </w:tcPr>
          <w:p>
            <w:r/>
            <w:r>
              <w:rPr>
                <w:sz w:val="19"/>
              </w:rPr>
              <w:t>Premium service providers</w:t>
            </w:r>
          </w:p>
        </w:tc>
      </w:tr>
      <w:tr>
        <w:tc>
          <w:tcPr>
            <w:tcW w:type="dxa" w:w="526"/>
            <w:shd w:val="clear" w:fill="EEF2F6"/>
          </w:tcPr>
          <w:p>
            <w:r/>
            <w:r>
              <w:rPr>
                <w:sz w:val="19"/>
              </w:rPr>
              <w:t>8</w:t>
            </w:r>
          </w:p>
        </w:tc>
        <w:tc>
          <w:tcPr>
            <w:tcW w:type="dxa" w:w="2523"/>
            <w:shd w:val="clear" w:fill="EEF2F6"/>
          </w:tcPr>
          <w:p>
            <w:r/>
            <w:r>
              <w:rPr>
                <w:sz w:val="19"/>
              </w:rPr>
              <w:t>Modern Business</w:t>
            </w:r>
          </w:p>
        </w:tc>
        <w:tc>
          <w:tcPr>
            <w:tcW w:type="dxa" w:w="1682"/>
            <w:shd w:val="clear" w:fill="EEF2F6"/>
          </w:tcPr>
          <w:p>
            <w:r/>
            <w:r>
              <w:rPr>
                <w:sz w:val="19"/>
              </w:rPr>
              <w:t>Modern</w:t>
            </w:r>
          </w:p>
        </w:tc>
        <w:tc>
          <w:tcPr>
            <w:tcW w:type="dxa" w:w="3154"/>
            <w:shd w:val="clear" w:fill="EEF2F6"/>
          </w:tcPr>
          <w:p>
            <w:r/>
            <w:r>
              <w:rPr>
                <w:sz w:val="19"/>
              </w:rPr>
              <w:t>Urban Futuristic Rounded</w:t>
            </w:r>
          </w:p>
        </w:tc>
        <w:tc>
          <w:tcPr>
            <w:tcW w:type="dxa" w:w="2628"/>
            <w:shd w:val="clear" w:fill="EEF2F6"/>
          </w:tcPr>
          <w:p>
            <w:r/>
            <w:r>
              <w:rPr>
                <w:sz w:val="19"/>
              </w:rPr>
              <w:t>Rounded, indigo, contemporary</w:t>
            </w:r>
          </w:p>
        </w:tc>
      </w:tr>
      <w:tr>
        <w:tc>
          <w:tcPr>
            <w:tcW w:type="dxa" w:w="526"/>
          </w:tcPr>
          <w:p>
            <w:r/>
            <w:r>
              <w:rPr>
                <w:sz w:val="19"/>
              </w:rPr>
              <w:t>9</w:t>
            </w:r>
          </w:p>
        </w:tc>
        <w:tc>
          <w:tcPr>
            <w:tcW w:type="dxa" w:w="2523"/>
          </w:tcPr>
          <w:p>
            <w:r/>
            <w:r>
              <w:rPr>
                <w:sz w:val="19"/>
              </w:rPr>
              <w:t>Photography Style</w:t>
            </w:r>
          </w:p>
        </w:tc>
        <w:tc>
          <w:tcPr>
            <w:tcW w:type="dxa" w:w="1682"/>
          </w:tcPr>
          <w:p>
            <w:r/>
            <w:r>
              <w:rPr>
                <w:sz w:val="19"/>
              </w:rPr>
              <w:t>Photography</w:t>
            </w:r>
          </w:p>
        </w:tc>
        <w:tc>
          <w:tcPr>
            <w:tcW w:type="dxa" w:w="3154"/>
          </w:tcPr>
          <w:p>
            <w:r/>
            <w:r>
              <w:rPr>
                <w:sz w:val="19"/>
              </w:rPr>
              <w:t>Creative Sky Highlight Bubble</w:t>
            </w:r>
          </w:p>
        </w:tc>
        <w:tc>
          <w:tcPr>
            <w:tcW w:type="dxa" w:w="2628"/>
          </w:tcPr>
          <w:p>
            <w:r/>
            <w:r>
              <w:rPr>
                <w:sz w:val="19"/>
              </w:rPr>
              <w:t>Creative, bright, playful accents</w:t>
            </w:r>
          </w:p>
        </w:tc>
      </w:tr>
      <w:tr>
        <w:tc>
          <w:tcPr>
            <w:tcW w:type="dxa" w:w="526"/>
            <w:shd w:val="clear" w:fill="EEF2F6"/>
          </w:tcPr>
          <w:p>
            <w:r/>
            <w:r>
              <w:rPr>
                <w:sz w:val="19"/>
              </w:rPr>
              <w:t>10</w:t>
            </w:r>
          </w:p>
        </w:tc>
        <w:tc>
          <w:tcPr>
            <w:tcW w:type="dxa" w:w="2523"/>
            <w:shd w:val="clear" w:fill="EEF2F6"/>
          </w:tcPr>
          <w:p>
            <w:r/>
            <w:r>
              <w:rPr>
                <w:sz w:val="19"/>
              </w:rPr>
              <w:t>Fashion Brand Style</w:t>
            </w:r>
          </w:p>
        </w:tc>
        <w:tc>
          <w:tcPr>
            <w:tcW w:type="dxa" w:w="1682"/>
            <w:shd w:val="clear" w:fill="EEF2F6"/>
          </w:tcPr>
          <w:p>
            <w:r/>
            <w:r>
              <w:rPr>
                <w:sz w:val="19"/>
              </w:rPr>
              <w:t>Fashion</w:t>
            </w:r>
          </w:p>
        </w:tc>
        <w:tc>
          <w:tcPr>
            <w:tcW w:type="dxa" w:w="3154"/>
            <w:shd w:val="clear" w:fill="EEF2F6"/>
          </w:tcPr>
          <w:p>
            <w:r/>
            <w:r>
              <w:rPr>
                <w:sz w:val="19"/>
              </w:rPr>
              <w:t>Ecosystem Industrial Grid</w:t>
            </w:r>
          </w:p>
        </w:tc>
        <w:tc>
          <w:tcPr>
            <w:tcW w:type="dxa" w:w="2628"/>
            <w:shd w:val="clear" w:fill="EEF2F6"/>
          </w:tcPr>
          <w:p>
            <w:r/>
            <w:r>
              <w:rPr>
                <w:sz w:val="19"/>
              </w:rPr>
              <w:t>Structured grid — fits bulk/textile line items</w:t>
            </w:r>
          </w:p>
        </w:tc>
      </w:tr>
    </w:tbl>
    <w:p>
      <w:pPr>
        <w:spacing w:after="80"/>
      </w:pPr>
    </w:p>
    <w:p>
      <w:pPr>
        <w:spacing w:after="160"/>
      </w:pPr>
      <w:r>
        <w:rPr>
          <w:b w:val="0"/>
          <w:i w:val="0"/>
          <w:sz w:val="21"/>
        </w:rPr>
        <w:t>On originality (unchanged from the first pass, restated because this brief repeated the requirement): all 10 were already original in-house Tailwind/CSS constructs, not copies of the reference images you sent. Your 10 reference images (the yellow/coffee invoice, the Iceberg Media navy invoice, the black-and-white minimal invoice, the Money Receipt project, the cyrillic thermal receipts, the two AM Marketing receipt-book mockups, and the others) were used the way your brief asked — as layout/hierarchy/typography references only — and nothing in DESIGN_TEMPLATES reproduces their specific artwork, logos, or exact structure.</w:t>
      </w:r>
    </w:p>
    <w:p>
      <w:pPr>
        <w:spacing w:after="160"/>
      </w:pPr>
      <w:r>
        <w:rPr>
          <w:b w:val="0"/>
          <w:i/>
          <w:color w:val="B45309"/>
          <w:sz w:val="21"/>
        </w:rPr>
        <w:t>If you specifically want AZIIKI's own designs redrawn to more closely echo any one of those 10 reference images (for example, the navy "Iceberg Media" corporate look, or the AM Marketing gold-accent receipt book), point me at which one and I'll build that as a genuinely new, from-scratch 11th (or replacement) design rather than a rename — that's real design work distinct from what this pass did.</w:t>
      </w:r>
    </w:p>
    <w:p>
      <w:pPr>
        <w:spacing w:before="320" w:after="120"/>
      </w:pPr>
      <w:r>
        <w:rPr>
          <w:b/>
          <w:color w:val="102A43"/>
          <w:sz w:val="32"/>
        </w:rPr>
        <w:t>3. Core Version 1 — reconciled against this brief's list</w:t>
      </w:r>
    </w:p>
    <w:p>
      <w:pPr>
        <w:spacing w:after="160"/>
      </w:pPr>
      <w:r>
        <w:rPr>
          <w:b w:val="0"/>
          <w:i w:val="0"/>
          <w:sz w:val="21"/>
        </w:rPr>
        <w:t>This brief's Core Version 1 list (Income Tracking, Expense Tracking, Invoice/Receipt/Estimate Generation, Customer Management, Basic Inventory, Financial Reports, Dashboard, WhatsApp Sharing) differs from the first pass's MVP scope in one place: Basic Inventory. The first pass, following the earlier Brutal Product Teardown, had hidden Warehouse Stock as a later-phase feature. This brief explicitly lists it as Core V1, so it's restored to the main navigation in this pass — that's a direct instruction change, not an inconsistency in the work.</w:t>
      </w:r>
    </w:p>
    <w:tbl>
      <w:tblPr>
        <w:tblW w:type="auto" w:w="0"/>
        <w:jc w:val="center"/>
        <w:tblLayout w:type="autofit"/>
        <w:tblLook w:firstColumn="1" w:firstRow="1" w:lastColumn="0" w:lastRow="0" w:noHBand="0" w:noVBand="1" w:val="04A0"/>
      </w:tblPr>
      <w:tblGrid>
        <w:gridCol w:w="3504"/>
        <w:gridCol w:w="3504"/>
        <w:gridCol w:w="3504"/>
      </w:tblGrid>
      <w:tr>
        <w:tc>
          <w:tcPr>
            <w:tcW w:type="dxa" w:w="4205"/>
            <w:shd w:val="clear" w:fill="102A43"/>
          </w:tcPr>
          <w:p>
            <w:r/>
            <w:r>
              <w:rPr>
                <w:b/>
                <w:color w:val="FFFFFF"/>
                <w:sz w:val="19"/>
              </w:rPr>
              <w:t>Core V1 item (this brief)</w:t>
            </w:r>
          </w:p>
        </w:tc>
        <w:tc>
          <w:tcPr>
            <w:tcW w:type="dxa" w:w="2102"/>
            <w:shd w:val="clear" w:fill="102A43"/>
          </w:tcPr>
          <w:p>
            <w:r/>
            <w:r>
              <w:rPr>
                <w:b/>
                <w:color w:val="FFFFFF"/>
                <w:sz w:val="19"/>
              </w:rPr>
              <w:t>Status</w:t>
            </w:r>
          </w:p>
        </w:tc>
        <w:tc>
          <w:tcPr>
            <w:tcW w:type="dxa" w:w="4205"/>
            <w:shd w:val="clear" w:fill="102A43"/>
          </w:tcPr>
          <w:p>
            <w:r/>
            <w:r>
              <w:rPr>
                <w:b/>
                <w:color w:val="FFFFFF"/>
                <w:sz w:val="19"/>
              </w:rPr>
              <w:t>Note</w:t>
            </w:r>
          </w:p>
        </w:tc>
      </w:tr>
      <w:tr>
        <w:tc>
          <w:tcPr>
            <w:tcW w:type="dxa" w:w="4205"/>
          </w:tcPr>
          <w:p>
            <w:r/>
            <w:r>
              <w:rPr>
                <w:sz w:val="19"/>
              </w:rPr>
              <w:t>Income Tracking</w:t>
            </w:r>
          </w:p>
        </w:tc>
        <w:tc>
          <w:tcPr>
            <w:tcW w:type="dxa" w:w="2102"/>
          </w:tcPr>
          <w:p>
            <w:r/>
            <w:r>
              <w:rPr>
                <w:sz w:val="19"/>
              </w:rPr>
              <w:t>Already live</w:t>
            </w:r>
          </w:p>
        </w:tc>
        <w:tc>
          <w:tcPr>
            <w:tcW w:type="dxa" w:w="4205"/>
          </w:tcPr>
          <w:p>
            <w:r/>
            <w:r>
              <w:rPr>
                <w:sz w:val="19"/>
              </w:rPr>
              <w:t>Part of the existing cashbook/dashboard ledger</w:t>
            </w:r>
          </w:p>
        </w:tc>
      </w:tr>
      <w:tr>
        <w:tc>
          <w:tcPr>
            <w:tcW w:type="dxa" w:w="4205"/>
            <w:shd w:val="clear" w:fill="EEF2F6"/>
          </w:tcPr>
          <w:p>
            <w:r/>
            <w:r>
              <w:rPr>
                <w:sz w:val="19"/>
              </w:rPr>
              <w:t>Expense Tracking</w:t>
            </w:r>
          </w:p>
        </w:tc>
        <w:tc>
          <w:tcPr>
            <w:tcW w:type="dxa" w:w="2102"/>
            <w:shd w:val="clear" w:fill="EEF2F6"/>
          </w:tcPr>
          <w:p>
            <w:r/>
            <w:r>
              <w:rPr>
                <w:sz w:val="19"/>
              </w:rPr>
              <w:t>Already live</w:t>
            </w:r>
          </w:p>
        </w:tc>
        <w:tc>
          <w:tcPr>
            <w:tcW w:type="dxa" w:w="4205"/>
            <w:shd w:val="clear" w:fill="EEF2F6"/>
          </w:tcPr>
          <w:p>
            <w:r/>
            <w:r>
              <w:rPr>
                <w:sz w:val="19"/>
              </w:rPr>
              <w:t>Same ledger, expense side</w:t>
            </w:r>
          </w:p>
        </w:tc>
      </w:tr>
      <w:tr>
        <w:tc>
          <w:tcPr>
            <w:tcW w:type="dxa" w:w="4205"/>
          </w:tcPr>
          <w:p>
            <w:r/>
            <w:r>
              <w:rPr>
                <w:sz w:val="19"/>
              </w:rPr>
              <w:t>Invoice Generation</w:t>
            </w:r>
          </w:p>
        </w:tc>
        <w:tc>
          <w:tcPr>
            <w:tcW w:type="dxa" w:w="2102"/>
          </w:tcPr>
          <w:p>
            <w:r/>
            <w:r>
              <w:rPr>
                <w:sz w:val="19"/>
              </w:rPr>
              <w:t>Already live</w:t>
            </w:r>
          </w:p>
        </w:tc>
        <w:tc>
          <w:tcPr>
            <w:tcW w:type="dxa" w:w="4205"/>
          </w:tcPr>
          <w:p>
            <w:r/>
            <w:r>
              <w:rPr>
                <w:sz w:val="19"/>
              </w:rPr>
              <w:t>Billing &amp; PDFs tab, now with 10 named templates</w:t>
            </w:r>
          </w:p>
        </w:tc>
      </w:tr>
      <w:tr>
        <w:tc>
          <w:tcPr>
            <w:tcW w:type="dxa" w:w="4205"/>
            <w:shd w:val="clear" w:fill="EEF2F6"/>
          </w:tcPr>
          <w:p>
            <w:r/>
            <w:r>
              <w:rPr>
                <w:sz w:val="19"/>
              </w:rPr>
              <w:t>Receipt Generation</w:t>
            </w:r>
          </w:p>
        </w:tc>
        <w:tc>
          <w:tcPr>
            <w:tcW w:type="dxa" w:w="2102"/>
            <w:shd w:val="clear" w:fill="EEF2F6"/>
          </w:tcPr>
          <w:p>
            <w:r/>
            <w:r>
              <w:rPr>
                <w:sz w:val="19"/>
              </w:rPr>
              <w:t>Already live</w:t>
            </w:r>
          </w:p>
        </w:tc>
        <w:tc>
          <w:tcPr>
            <w:tcW w:type="dxa" w:w="4205"/>
            <w:shd w:val="clear" w:fill="EEF2F6"/>
          </w:tcPr>
          <w:p>
            <w:r/>
            <w:r>
              <w:rPr>
                <w:sz w:val="19"/>
              </w:rPr>
              <w:t>Same builder, receipt mode</w:t>
            </w:r>
          </w:p>
        </w:tc>
      </w:tr>
      <w:tr>
        <w:tc>
          <w:tcPr>
            <w:tcW w:type="dxa" w:w="4205"/>
          </w:tcPr>
          <w:p>
            <w:r/>
            <w:r>
              <w:rPr>
                <w:sz w:val="19"/>
              </w:rPr>
              <w:t>Estimate Generation</w:t>
            </w:r>
          </w:p>
        </w:tc>
        <w:tc>
          <w:tcPr>
            <w:tcW w:type="dxa" w:w="2102"/>
          </w:tcPr>
          <w:p>
            <w:r/>
            <w:r>
              <w:rPr>
                <w:sz w:val="19"/>
              </w:rPr>
              <w:t>Already live</w:t>
            </w:r>
          </w:p>
        </w:tc>
        <w:tc>
          <w:tcPr>
            <w:tcW w:type="dxa" w:w="4205"/>
          </w:tcPr>
          <w:p>
            <w:r/>
            <w:r>
              <w:rPr>
                <w:sz w:val="19"/>
              </w:rPr>
              <w:t>Same builder, quotation/estimate mode</w:t>
            </w:r>
          </w:p>
        </w:tc>
      </w:tr>
      <w:tr>
        <w:tc>
          <w:tcPr>
            <w:tcW w:type="dxa" w:w="4205"/>
            <w:shd w:val="clear" w:fill="EEF2F6"/>
          </w:tcPr>
          <w:p>
            <w:r/>
            <w:r>
              <w:rPr>
                <w:sz w:val="19"/>
              </w:rPr>
              <w:t>Customer Management</w:t>
            </w:r>
          </w:p>
        </w:tc>
        <w:tc>
          <w:tcPr>
            <w:tcW w:type="dxa" w:w="2102"/>
            <w:shd w:val="clear" w:fill="EEF2F6"/>
          </w:tcPr>
          <w:p>
            <w:r/>
            <w:r>
              <w:rPr>
                <w:sz w:val="19"/>
              </w:rPr>
              <w:t>Already live</w:t>
            </w:r>
          </w:p>
        </w:tc>
        <w:tc>
          <w:tcPr>
            <w:tcW w:type="dxa" w:w="4205"/>
            <w:shd w:val="clear" w:fill="EEF2F6"/>
          </w:tcPr>
          <w:p>
            <w:r/>
            <w:r>
              <w:rPr>
                <w:sz w:val="19"/>
              </w:rPr>
              <w:t>Customer CRM tab</w:t>
            </w:r>
          </w:p>
        </w:tc>
      </w:tr>
      <w:tr>
        <w:tc>
          <w:tcPr>
            <w:tcW w:type="dxa" w:w="4205"/>
          </w:tcPr>
          <w:p>
            <w:r/>
            <w:r>
              <w:rPr>
                <w:sz w:val="19"/>
              </w:rPr>
              <w:t>Basic Inventory</w:t>
            </w:r>
          </w:p>
        </w:tc>
        <w:tc>
          <w:tcPr>
            <w:tcW w:type="dxa" w:w="2102"/>
          </w:tcPr>
          <w:p>
            <w:r/>
            <w:r>
              <w:rPr>
                <w:sz w:val="19"/>
              </w:rPr>
              <w:t>Restored this pass</w:t>
            </w:r>
          </w:p>
        </w:tc>
        <w:tc>
          <w:tcPr>
            <w:tcW w:type="dxa" w:w="4205"/>
          </w:tcPr>
          <w:p>
            <w:r/>
            <w:r>
              <w:rPr>
                <w:sz w:val="19"/>
              </w:rPr>
              <w:t>Warehouse Stock tab un-hidden from MVP_MODE gating</w:t>
            </w:r>
          </w:p>
        </w:tc>
      </w:tr>
      <w:tr>
        <w:tc>
          <w:tcPr>
            <w:tcW w:type="dxa" w:w="4205"/>
            <w:shd w:val="clear" w:fill="EEF2F6"/>
          </w:tcPr>
          <w:p>
            <w:r/>
            <w:r>
              <w:rPr>
                <w:sz w:val="19"/>
              </w:rPr>
              <w:t>Financial Reports</w:t>
            </w:r>
          </w:p>
        </w:tc>
        <w:tc>
          <w:tcPr>
            <w:tcW w:type="dxa" w:w="2102"/>
            <w:shd w:val="clear" w:fill="EEF2F6"/>
          </w:tcPr>
          <w:p>
            <w:r/>
            <w:r>
              <w:rPr>
                <w:sz w:val="19"/>
              </w:rPr>
              <w:t>Already live</w:t>
            </w:r>
          </w:p>
        </w:tc>
        <w:tc>
          <w:tcPr>
            <w:tcW w:type="dxa" w:w="4205"/>
            <w:shd w:val="clear" w:fill="EEF2F6"/>
          </w:tcPr>
          <w:p>
            <w:r/>
            <w:r>
              <w:rPr>
                <w:sz w:val="19"/>
              </w:rPr>
              <w:t>Reports &amp; Wisdom tab; already uses plain language, not accounting jargon (verified this pass)</w:t>
            </w:r>
          </w:p>
        </w:tc>
      </w:tr>
      <w:tr>
        <w:tc>
          <w:tcPr>
            <w:tcW w:type="dxa" w:w="4205"/>
          </w:tcPr>
          <w:p>
            <w:r/>
            <w:r>
              <w:rPr>
                <w:sz w:val="19"/>
              </w:rPr>
              <w:t>Dashboard</w:t>
            </w:r>
          </w:p>
        </w:tc>
        <w:tc>
          <w:tcPr>
            <w:tcW w:type="dxa" w:w="2102"/>
          </w:tcPr>
          <w:p>
            <w:r/>
            <w:r>
              <w:rPr>
                <w:sz w:val="19"/>
              </w:rPr>
              <w:t>Already live</w:t>
            </w:r>
          </w:p>
        </w:tc>
        <w:tc>
          <w:tcPr>
            <w:tcW w:type="dxa" w:w="4205"/>
          </w:tcPr>
          <w:p>
            <w:r/>
            <w:r>
              <w:rPr>
                <w:sz w:val="19"/>
              </w:rPr>
              <w:t>Scorecard tab</w:t>
            </w:r>
          </w:p>
        </w:tc>
      </w:tr>
      <w:tr>
        <w:tc>
          <w:tcPr>
            <w:tcW w:type="dxa" w:w="4205"/>
            <w:shd w:val="clear" w:fill="EEF2F6"/>
          </w:tcPr>
          <w:p>
            <w:r/>
            <w:r>
              <w:rPr>
                <w:sz w:val="19"/>
              </w:rPr>
              <w:t>WhatsApp Sharing</w:t>
            </w:r>
          </w:p>
        </w:tc>
        <w:tc>
          <w:tcPr>
            <w:tcW w:type="dxa" w:w="2102"/>
            <w:shd w:val="clear" w:fill="EEF2F6"/>
          </w:tcPr>
          <w:p>
            <w:r/>
            <w:r>
              <w:rPr>
                <w:sz w:val="19"/>
              </w:rPr>
              <w:t>Already live</w:t>
            </w:r>
          </w:p>
        </w:tc>
        <w:tc>
          <w:tcPr>
            <w:tcW w:type="dxa" w:w="4205"/>
            <w:shd w:val="clear" w:fill="EEF2F6"/>
          </w:tcPr>
          <w:p>
            <w:r/>
            <w:r>
              <w:rPr>
                <w:sz w:val="19"/>
              </w:rPr>
              <w:t>Confirmed this pass — WhatsApp Share button + link generator already implemented in the document builder</w:t>
            </w:r>
          </w:p>
        </w:tc>
      </w:tr>
    </w:tbl>
    <w:p>
      <w:pPr>
        <w:spacing w:after="80"/>
      </w:pPr>
    </w:p>
    <w:p>
      <w:pPr>
        <w:spacing w:after="160"/>
      </w:pPr>
      <w:r>
        <w:rPr>
          <w:b w:val="0"/>
          <w:i w:val="0"/>
          <w:sz w:val="21"/>
        </w:rPr>
        <w:t>Wealth &amp; Goals (the full investment/net-worth/debt module) and Updates &amp; Growth (the ad monetization hub) remain hidden — they are not on this brief's Core V1 list either, so the first pass's decision on those two stands.</w:t>
      </w:r>
    </w:p>
    <w:p>
      <w:pPr>
        <w:spacing w:before="320" w:after="120"/>
      </w:pPr>
      <w:r>
        <w:rPr>
          <w:b/>
          <w:color w:val="102A43"/>
          <w:sz w:val="32"/>
        </w:rPr>
        <w:t>4. New: AZIIKI Wealth Calculator</w:t>
      </w:r>
    </w:p>
    <w:p>
      <w:pPr>
        <w:spacing w:after="160"/>
      </w:pPr>
      <w:r>
        <w:rPr>
          <w:b w:val="0"/>
          <w:i w:val="0"/>
          <w:sz w:val="21"/>
        </w:rPr>
        <w:t>This brief specified a compound-interest calculator in enough detail (exact formula, exact inputs, exact outputs) to build safely without guessing at scope, and it's self-contained — pure arithmetic, no database, no dependency on the hidden Wealth &amp; Goals module. It's now live inside the Reports &amp; Wisdom tab as its own card: AZIIKI Wealth Calculator.</w:t>
      </w:r>
    </w:p>
    <w:p>
      <w:pPr>
        <w:pStyle w:val="ListBullet"/>
        <w:spacing w:after="80"/>
      </w:pPr>
      <w:r>
        <w:rPr>
          <w:sz w:val="21"/>
        </w:rPr>
        <w:t>Inputs: starting amount, monthly top-up, annual return %, duration in years, compounding frequency (daily / monthly / quarterly / yearly).</w:t>
      </w:r>
    </w:p>
    <w:p>
      <w:pPr>
        <w:pStyle w:val="ListBullet"/>
        <w:spacing w:after="80"/>
      </w:pPr>
      <w:r>
        <w:rPr>
          <w:sz w:val="21"/>
        </w:rPr>
        <w:t>Formula: A = P(1 + r/n)^(nt), with monthly contributions converted to the matching per-period contribution for whichever compounding frequency is selected.</w:t>
      </w:r>
    </w:p>
    <w:p>
      <w:pPr>
        <w:pStyle w:val="ListBullet"/>
        <w:spacing w:after="80"/>
      </w:pPr>
      <w:r>
        <w:rPr>
          <w:sz w:val="21"/>
        </w:rPr>
        <w:t>Outputs: total invested, interest earned, projected future value, and a lightweight year-by-year growth bar chart (built with plain HTML/CSS bars — no new chart-library dependency).</w:t>
      </w:r>
    </w:p>
    <w:p>
      <w:pPr>
        <w:pStyle w:val="ListBullet"/>
        <w:spacing w:after="80"/>
      </w:pPr>
      <w:r>
        <w:rPr>
          <w:sz w:val="21"/>
        </w:rPr>
        <w:t>An explicit "this is educational, not financial advice, talk to a licensed advisor" disclaimer is shown under the results, per the brief's own instruction to make it educational rather than advisory.</w:t>
      </w:r>
    </w:p>
    <w:p>
      <w:pPr>
        <w:spacing w:before="320" w:after="120"/>
      </w:pPr>
      <w:r>
        <w:rPr>
          <w:b/>
          <w:color w:val="102A43"/>
          <w:sz w:val="32"/>
        </w:rPr>
        <w:t>5. AZIIKI Business Wisdom Hub — Version 2 (specified, not built)</w:t>
      </w:r>
    </w:p>
    <w:p>
      <w:pPr>
        <w:spacing w:after="160"/>
      </w:pPr>
      <w:r>
        <w:rPr>
          <w:b w:val="0"/>
          <w:i/>
          <w:sz w:val="21"/>
        </w:rPr>
        <w:t>Your brief itself labels this a "Version 2 Feature" and its own "Remove Non-MVP Complexity" section says anything outside Core V1 should move to Coming Later / Version 2 / Future Expansion rather than clutter the MVP. Taken together, this is your own instruction not to build it now — so this section documents the concept precisely enough to build later without losing any of the design thinking, rather than shipping a half-built version into your MVP.</w:t>
      </w:r>
    </w:p>
    <w:p>
      <w:pPr>
        <w:spacing w:before="200" w:after="80"/>
      </w:pPr>
      <w:r>
        <w:rPr>
          <w:b/>
          <w:color w:val="D97706"/>
          <w:sz w:val="26"/>
        </w:rPr>
        <w:t>Concept</w:t>
      </w:r>
    </w:p>
    <w:p>
      <w:pPr>
        <w:spacing w:after="160"/>
      </w:pPr>
      <w:r>
        <w:rPr>
          <w:b w:val="0"/>
          <w:i w:val="0"/>
          <w:sz w:val="21"/>
        </w:rPr>
        <w:t>A learning feed inside the app — daily insights, weekly lessons, category browsing, save-for-later, reading history — that generates ORIGINAL content inspired by (never copied from) well-known business/finance thinking, and personalizes recommendations based on what a business's own data shows (e.g., a business with overdue invoices gets a customer-credit-management lesson; a retail business gets inventory-management lessons).</w:t>
      </w:r>
    </w:p>
    <w:p>
      <w:pPr>
        <w:spacing w:before="200" w:after="80"/>
      </w:pPr>
      <w:r>
        <w:rPr>
          <w:b/>
          <w:color w:val="D97706"/>
          <w:sz w:val="26"/>
        </w:rPr>
        <w:t>Categories</w:t>
      </w:r>
    </w:p>
    <w:p>
      <w:pPr>
        <w:spacing w:after="160"/>
      </w:pPr>
      <w:r>
        <w:rPr>
          <w:b w:val="0"/>
          <w:i w:val="0"/>
          <w:sz w:val="21"/>
        </w:rPr>
        <w:t>Personal Finance · Entrepreneurship · Leadership · Business Management · AI for Business · Sales · Marketing · Productivity · Investing · Wealth Building · Customer Service · Financial Literacy · Business Strategy</w:t>
      </w:r>
    </w:p>
    <w:p>
      <w:pPr>
        <w:spacing w:before="200" w:after="80"/>
      </w:pPr>
      <w:r>
        <w:rPr>
          <w:b/>
          <w:color w:val="D97706"/>
          <w:sz w:val="26"/>
        </w:rPr>
        <w:t>Worked example — the exact format future lessons should follow</w:t>
      </w:r>
    </w:p>
    <w:tbl>
      <w:tblPr>
        <w:tblW w:type="auto" w:w="0"/>
        <w:jc w:val="center"/>
        <w:tblLayout w:type="autofit"/>
        <w:tblLook w:firstColumn="1" w:firstRow="1" w:lastColumn="0" w:lastRow="0" w:noHBand="0" w:noVBand="1" w:val="04A0"/>
      </w:tblPr>
      <w:tblGrid>
        <w:gridCol w:w="5256"/>
        <w:gridCol w:w="5256"/>
      </w:tblGrid>
      <w:tr>
        <w:tc>
          <w:tcPr>
            <w:tcW w:type="dxa" w:w="2313"/>
            <w:shd w:val="clear" w:fill="102A43"/>
          </w:tcPr>
          <w:p>
            <w:r/>
            <w:r>
              <w:rPr>
                <w:b/>
                <w:color w:val="FFFFFF"/>
                <w:sz w:val="19"/>
              </w:rPr>
              <w:t>Field</w:t>
            </w:r>
          </w:p>
        </w:tc>
        <w:tc>
          <w:tcPr>
            <w:tcW w:type="dxa" w:w="8199"/>
            <w:shd w:val="clear" w:fill="102A43"/>
          </w:tcPr>
          <w:p>
            <w:r/>
            <w:r>
              <w:rPr>
                <w:b/>
                <w:color w:val="FFFFFF"/>
                <w:sz w:val="19"/>
              </w:rPr>
              <w:t>Content</w:t>
            </w:r>
          </w:p>
        </w:tc>
      </w:tr>
      <w:tr>
        <w:tc>
          <w:tcPr>
            <w:tcW w:type="dxa" w:w="2313"/>
          </w:tcPr>
          <w:p>
            <w:r/>
            <w:r>
              <w:rPr>
                <w:sz w:val="19"/>
              </w:rPr>
              <w:t>Inspired by</w:t>
            </w:r>
          </w:p>
        </w:tc>
        <w:tc>
          <w:tcPr>
            <w:tcW w:type="dxa" w:w="8199"/>
          </w:tcPr>
          <w:p>
            <w:r/>
            <w:r>
              <w:rPr>
                <w:sz w:val="19"/>
              </w:rPr>
              <w:t>The Psychology of Money (concept only — no text reproduced)</w:t>
            </w:r>
          </w:p>
        </w:tc>
      </w:tr>
      <w:tr>
        <w:tc>
          <w:tcPr>
            <w:tcW w:type="dxa" w:w="2313"/>
            <w:shd w:val="clear" w:fill="EEF2F6"/>
          </w:tcPr>
          <w:p>
            <w:r/>
            <w:r>
              <w:rPr>
                <w:sz w:val="19"/>
              </w:rPr>
              <w:t>Lesson</w:t>
            </w:r>
          </w:p>
        </w:tc>
        <w:tc>
          <w:tcPr>
            <w:tcW w:type="dxa" w:w="8199"/>
            <w:shd w:val="clear" w:fill="EEF2F6"/>
          </w:tcPr>
          <w:p>
            <w:r/>
            <w:r>
              <w:rPr>
                <w:sz w:val="19"/>
              </w:rPr>
              <w:t>Why protecting cash flow matters more than chasing revenue.</w:t>
            </w:r>
          </w:p>
        </w:tc>
      </w:tr>
      <w:tr>
        <w:tc>
          <w:tcPr>
            <w:tcW w:type="dxa" w:w="2313"/>
          </w:tcPr>
          <w:p>
            <w:r/>
            <w:r>
              <w:rPr>
                <w:sz w:val="19"/>
              </w:rPr>
              <w:t>Action</w:t>
            </w:r>
          </w:p>
        </w:tc>
        <w:tc>
          <w:tcPr>
            <w:tcW w:type="dxa" w:w="8199"/>
          </w:tcPr>
          <w:p>
            <w:r/>
            <w:r>
              <w:rPr>
                <w:sz w:val="19"/>
              </w:rPr>
              <w:t>Review your biggest monthly expenses this week.</w:t>
            </w:r>
          </w:p>
        </w:tc>
      </w:tr>
      <w:tr>
        <w:tc>
          <w:tcPr>
            <w:tcW w:type="dxa" w:w="2313"/>
            <w:shd w:val="clear" w:fill="EEF2F6"/>
          </w:tcPr>
          <w:p>
            <w:r/>
            <w:r>
              <w:rPr>
                <w:sz w:val="19"/>
              </w:rPr>
              <w:t>Reflection</w:t>
            </w:r>
          </w:p>
        </w:tc>
        <w:tc>
          <w:tcPr>
            <w:tcW w:type="dxa" w:w="8199"/>
            <w:shd w:val="clear" w:fill="EEF2F6"/>
          </w:tcPr>
          <w:p>
            <w:r/>
            <w:r>
              <w:rPr>
                <w:sz w:val="19"/>
              </w:rPr>
              <w:t>"What expense creates the least value for my business?"</w:t>
            </w:r>
          </w:p>
        </w:tc>
      </w:tr>
      <w:tr>
        <w:tc>
          <w:tcPr>
            <w:tcW w:type="dxa" w:w="2313"/>
          </w:tcPr>
          <w:p>
            <w:r/>
            <w:r>
              <w:rPr>
                <w:sz w:val="19"/>
              </w:rPr>
              <w:t>AZIIKI recommendation</w:t>
            </w:r>
          </w:p>
        </w:tc>
        <w:tc>
          <w:tcPr>
            <w:tcW w:type="dxa" w:w="8199"/>
          </w:tcPr>
          <w:p>
            <w:r/>
            <w:r>
              <w:rPr>
                <w:sz w:val="19"/>
              </w:rPr>
              <w:t>Contextual — e.g., pulled from that business's own Reports &amp; Wisdom data once this ships.</w:t>
            </w:r>
          </w:p>
        </w:tc>
      </w:tr>
    </w:tbl>
    <w:p>
      <w:pPr>
        <w:spacing w:after="80"/>
      </w:pPr>
    </w:p>
    <w:p>
      <w:pPr>
        <w:spacing w:before="200" w:after="80"/>
      </w:pPr>
      <w:r>
        <w:rPr>
          <w:b/>
          <w:color w:val="D97706"/>
          <w:sz w:val="26"/>
        </w:rPr>
        <w:t>Personalization logic (design intent, not yet implemented)</w:t>
      </w:r>
    </w:p>
    <w:p>
      <w:pPr>
        <w:pStyle w:val="ListBullet"/>
        <w:spacing w:after="80"/>
      </w:pPr>
      <w:r>
        <w:rPr>
          <w:sz w:val="21"/>
        </w:rPr>
        <w:t>Photography-type business → pricing lessons, client management, equipment-investment lessons.</w:t>
      </w:r>
    </w:p>
    <w:p>
      <w:pPr>
        <w:pStyle w:val="ListBullet"/>
        <w:spacing w:after="80"/>
      </w:pPr>
      <w:r>
        <w:rPr>
          <w:sz w:val="21"/>
        </w:rPr>
        <w:t>Retail-type business → inventory management, cash-flow lessons.</w:t>
      </w:r>
    </w:p>
    <w:p>
      <w:pPr>
        <w:pStyle w:val="ListBullet"/>
        <w:spacing w:after="80"/>
      </w:pPr>
      <w:r>
        <w:rPr>
          <w:sz w:val="21"/>
        </w:rPr>
        <w:t>Business with overdue invoices in its own data → customer-credit-management lessons.</w:t>
      </w:r>
    </w:p>
    <w:p>
      <w:pPr>
        <w:spacing w:after="160"/>
      </w:pPr>
      <w:r>
        <w:rPr>
          <w:b w:val="0"/>
          <w:i/>
          <w:color w:val="B45309"/>
          <w:sz w:val="21"/>
        </w:rPr>
        <w:t>Build note for whenever this becomes a real task: content generation needs a clear editorial guardrail (a prompt or review step that enforces "inspired by, never reproduced") before it ships, since this is the one part of the brief with real copyright exposure if implemented carelessly.</w:t>
      </w:r>
    </w:p>
    <w:p>
      <w:pPr>
        <w:spacing w:before="320" w:after="120"/>
      </w:pPr>
      <w:r>
        <w:rPr>
          <w:b/>
          <w:color w:val="102A43"/>
          <w:sz w:val="32"/>
        </w:rPr>
        <w:t>6. Files added / modified this pass</w:t>
      </w:r>
    </w:p>
    <w:tbl>
      <w:tblPr>
        <w:tblW w:type="auto" w:w="0"/>
        <w:jc w:val="center"/>
        <w:tblLayout w:type="autofit"/>
        <w:tblLook w:firstColumn="1" w:firstRow="1" w:lastColumn="0" w:lastRow="0" w:noHBand="0" w:noVBand="1" w:val="04A0"/>
      </w:tblPr>
      <w:tblGrid>
        <w:gridCol w:w="5256"/>
        <w:gridCol w:w="5256"/>
      </w:tblGrid>
      <w:tr>
        <w:tc>
          <w:tcPr>
            <w:tcW w:type="dxa" w:w="4415"/>
            <w:shd w:val="clear" w:fill="102A43"/>
          </w:tcPr>
          <w:p>
            <w:r/>
            <w:r>
              <w:rPr>
                <w:b/>
                <w:color w:val="FFFFFF"/>
                <w:sz w:val="19"/>
              </w:rPr>
              <w:t>File</w:t>
            </w:r>
          </w:p>
        </w:tc>
        <w:tc>
          <w:tcPr>
            <w:tcW w:type="dxa" w:w="6097"/>
            <w:shd w:val="clear" w:fill="102A43"/>
          </w:tcPr>
          <w:p>
            <w:r/>
            <w:r>
              <w:rPr>
                <w:b/>
                <w:color w:val="FFFFFF"/>
                <w:sz w:val="19"/>
              </w:rPr>
              <w:t>Change</w:t>
            </w:r>
          </w:p>
        </w:tc>
      </w:tr>
      <w:tr>
        <w:tc>
          <w:tcPr>
            <w:tcW w:type="dxa" w:w="4415"/>
          </w:tcPr>
          <w:p>
            <w:r/>
            <w:r>
              <w:rPr>
                <w:sz w:val="19"/>
              </w:rPr>
              <w:t>src/components/InvoiceReceiptBuilder.tsx</w:t>
            </w:r>
          </w:p>
        </w:tc>
        <w:tc>
          <w:tcPr>
            <w:tcW w:type="dxa" w:w="6097"/>
          </w:tcPr>
          <w:p>
            <w:r/>
            <w:r>
              <w:rPr>
                <w:sz w:val="19"/>
              </w:rPr>
              <w:t>DESIGN_TEMPLATES renamed (all 10, see Section 2); MVP_TEMPLATE_IDS now includes all 10; template-picker numbering bug fixed (sequential display position instead of raw array id).</w:t>
            </w:r>
          </w:p>
        </w:tc>
      </w:tr>
      <w:tr>
        <w:tc>
          <w:tcPr>
            <w:tcW w:type="dxa" w:w="4415"/>
            <w:shd w:val="clear" w:fill="EEF2F6"/>
          </w:tcPr>
          <w:p>
            <w:r/>
            <w:r>
              <w:rPr>
                <w:sz w:val="19"/>
              </w:rPr>
              <w:t>src/App.tsx</w:t>
            </w:r>
          </w:p>
        </w:tc>
        <w:tc>
          <w:tcPr>
            <w:tcW w:type="dxa" w:w="6097"/>
            <w:shd w:val="clear" w:fill="EEF2F6"/>
          </w:tcPr>
          <w:p>
            <w:r/>
            <w:r>
              <w:rPr>
                <w:sz w:val="19"/>
              </w:rPr>
              <w:t>Basic Inventory ("stock" tab) un-gated from MVP_MODE — nav button, render block, and changeTab() redirect guard all updated; doc comments updated to reflect Core V1 reconciliation.</w:t>
            </w:r>
          </w:p>
        </w:tc>
      </w:tr>
      <w:tr>
        <w:tc>
          <w:tcPr>
            <w:tcW w:type="dxa" w:w="4415"/>
          </w:tcPr>
          <w:p>
            <w:r/>
            <w:r>
              <w:rPr>
                <w:sz w:val="19"/>
              </w:rPr>
              <w:t>src/components/AziikiWealthCalculator.tsx</w:t>
            </w:r>
          </w:p>
        </w:tc>
        <w:tc>
          <w:tcPr>
            <w:tcW w:type="dxa" w:w="6097"/>
          </w:tcPr>
          <w:p>
            <w:r/>
            <w:r>
              <w:rPr>
                <w:sz w:val="19"/>
              </w:rPr>
              <w:t>New file. Self-contained compound-interest calculator component.</w:t>
            </w:r>
          </w:p>
        </w:tc>
      </w:tr>
      <w:tr>
        <w:tc>
          <w:tcPr>
            <w:tcW w:type="dxa" w:w="4415"/>
            <w:shd w:val="clear" w:fill="EEF2F6"/>
          </w:tcPr>
          <w:p>
            <w:r/>
            <w:r>
              <w:rPr>
                <w:sz w:val="19"/>
              </w:rPr>
              <w:t>src/components/FinancialReports.tsx</w:t>
            </w:r>
          </w:p>
        </w:tc>
        <w:tc>
          <w:tcPr>
            <w:tcW w:type="dxa" w:w="6097"/>
            <w:shd w:val="clear" w:fill="EEF2F6"/>
          </w:tcPr>
          <w:p>
            <w:r/>
            <w:r>
              <w:rPr>
                <w:sz w:val="19"/>
              </w:rPr>
              <w:t>Imports and renders AziikiWealthCalculator inside the Reports &amp; Wisdom tab.</w:t>
            </w:r>
          </w:p>
        </w:tc>
      </w:tr>
    </w:tbl>
    <w:p>
      <w:pPr>
        <w:spacing w:after="80"/>
      </w:pPr>
    </w:p>
    <w:p>
      <w:pPr>
        <w:spacing w:after="160"/>
      </w:pPr>
      <w:r>
        <w:rPr>
          <w:b w:val="0"/>
          <w:i/>
          <w:sz w:val="21"/>
        </w:rPr>
        <w:t>Nothing in src/server/ was touched in this pass either — still a front-end-only change, consistent with "preserve architecture, hide/restore via flags, don't rewrite."</w:t>
      </w:r>
    </w:p>
    <w:p>
      <w:pPr>
        <w:spacing w:before="320" w:after="120"/>
      </w:pPr>
      <w:r>
        <w:rPr>
          <w:b/>
          <w:color w:val="102A43"/>
          <w:sz w:val="32"/>
        </w:rPr>
        <w:t>7. Verification</w:t>
      </w:r>
    </w:p>
    <w:tbl>
      <w:tblPr>
        <w:tblW w:type="auto" w:w="0"/>
        <w:jc w:val="center"/>
        <w:tblLayout w:type="autofit"/>
        <w:tblLook w:firstColumn="1" w:firstRow="1" w:lastColumn="0" w:lastRow="0" w:noHBand="0" w:noVBand="1" w:val="04A0"/>
      </w:tblPr>
      <w:tblGrid>
        <w:gridCol w:w="5256"/>
        <w:gridCol w:w="5256"/>
      </w:tblGrid>
      <w:tr>
        <w:tc>
          <w:tcPr>
            <w:tcW w:type="dxa" w:w="4205"/>
            <w:shd w:val="clear" w:fill="102A43"/>
          </w:tcPr>
          <w:p>
            <w:r/>
            <w:r>
              <w:rPr>
                <w:b/>
                <w:color w:val="FFFFFF"/>
                <w:sz w:val="19"/>
              </w:rPr>
              <w:t>Check</w:t>
            </w:r>
          </w:p>
        </w:tc>
        <w:tc>
          <w:tcPr>
            <w:tcW w:type="dxa" w:w="6307"/>
            <w:shd w:val="clear" w:fill="102A43"/>
          </w:tcPr>
          <w:p>
            <w:r/>
            <w:r>
              <w:rPr>
                <w:b/>
                <w:color w:val="FFFFFF"/>
                <w:sz w:val="19"/>
              </w:rPr>
              <w:t>Result</w:t>
            </w:r>
          </w:p>
        </w:tc>
      </w:tr>
      <w:tr>
        <w:tc>
          <w:tcPr>
            <w:tcW w:type="dxa" w:w="4205"/>
          </w:tcPr>
          <w:p>
            <w:r/>
            <w:r>
              <w:rPr>
                <w:sz w:val="19"/>
              </w:rPr>
              <w:t>TypeScript (tsc --noEmit)</w:t>
            </w:r>
          </w:p>
        </w:tc>
        <w:tc>
          <w:tcPr>
            <w:tcW w:type="dxa" w:w="6307"/>
          </w:tcPr>
          <w:p>
            <w:r/>
            <w:r>
              <w:rPr>
                <w:sz w:val="19"/>
              </w:rPr>
              <w:t>0 errors, after every edit in this pass</w:t>
            </w:r>
          </w:p>
        </w:tc>
      </w:tr>
      <w:tr>
        <w:tc>
          <w:tcPr>
            <w:tcW w:type="dxa" w:w="4205"/>
            <w:shd w:val="clear" w:fill="EEF2F6"/>
          </w:tcPr>
          <w:p>
            <w:r/>
            <w:r>
              <w:rPr>
                <w:sz w:val="19"/>
              </w:rPr>
              <w:t>Rebrand audit (FOFU / PocketCFO)</w:t>
            </w:r>
          </w:p>
        </w:tc>
        <w:tc>
          <w:tcPr>
            <w:tcW w:type="dxa" w:w="6307"/>
            <w:shd w:val="clear" w:fill="EEF2F6"/>
          </w:tcPr>
          <w:p>
            <w:r/>
            <w:r>
              <w:rPr>
                <w:sz w:val="19"/>
              </w:rPr>
              <w:t>Zero matches anywhere in src/ — clean</w:t>
            </w:r>
          </w:p>
        </w:tc>
      </w:tr>
      <w:tr>
        <w:tc>
          <w:tcPr>
            <w:tcW w:type="dxa" w:w="4205"/>
          </w:tcPr>
          <w:p>
            <w:r/>
            <w:r>
              <w:rPr>
                <w:sz w:val="19"/>
              </w:rPr>
              <w:t>WhatsApp Sharing exists</w:t>
            </w:r>
          </w:p>
        </w:tc>
        <w:tc>
          <w:tcPr>
            <w:tcW w:type="dxa" w:w="6307"/>
          </w:tcPr>
          <w:p>
            <w:r/>
            <w:r>
              <w:rPr>
                <w:sz w:val="19"/>
              </w:rPr>
              <w:t>Confirmed — already implemented, no changes needed</w:t>
            </w:r>
          </w:p>
        </w:tc>
      </w:tr>
      <w:tr>
        <w:tc>
          <w:tcPr>
            <w:tcW w:type="dxa" w:w="4205"/>
            <w:shd w:val="clear" w:fill="EEF2F6"/>
          </w:tcPr>
          <w:p>
            <w:r/>
            <w:r>
              <w:rPr>
                <w:sz w:val="19"/>
              </w:rPr>
              <w:t>Plain-language reports (not accounting jargon)</w:t>
            </w:r>
          </w:p>
        </w:tc>
        <w:tc>
          <w:tcPr>
            <w:tcW w:type="dxa" w:w="6307"/>
            <w:shd w:val="clear" w:fill="EEF2F6"/>
          </w:tcPr>
          <w:p>
            <w:r/>
            <w:r>
              <w:rPr>
                <w:sz w:val="19"/>
              </w:rPr>
              <w:t>Confirmed already in place (Inflow Revenue / Expenses / Net Profit, not Accounts Receivable / Current Assets)</w:t>
            </w:r>
          </w:p>
        </w:tc>
      </w:tr>
      <w:tr>
        <w:tc>
          <w:tcPr>
            <w:tcW w:type="dxa" w:w="4205"/>
          </w:tcPr>
          <w:p>
            <w:r/>
            <w:r>
              <w:rPr>
                <w:sz w:val="19"/>
              </w:rPr>
              <w:t>Full production bundle (npm run build)</w:t>
            </w:r>
          </w:p>
        </w:tc>
        <w:tc>
          <w:tcPr>
            <w:tcW w:type="dxa" w:w="6307"/>
          </w:tcPr>
          <w:p>
            <w:r/>
            <w:r>
              <w:rPr>
                <w:sz w:val="19"/>
              </w:rPr>
              <w:t>Not run in this sandbox — same constraint as the first pass (see AZIIKI_BASIC_VERSION.docx Section 7). Run it locally and tell me if it errors.</w:t>
            </w:r>
          </w:p>
        </w:tc>
      </w:tr>
    </w:tbl>
    <w:p>
      <w:pPr>
        <w:spacing w:after="80"/>
      </w:pPr>
    </w:p>
    <w:p>
      <w:pPr>
        <w:spacing w:before="320" w:after="120"/>
      </w:pPr>
      <w:r>
        <w:rPr>
          <w:b/>
          <w:color w:val="102A43"/>
          <w:sz w:val="32"/>
        </w:rPr>
        <w:t>8. Running this locally (recap)</w:t>
      </w:r>
    </w:p>
    <w:p>
      <w:pPr>
        <w:spacing w:after="160"/>
      </w:pPr>
      <w:r>
        <w:rPr>
          <w:b w:val="0"/>
          <w:i w:val="0"/>
          <w:sz w:val="21"/>
        </w:rPr>
        <w:t>Since you're already running the app in VS Code: pull these changes in (they're saved directly to your project), then in the integrated terminal run npm install once if you haven't since the last pull, then npm run dev, and open the printed localhost URL. You should now see: Warehouse Stock back in the sidebar, 10 named templates in Billing &amp; PDFs -&gt; Styles with numbers 1 through 10, and a new AZIIKI Wealth Calculator card at the bottom of Reports &amp; Wisdom.</w:t>
      </w:r>
    </w:p>
    <w:p>
      <w:pPr>
        <w:spacing w:before="120" w:after="200"/>
        <w:pBdr>
          <w:bottom w:val="single" w:sz="6" w:space="1" w:color="CBD5E1"/>
        </w:pBdr>
      </w:pPr>
    </w:p>
    <w:p>
      <w:pPr>
        <w:spacing w:after="160"/>
      </w:pPr>
      <w:r>
        <w:rPr>
          <w:b w:val="0"/>
          <w:i/>
          <w:color w:val="64748B"/>
          <w:sz w:val="21"/>
        </w:rPr>
        <w:t>Companion documents: AZIIKI_BASIC_VERSION.docx (first MVP pass — nav gating mechanism, auth rebuild, risk register), AZIIKI_Brutal_Product_Teardown.docx (the original feature-scoring rationale), and the AZIIKI Complete Document Library.</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