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0152427"/>
        <w:docPartObj>
          <w:docPartGallery w:val="Cover Pages"/>
          <w:docPartUnique/>
        </w:docPartObj>
      </w:sdtPr>
      <w:sdtContent>
        <w:p w14:paraId="332B0638" w14:textId="2FAA3692" w:rsidR="00EF41A2" w:rsidRDefault="00EF41A2">
          <w:r>
            <w:rPr>
              <w:noProof/>
            </w:rPr>
            <mc:AlternateContent>
              <mc:Choice Requires="wpg">
                <w:drawing>
                  <wp:anchor distT="0" distB="0" distL="114300" distR="114300" simplePos="0" relativeHeight="251662336" behindDoc="0" locked="0" layoutInCell="1" allowOverlap="1" wp14:anchorId="149A5F26" wp14:editId="0140EF4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B3B7B0"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2737CD" wp14:editId="02948D3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DB823C" w14:textId="4AF59370" w:rsidR="00EF41A2" w:rsidRDefault="00EF41A2">
                                    <w:pPr>
                                      <w:pStyle w:val="Sinespaciado"/>
                                      <w:jc w:val="right"/>
                                      <w:rPr>
                                        <w:color w:val="595959" w:themeColor="text1" w:themeTint="A6"/>
                                        <w:sz w:val="28"/>
                                        <w:szCs w:val="28"/>
                                      </w:rPr>
                                    </w:pPr>
                                    <w:r>
                                      <w:rPr>
                                        <w:color w:val="595959" w:themeColor="text1" w:themeTint="A6"/>
                                        <w:sz w:val="28"/>
                                        <w:szCs w:val="28"/>
                                      </w:rPr>
                                      <w:t>Martín Josué Andrade Salazar | 219737144</w:t>
                                    </w:r>
                                  </w:p>
                                </w:sdtContent>
                              </w:sdt>
                              <w:p w14:paraId="3B204291" w14:textId="70590B55" w:rsidR="00EF41A2" w:rsidRDefault="00EF41A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Ingeniería de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2737CD"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DB823C" w14:textId="4AF59370" w:rsidR="00EF41A2" w:rsidRDefault="00EF41A2">
                              <w:pPr>
                                <w:pStyle w:val="Sinespaciado"/>
                                <w:jc w:val="right"/>
                                <w:rPr>
                                  <w:color w:val="595959" w:themeColor="text1" w:themeTint="A6"/>
                                  <w:sz w:val="28"/>
                                  <w:szCs w:val="28"/>
                                </w:rPr>
                              </w:pPr>
                              <w:r>
                                <w:rPr>
                                  <w:color w:val="595959" w:themeColor="text1" w:themeTint="A6"/>
                                  <w:sz w:val="28"/>
                                  <w:szCs w:val="28"/>
                                </w:rPr>
                                <w:t>Martín Josué Andrade Salazar | 219737144</w:t>
                              </w:r>
                            </w:p>
                          </w:sdtContent>
                        </w:sdt>
                        <w:p w14:paraId="3B204291" w14:textId="70590B55" w:rsidR="00EF41A2" w:rsidRDefault="00EF41A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Ingeniería de Software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FB335E" wp14:editId="1AEE6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0D776" w14:textId="77777777" w:rsidR="00EF41A2" w:rsidRDefault="00EF41A2">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2968031" w14:textId="2833E26C" w:rsidR="00EF41A2" w:rsidRDefault="00EF41A2">
                                    <w:pPr>
                                      <w:pStyle w:val="Sinespaciado"/>
                                      <w:jc w:val="right"/>
                                      <w:rPr>
                                        <w:color w:val="595959" w:themeColor="text1" w:themeTint="A6"/>
                                        <w:sz w:val="20"/>
                                        <w:szCs w:val="20"/>
                                      </w:rPr>
                                    </w:pPr>
                                    <w:r>
                                      <w:rPr>
                                        <w:color w:val="595959" w:themeColor="text1" w:themeTint="A6"/>
                                        <w:sz w:val="20"/>
                                        <w:szCs w:val="20"/>
                                      </w:rPr>
                                      <w:t xml:space="preserve">El presente documento muestra un análisis del documento </w:t>
                                    </w:r>
                                    <w:proofErr w:type="spellStart"/>
                                    <w:r>
                                      <w:rPr>
                                        <w:color w:val="595959" w:themeColor="text1" w:themeTint="A6"/>
                                        <w:sz w:val="20"/>
                                        <w:szCs w:val="20"/>
                                      </w:rPr>
                                      <w:t>business</w:t>
                                    </w:r>
                                    <w:proofErr w:type="spellEnd"/>
                                    <w:r>
                                      <w:rPr>
                                        <w:color w:val="595959" w:themeColor="text1" w:themeTint="A6"/>
                                        <w:sz w:val="20"/>
                                        <w:szCs w:val="20"/>
                                      </w:rPr>
                                      <w:t xml:space="preserve"> </w:t>
                                    </w:r>
                                    <w:proofErr w:type="spellStart"/>
                                    <w:r>
                                      <w:rPr>
                                        <w:color w:val="595959" w:themeColor="text1" w:themeTint="A6"/>
                                        <w:sz w:val="20"/>
                                        <w:szCs w:val="20"/>
                                      </w:rPr>
                                      <w:t>analysis</w:t>
                                    </w:r>
                                    <w:proofErr w:type="spellEnd"/>
                                    <w:r>
                                      <w:rPr>
                                        <w:color w:val="595959" w:themeColor="text1" w:themeTint="A6"/>
                                        <w:sz w:val="20"/>
                                        <w:szCs w:val="20"/>
                                      </w:rPr>
                                      <w:t xml:space="preserve"> </w:t>
                                    </w:r>
                                    <w:proofErr w:type="spellStart"/>
                                    <w:r>
                                      <w:rPr>
                                        <w:color w:val="595959" w:themeColor="text1" w:themeTint="A6"/>
                                        <w:sz w:val="20"/>
                                        <w:szCs w:val="20"/>
                                      </w:rPr>
                                      <w:t>benchmark</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FB335E"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040D776" w14:textId="77777777" w:rsidR="00EF41A2" w:rsidRDefault="00EF41A2">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2968031" w14:textId="2833E26C" w:rsidR="00EF41A2" w:rsidRDefault="00EF41A2">
                              <w:pPr>
                                <w:pStyle w:val="Sinespaciado"/>
                                <w:jc w:val="right"/>
                                <w:rPr>
                                  <w:color w:val="595959" w:themeColor="text1" w:themeTint="A6"/>
                                  <w:sz w:val="20"/>
                                  <w:szCs w:val="20"/>
                                </w:rPr>
                              </w:pPr>
                              <w:r>
                                <w:rPr>
                                  <w:color w:val="595959" w:themeColor="text1" w:themeTint="A6"/>
                                  <w:sz w:val="20"/>
                                  <w:szCs w:val="20"/>
                                </w:rPr>
                                <w:t xml:space="preserve">El presente documento muestra un análisis del documento </w:t>
                              </w:r>
                              <w:proofErr w:type="spellStart"/>
                              <w:r>
                                <w:rPr>
                                  <w:color w:val="595959" w:themeColor="text1" w:themeTint="A6"/>
                                  <w:sz w:val="20"/>
                                  <w:szCs w:val="20"/>
                                </w:rPr>
                                <w:t>business</w:t>
                              </w:r>
                              <w:proofErr w:type="spellEnd"/>
                              <w:r>
                                <w:rPr>
                                  <w:color w:val="595959" w:themeColor="text1" w:themeTint="A6"/>
                                  <w:sz w:val="20"/>
                                  <w:szCs w:val="20"/>
                                </w:rPr>
                                <w:t xml:space="preserve"> </w:t>
                              </w:r>
                              <w:proofErr w:type="spellStart"/>
                              <w:r>
                                <w:rPr>
                                  <w:color w:val="595959" w:themeColor="text1" w:themeTint="A6"/>
                                  <w:sz w:val="20"/>
                                  <w:szCs w:val="20"/>
                                </w:rPr>
                                <w:t>analysis</w:t>
                              </w:r>
                              <w:proofErr w:type="spellEnd"/>
                              <w:r>
                                <w:rPr>
                                  <w:color w:val="595959" w:themeColor="text1" w:themeTint="A6"/>
                                  <w:sz w:val="20"/>
                                  <w:szCs w:val="20"/>
                                </w:rPr>
                                <w:t xml:space="preserve"> </w:t>
                              </w:r>
                              <w:proofErr w:type="spellStart"/>
                              <w:r>
                                <w:rPr>
                                  <w:color w:val="595959" w:themeColor="text1" w:themeTint="A6"/>
                                  <w:sz w:val="20"/>
                                  <w:szCs w:val="20"/>
                                </w:rPr>
                                <w:t>benchmark</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56C32E" wp14:editId="098A95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2A6D0" w14:textId="3648DDAB" w:rsidR="00EF41A2" w:rsidRPr="00EF41A2" w:rsidRDefault="00EF41A2">
                                <w:pPr>
                                  <w:jc w:val="right"/>
                                  <w:rPr>
                                    <w:color w:val="4472C4" w:themeColor="accent1"/>
                                    <w:sz w:val="56"/>
                                    <w:szCs w:val="56"/>
                                  </w:rPr>
                                </w:pPr>
                                <w:sdt>
                                  <w:sdtPr>
                                    <w:rPr>
                                      <w:caps/>
                                      <w:color w:val="4472C4"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F41A2">
                                      <w:rPr>
                                        <w:caps/>
                                        <w:color w:val="4472C4" w:themeColor="accent1"/>
                                        <w:sz w:val="56"/>
                                        <w:szCs w:val="56"/>
                                      </w:rPr>
                                      <w:t>Business Analysis benchmark</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E65608" w14:textId="64EE5EC4" w:rsidR="00EF41A2" w:rsidRDefault="00EF41A2">
                                    <w:pPr>
                                      <w:jc w:val="right"/>
                                      <w:rPr>
                                        <w:smallCaps/>
                                        <w:color w:val="404040" w:themeColor="text1" w:themeTint="BF"/>
                                        <w:sz w:val="36"/>
                                        <w:szCs w:val="36"/>
                                      </w:rPr>
                                    </w:pPr>
                                    <w:r>
                                      <w:rPr>
                                        <w:color w:val="404040" w:themeColor="text1" w:themeTint="BF"/>
                                        <w:sz w:val="36"/>
                                        <w:szCs w:val="36"/>
                                      </w:rPr>
                                      <w:t>Desarrollo de software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56C32E"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3A2A6D0" w14:textId="3648DDAB" w:rsidR="00EF41A2" w:rsidRPr="00EF41A2" w:rsidRDefault="00EF41A2">
                          <w:pPr>
                            <w:jc w:val="right"/>
                            <w:rPr>
                              <w:color w:val="4472C4" w:themeColor="accent1"/>
                              <w:sz w:val="56"/>
                              <w:szCs w:val="56"/>
                            </w:rPr>
                          </w:pPr>
                          <w:sdt>
                            <w:sdtPr>
                              <w:rPr>
                                <w:caps/>
                                <w:color w:val="4472C4"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F41A2">
                                <w:rPr>
                                  <w:caps/>
                                  <w:color w:val="4472C4" w:themeColor="accent1"/>
                                  <w:sz w:val="56"/>
                                  <w:szCs w:val="56"/>
                                </w:rPr>
                                <w:t>Business Analysis benchmark</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E65608" w14:textId="64EE5EC4" w:rsidR="00EF41A2" w:rsidRDefault="00EF41A2">
                              <w:pPr>
                                <w:jc w:val="right"/>
                                <w:rPr>
                                  <w:smallCaps/>
                                  <w:color w:val="404040" w:themeColor="text1" w:themeTint="BF"/>
                                  <w:sz w:val="36"/>
                                  <w:szCs w:val="36"/>
                                </w:rPr>
                              </w:pPr>
                              <w:r>
                                <w:rPr>
                                  <w:color w:val="404040" w:themeColor="text1" w:themeTint="BF"/>
                                  <w:sz w:val="36"/>
                                  <w:szCs w:val="36"/>
                                </w:rPr>
                                <w:t>Desarrollo de software I</w:t>
                              </w:r>
                            </w:p>
                          </w:sdtContent>
                        </w:sdt>
                      </w:txbxContent>
                    </v:textbox>
                    <w10:wrap type="square" anchorx="page" anchory="page"/>
                  </v:shape>
                </w:pict>
              </mc:Fallback>
            </mc:AlternateContent>
          </w:r>
        </w:p>
        <w:p w14:paraId="1B4CC6B0" w14:textId="7B8D9588" w:rsidR="00EF41A2" w:rsidRDefault="00EF41A2">
          <w:r>
            <w:rPr>
              <w:noProof/>
              <w:color w:val="595959" w:themeColor="text1" w:themeTint="A6"/>
              <w:sz w:val="20"/>
              <w:szCs w:val="20"/>
            </w:rPr>
            <w:drawing>
              <wp:anchor distT="0" distB="0" distL="114300" distR="114300" simplePos="0" relativeHeight="251663360" behindDoc="0" locked="0" layoutInCell="1" allowOverlap="1" wp14:anchorId="3DA5A2D0" wp14:editId="3BF0DB20">
                <wp:simplePos x="0" y="0"/>
                <wp:positionH relativeFrom="margin">
                  <wp:posOffset>669360</wp:posOffset>
                </wp:positionH>
                <wp:positionV relativeFrom="margin">
                  <wp:posOffset>997375</wp:posOffset>
                </wp:positionV>
                <wp:extent cx="1802130" cy="2447290"/>
                <wp:effectExtent l="0" t="0" r="7620" b="0"/>
                <wp:wrapSquare wrapText="bothSides"/>
                <wp:docPr id="92441763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17632" name="Imagen 1"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2130" cy="244729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lang w:val="es-ES"/>
        </w:rPr>
        <w:id w:val="-196719826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D6B588C" w14:textId="10DBE456" w:rsidR="00E2361C" w:rsidRDefault="00E2361C">
          <w:pPr>
            <w:pStyle w:val="TtuloTDC"/>
          </w:pPr>
          <w:r>
            <w:rPr>
              <w:lang w:val="es-ES"/>
            </w:rPr>
            <w:t>Índice</w:t>
          </w:r>
        </w:p>
        <w:p w14:paraId="49083B70" w14:textId="6253DAB0" w:rsidR="004C091C" w:rsidRDefault="00E2361C">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7269629" w:history="1">
            <w:r w:rsidR="004C091C" w:rsidRPr="00D22482">
              <w:rPr>
                <w:rStyle w:val="Hipervnculo"/>
                <w:rFonts w:ascii="Arial" w:hAnsi="Arial" w:cs="Arial"/>
                <w:b/>
                <w:bCs/>
                <w:noProof/>
              </w:rPr>
              <w:t>El modelo de madurez de requisitos</w:t>
            </w:r>
            <w:r w:rsidR="004C091C">
              <w:rPr>
                <w:noProof/>
                <w:webHidden/>
              </w:rPr>
              <w:tab/>
            </w:r>
            <w:r w:rsidR="004C091C">
              <w:rPr>
                <w:noProof/>
                <w:webHidden/>
              </w:rPr>
              <w:fldChar w:fldCharType="begin"/>
            </w:r>
            <w:r w:rsidR="004C091C">
              <w:rPr>
                <w:noProof/>
                <w:webHidden/>
              </w:rPr>
              <w:instrText xml:space="preserve"> PAGEREF _Toc157269629 \h </w:instrText>
            </w:r>
            <w:r w:rsidR="004C091C">
              <w:rPr>
                <w:noProof/>
                <w:webHidden/>
              </w:rPr>
            </w:r>
            <w:r w:rsidR="004C091C">
              <w:rPr>
                <w:noProof/>
                <w:webHidden/>
              </w:rPr>
              <w:fldChar w:fldCharType="separate"/>
            </w:r>
            <w:r w:rsidR="004C091C">
              <w:rPr>
                <w:noProof/>
                <w:webHidden/>
              </w:rPr>
              <w:t>2</w:t>
            </w:r>
            <w:r w:rsidR="004C091C">
              <w:rPr>
                <w:noProof/>
                <w:webHidden/>
              </w:rPr>
              <w:fldChar w:fldCharType="end"/>
            </w:r>
          </w:hyperlink>
        </w:p>
        <w:p w14:paraId="5BDD12E0" w14:textId="5F152892" w:rsidR="004C091C" w:rsidRDefault="004C091C">
          <w:pPr>
            <w:pStyle w:val="TDC1"/>
            <w:tabs>
              <w:tab w:val="right" w:leader="dot" w:pos="8828"/>
            </w:tabs>
            <w:rPr>
              <w:rFonts w:eastAsiaTheme="minorEastAsia"/>
              <w:noProof/>
              <w:lang w:eastAsia="es-MX"/>
            </w:rPr>
          </w:pPr>
          <w:hyperlink w:anchor="_Toc157269630" w:history="1">
            <w:r w:rsidRPr="00D22482">
              <w:rPr>
                <w:rStyle w:val="Hipervnculo"/>
                <w:rFonts w:ascii="Arial" w:hAnsi="Arial" w:cs="Arial"/>
                <w:b/>
                <w:bCs/>
                <w:noProof/>
              </w:rPr>
              <w:t>Medición de la madurez</w:t>
            </w:r>
            <w:r>
              <w:rPr>
                <w:noProof/>
                <w:webHidden/>
              </w:rPr>
              <w:tab/>
            </w:r>
            <w:r>
              <w:rPr>
                <w:noProof/>
                <w:webHidden/>
              </w:rPr>
              <w:fldChar w:fldCharType="begin"/>
            </w:r>
            <w:r>
              <w:rPr>
                <w:noProof/>
                <w:webHidden/>
              </w:rPr>
              <w:instrText xml:space="preserve"> PAGEREF _Toc157269630 \h </w:instrText>
            </w:r>
            <w:r>
              <w:rPr>
                <w:noProof/>
                <w:webHidden/>
              </w:rPr>
            </w:r>
            <w:r>
              <w:rPr>
                <w:noProof/>
                <w:webHidden/>
              </w:rPr>
              <w:fldChar w:fldCharType="separate"/>
            </w:r>
            <w:r>
              <w:rPr>
                <w:noProof/>
                <w:webHidden/>
              </w:rPr>
              <w:t>3</w:t>
            </w:r>
            <w:r>
              <w:rPr>
                <w:noProof/>
                <w:webHidden/>
              </w:rPr>
              <w:fldChar w:fldCharType="end"/>
            </w:r>
          </w:hyperlink>
        </w:p>
        <w:p w14:paraId="4B29F763" w14:textId="02AC2EC5" w:rsidR="004C091C" w:rsidRDefault="004C091C">
          <w:pPr>
            <w:pStyle w:val="TDC1"/>
            <w:tabs>
              <w:tab w:val="right" w:leader="dot" w:pos="8828"/>
            </w:tabs>
            <w:rPr>
              <w:rFonts w:eastAsiaTheme="minorEastAsia"/>
              <w:noProof/>
              <w:lang w:eastAsia="es-MX"/>
            </w:rPr>
          </w:pPr>
          <w:hyperlink w:anchor="_Toc157269631" w:history="1">
            <w:r w:rsidRPr="00D22482">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_Toc157269631 \h </w:instrText>
            </w:r>
            <w:r>
              <w:rPr>
                <w:noProof/>
                <w:webHidden/>
              </w:rPr>
            </w:r>
            <w:r>
              <w:rPr>
                <w:noProof/>
                <w:webHidden/>
              </w:rPr>
              <w:fldChar w:fldCharType="separate"/>
            </w:r>
            <w:r>
              <w:rPr>
                <w:noProof/>
                <w:webHidden/>
              </w:rPr>
              <w:t>3</w:t>
            </w:r>
            <w:r>
              <w:rPr>
                <w:noProof/>
                <w:webHidden/>
              </w:rPr>
              <w:fldChar w:fldCharType="end"/>
            </w:r>
          </w:hyperlink>
        </w:p>
        <w:p w14:paraId="24046CE7" w14:textId="6DD70891" w:rsidR="004C091C" w:rsidRDefault="004C091C">
          <w:pPr>
            <w:pStyle w:val="TDC1"/>
            <w:tabs>
              <w:tab w:val="right" w:leader="dot" w:pos="8828"/>
            </w:tabs>
            <w:rPr>
              <w:rFonts w:eastAsiaTheme="minorEastAsia"/>
              <w:noProof/>
              <w:lang w:eastAsia="es-MX"/>
            </w:rPr>
          </w:pPr>
          <w:hyperlink w:anchor="_Toc157269632" w:history="1">
            <w:r w:rsidRPr="00D22482">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_Toc157269632 \h </w:instrText>
            </w:r>
            <w:r>
              <w:rPr>
                <w:noProof/>
                <w:webHidden/>
              </w:rPr>
            </w:r>
            <w:r>
              <w:rPr>
                <w:noProof/>
                <w:webHidden/>
              </w:rPr>
              <w:fldChar w:fldCharType="separate"/>
            </w:r>
            <w:r>
              <w:rPr>
                <w:noProof/>
                <w:webHidden/>
              </w:rPr>
              <w:t>3</w:t>
            </w:r>
            <w:r>
              <w:rPr>
                <w:noProof/>
                <w:webHidden/>
              </w:rPr>
              <w:fldChar w:fldCharType="end"/>
            </w:r>
          </w:hyperlink>
        </w:p>
        <w:p w14:paraId="5A30BC5D" w14:textId="58D2AEE3" w:rsidR="00E2361C" w:rsidRDefault="00E2361C">
          <w:r>
            <w:rPr>
              <w:b/>
              <w:bCs/>
              <w:lang w:val="es-ES"/>
            </w:rPr>
            <w:fldChar w:fldCharType="end"/>
          </w:r>
        </w:p>
      </w:sdtContent>
    </w:sdt>
    <w:p w14:paraId="6925A38E" w14:textId="77777777" w:rsidR="00E2361C" w:rsidRDefault="00E2361C" w:rsidP="00E2361C">
      <w:pPr>
        <w:jc w:val="both"/>
        <w:rPr>
          <w:rFonts w:ascii="Arial" w:hAnsi="Arial" w:cs="Arial"/>
          <w:b/>
          <w:bCs/>
          <w:sz w:val="24"/>
          <w:szCs w:val="24"/>
        </w:rPr>
      </w:pPr>
    </w:p>
    <w:p w14:paraId="03B0399C" w14:textId="77777777" w:rsidR="00E2361C" w:rsidRDefault="00E2361C" w:rsidP="00E2361C">
      <w:pPr>
        <w:jc w:val="both"/>
        <w:rPr>
          <w:rFonts w:ascii="Arial" w:hAnsi="Arial" w:cs="Arial"/>
          <w:b/>
          <w:bCs/>
          <w:sz w:val="24"/>
          <w:szCs w:val="24"/>
        </w:rPr>
      </w:pPr>
    </w:p>
    <w:p w14:paraId="558F6B65" w14:textId="77777777" w:rsidR="00E2361C" w:rsidRDefault="00E2361C" w:rsidP="00E2361C">
      <w:pPr>
        <w:jc w:val="both"/>
        <w:rPr>
          <w:rFonts w:ascii="Arial" w:hAnsi="Arial" w:cs="Arial"/>
          <w:b/>
          <w:bCs/>
          <w:sz w:val="24"/>
          <w:szCs w:val="24"/>
        </w:rPr>
      </w:pPr>
    </w:p>
    <w:p w14:paraId="0042429A" w14:textId="77777777" w:rsidR="00E2361C" w:rsidRDefault="00E2361C" w:rsidP="00E2361C">
      <w:pPr>
        <w:jc w:val="both"/>
        <w:rPr>
          <w:rFonts w:ascii="Arial" w:hAnsi="Arial" w:cs="Arial"/>
          <w:b/>
          <w:bCs/>
          <w:sz w:val="24"/>
          <w:szCs w:val="24"/>
        </w:rPr>
      </w:pPr>
    </w:p>
    <w:p w14:paraId="20134431" w14:textId="77777777" w:rsidR="00E2361C" w:rsidRDefault="00E2361C" w:rsidP="00E2361C">
      <w:pPr>
        <w:jc w:val="both"/>
        <w:rPr>
          <w:rFonts w:ascii="Arial" w:hAnsi="Arial" w:cs="Arial"/>
          <w:b/>
          <w:bCs/>
          <w:sz w:val="24"/>
          <w:szCs w:val="24"/>
        </w:rPr>
      </w:pPr>
    </w:p>
    <w:p w14:paraId="104131E4" w14:textId="77777777" w:rsidR="00E2361C" w:rsidRDefault="00E2361C" w:rsidP="00E2361C">
      <w:pPr>
        <w:jc w:val="both"/>
        <w:rPr>
          <w:rFonts w:ascii="Arial" w:hAnsi="Arial" w:cs="Arial"/>
          <w:b/>
          <w:bCs/>
          <w:sz w:val="24"/>
          <w:szCs w:val="24"/>
        </w:rPr>
      </w:pPr>
    </w:p>
    <w:p w14:paraId="61CD63D3" w14:textId="77777777" w:rsidR="00E2361C" w:rsidRDefault="00E2361C" w:rsidP="00E2361C">
      <w:pPr>
        <w:jc w:val="both"/>
        <w:rPr>
          <w:rFonts w:ascii="Arial" w:hAnsi="Arial" w:cs="Arial"/>
          <w:b/>
          <w:bCs/>
          <w:sz w:val="24"/>
          <w:szCs w:val="24"/>
        </w:rPr>
      </w:pPr>
    </w:p>
    <w:p w14:paraId="5E1EEE95" w14:textId="77777777" w:rsidR="00E2361C" w:rsidRDefault="00E2361C" w:rsidP="00E2361C">
      <w:pPr>
        <w:jc w:val="both"/>
        <w:rPr>
          <w:rFonts w:ascii="Arial" w:hAnsi="Arial" w:cs="Arial"/>
          <w:b/>
          <w:bCs/>
          <w:sz w:val="24"/>
          <w:szCs w:val="24"/>
        </w:rPr>
      </w:pPr>
    </w:p>
    <w:p w14:paraId="7FF09861" w14:textId="77777777" w:rsidR="00E2361C" w:rsidRDefault="00E2361C" w:rsidP="00E2361C">
      <w:pPr>
        <w:jc w:val="both"/>
        <w:rPr>
          <w:rFonts w:ascii="Arial" w:hAnsi="Arial" w:cs="Arial"/>
          <w:b/>
          <w:bCs/>
          <w:sz w:val="24"/>
          <w:szCs w:val="24"/>
        </w:rPr>
      </w:pPr>
    </w:p>
    <w:p w14:paraId="070118E3" w14:textId="77777777" w:rsidR="00E2361C" w:rsidRDefault="00E2361C" w:rsidP="00E2361C">
      <w:pPr>
        <w:jc w:val="both"/>
        <w:rPr>
          <w:rFonts w:ascii="Arial" w:hAnsi="Arial" w:cs="Arial"/>
          <w:b/>
          <w:bCs/>
          <w:sz w:val="24"/>
          <w:szCs w:val="24"/>
        </w:rPr>
      </w:pPr>
    </w:p>
    <w:p w14:paraId="21689C68" w14:textId="77777777" w:rsidR="00E2361C" w:rsidRDefault="00E2361C" w:rsidP="00E2361C">
      <w:pPr>
        <w:jc w:val="both"/>
        <w:rPr>
          <w:rFonts w:ascii="Arial" w:hAnsi="Arial" w:cs="Arial"/>
          <w:b/>
          <w:bCs/>
          <w:sz w:val="24"/>
          <w:szCs w:val="24"/>
        </w:rPr>
      </w:pPr>
    </w:p>
    <w:p w14:paraId="0264CC70" w14:textId="77777777" w:rsidR="00E2361C" w:rsidRDefault="00E2361C" w:rsidP="00E2361C">
      <w:pPr>
        <w:jc w:val="both"/>
        <w:rPr>
          <w:rFonts w:ascii="Arial" w:hAnsi="Arial" w:cs="Arial"/>
          <w:b/>
          <w:bCs/>
          <w:sz w:val="24"/>
          <w:szCs w:val="24"/>
        </w:rPr>
      </w:pPr>
    </w:p>
    <w:p w14:paraId="521455E9" w14:textId="77777777" w:rsidR="00E2361C" w:rsidRDefault="00E2361C" w:rsidP="00E2361C">
      <w:pPr>
        <w:jc w:val="both"/>
        <w:rPr>
          <w:rFonts w:ascii="Arial" w:hAnsi="Arial" w:cs="Arial"/>
          <w:b/>
          <w:bCs/>
          <w:sz w:val="24"/>
          <w:szCs w:val="24"/>
        </w:rPr>
      </w:pPr>
    </w:p>
    <w:p w14:paraId="722C9902" w14:textId="77777777" w:rsidR="00E2361C" w:rsidRDefault="00E2361C" w:rsidP="00E2361C">
      <w:pPr>
        <w:jc w:val="both"/>
        <w:rPr>
          <w:rFonts w:ascii="Arial" w:hAnsi="Arial" w:cs="Arial"/>
          <w:b/>
          <w:bCs/>
          <w:sz w:val="24"/>
          <w:szCs w:val="24"/>
        </w:rPr>
      </w:pPr>
    </w:p>
    <w:p w14:paraId="21A23512" w14:textId="77777777" w:rsidR="00E2361C" w:rsidRDefault="00E2361C" w:rsidP="00E2361C">
      <w:pPr>
        <w:jc w:val="both"/>
        <w:rPr>
          <w:rFonts w:ascii="Arial" w:hAnsi="Arial" w:cs="Arial"/>
          <w:b/>
          <w:bCs/>
          <w:sz w:val="24"/>
          <w:szCs w:val="24"/>
        </w:rPr>
      </w:pPr>
    </w:p>
    <w:p w14:paraId="717C05A0" w14:textId="77777777" w:rsidR="00E2361C" w:rsidRDefault="00E2361C" w:rsidP="00E2361C">
      <w:pPr>
        <w:jc w:val="both"/>
        <w:rPr>
          <w:rFonts w:ascii="Arial" w:hAnsi="Arial" w:cs="Arial"/>
          <w:b/>
          <w:bCs/>
          <w:sz w:val="24"/>
          <w:szCs w:val="24"/>
        </w:rPr>
      </w:pPr>
    </w:p>
    <w:p w14:paraId="58031AB7" w14:textId="77777777" w:rsidR="00E2361C" w:rsidRDefault="00E2361C" w:rsidP="00E2361C">
      <w:pPr>
        <w:jc w:val="both"/>
        <w:rPr>
          <w:rFonts w:ascii="Arial" w:hAnsi="Arial" w:cs="Arial"/>
          <w:b/>
          <w:bCs/>
          <w:sz w:val="24"/>
          <w:szCs w:val="24"/>
        </w:rPr>
      </w:pPr>
    </w:p>
    <w:p w14:paraId="3EF385A0" w14:textId="77777777" w:rsidR="00E2361C" w:rsidRDefault="00E2361C" w:rsidP="00E2361C">
      <w:pPr>
        <w:jc w:val="both"/>
        <w:rPr>
          <w:rFonts w:ascii="Arial" w:hAnsi="Arial" w:cs="Arial"/>
          <w:b/>
          <w:bCs/>
          <w:sz w:val="24"/>
          <w:szCs w:val="24"/>
        </w:rPr>
      </w:pPr>
    </w:p>
    <w:p w14:paraId="5D606AE5" w14:textId="77777777" w:rsidR="00E2361C" w:rsidRDefault="00E2361C" w:rsidP="00E2361C">
      <w:pPr>
        <w:jc w:val="both"/>
        <w:rPr>
          <w:rFonts w:ascii="Arial" w:hAnsi="Arial" w:cs="Arial"/>
          <w:b/>
          <w:bCs/>
          <w:sz w:val="24"/>
          <w:szCs w:val="24"/>
        </w:rPr>
      </w:pPr>
    </w:p>
    <w:p w14:paraId="1530C7E9" w14:textId="77777777" w:rsidR="00E2361C" w:rsidRDefault="00E2361C" w:rsidP="00E2361C">
      <w:pPr>
        <w:jc w:val="both"/>
        <w:rPr>
          <w:rFonts w:ascii="Arial" w:hAnsi="Arial" w:cs="Arial"/>
          <w:b/>
          <w:bCs/>
          <w:sz w:val="24"/>
          <w:szCs w:val="24"/>
        </w:rPr>
      </w:pPr>
    </w:p>
    <w:p w14:paraId="2E61E0E8" w14:textId="77777777" w:rsidR="00E2361C" w:rsidRDefault="00E2361C" w:rsidP="00E2361C">
      <w:pPr>
        <w:jc w:val="both"/>
        <w:rPr>
          <w:rFonts w:ascii="Arial" w:hAnsi="Arial" w:cs="Arial"/>
          <w:b/>
          <w:bCs/>
          <w:sz w:val="24"/>
          <w:szCs w:val="24"/>
        </w:rPr>
      </w:pPr>
    </w:p>
    <w:p w14:paraId="57617B95" w14:textId="77777777" w:rsidR="00E2361C" w:rsidRDefault="00E2361C" w:rsidP="00E2361C">
      <w:pPr>
        <w:jc w:val="both"/>
        <w:rPr>
          <w:rFonts w:ascii="Arial" w:hAnsi="Arial" w:cs="Arial"/>
          <w:b/>
          <w:bCs/>
          <w:sz w:val="24"/>
          <w:szCs w:val="24"/>
        </w:rPr>
      </w:pPr>
    </w:p>
    <w:p w14:paraId="0A950A06" w14:textId="77777777" w:rsidR="00E2361C" w:rsidRDefault="00E2361C" w:rsidP="00E2361C">
      <w:pPr>
        <w:jc w:val="both"/>
        <w:rPr>
          <w:rFonts w:ascii="Arial" w:hAnsi="Arial" w:cs="Arial"/>
          <w:b/>
          <w:bCs/>
          <w:sz w:val="24"/>
          <w:szCs w:val="24"/>
        </w:rPr>
      </w:pPr>
    </w:p>
    <w:p w14:paraId="42D15B15" w14:textId="77777777" w:rsidR="00E2361C" w:rsidRDefault="00E2361C" w:rsidP="00E2361C">
      <w:pPr>
        <w:jc w:val="both"/>
        <w:rPr>
          <w:rFonts w:ascii="Arial" w:hAnsi="Arial" w:cs="Arial"/>
          <w:b/>
          <w:bCs/>
          <w:sz w:val="24"/>
          <w:szCs w:val="24"/>
        </w:rPr>
      </w:pPr>
    </w:p>
    <w:p w14:paraId="3894C315" w14:textId="77777777" w:rsidR="00E2361C" w:rsidRDefault="00E2361C" w:rsidP="00E2361C">
      <w:pPr>
        <w:jc w:val="both"/>
        <w:rPr>
          <w:rFonts w:ascii="Arial" w:hAnsi="Arial" w:cs="Arial"/>
          <w:b/>
          <w:bCs/>
          <w:sz w:val="24"/>
          <w:szCs w:val="24"/>
        </w:rPr>
      </w:pPr>
    </w:p>
    <w:p w14:paraId="094BEFEA" w14:textId="413F8AE5" w:rsidR="00E2361C" w:rsidRPr="00E2361C" w:rsidRDefault="00E2361C" w:rsidP="00BE2E09">
      <w:pPr>
        <w:pStyle w:val="Ttulo1"/>
        <w:spacing w:line="276" w:lineRule="auto"/>
        <w:rPr>
          <w:rFonts w:ascii="Arial" w:hAnsi="Arial" w:cs="Arial"/>
          <w:b/>
          <w:bCs/>
          <w:color w:val="000000" w:themeColor="text1"/>
          <w:sz w:val="28"/>
          <w:szCs w:val="28"/>
        </w:rPr>
      </w:pPr>
      <w:bookmarkStart w:id="0" w:name="_Toc157269629"/>
      <w:r w:rsidRPr="00E2361C">
        <w:rPr>
          <w:rFonts w:ascii="Arial" w:hAnsi="Arial" w:cs="Arial"/>
          <w:b/>
          <w:bCs/>
          <w:color w:val="000000" w:themeColor="text1"/>
          <w:sz w:val="28"/>
          <w:szCs w:val="28"/>
        </w:rPr>
        <w:lastRenderedPageBreak/>
        <w:t>El modelo de madurez de requisitos</w:t>
      </w:r>
      <w:bookmarkEnd w:id="0"/>
    </w:p>
    <w:p w14:paraId="3DBD5714" w14:textId="3E01B133" w:rsidR="001B7436" w:rsidRDefault="00E2361C" w:rsidP="00BE2E09">
      <w:pPr>
        <w:spacing w:line="276" w:lineRule="auto"/>
        <w:jc w:val="both"/>
        <w:rPr>
          <w:rFonts w:ascii="Arial" w:hAnsi="Arial" w:cs="Arial"/>
          <w:sz w:val="24"/>
          <w:szCs w:val="24"/>
        </w:rPr>
      </w:pPr>
      <w:r w:rsidRPr="00E2361C">
        <w:rPr>
          <w:rFonts w:ascii="Arial" w:hAnsi="Arial" w:cs="Arial"/>
          <w:sz w:val="24"/>
          <w:szCs w:val="24"/>
        </w:rPr>
        <w:t>El concepto de madurez de capacidad ha existido desde que Deming inició el movimiento de la calidad en la década de 1950. Desde entonces, se han desarrollado cientos de modelos de madurez y, sorprendentemente, pocos se han centrado específicamente en los requisitos empresariales.</w:t>
      </w:r>
    </w:p>
    <w:p w14:paraId="57AD5540" w14:textId="1ECA871A" w:rsidR="005735C2" w:rsidRDefault="005735C2" w:rsidP="00BE2E09">
      <w:pPr>
        <w:spacing w:line="276" w:lineRule="auto"/>
        <w:jc w:val="both"/>
        <w:rPr>
          <w:rFonts w:ascii="Arial" w:hAnsi="Arial" w:cs="Arial"/>
          <w:sz w:val="24"/>
          <w:szCs w:val="24"/>
        </w:rPr>
      </w:pPr>
      <w:r>
        <w:rPr>
          <w:rFonts w:ascii="Arial" w:hAnsi="Arial" w:cs="Arial"/>
          <w:sz w:val="24"/>
          <w:szCs w:val="24"/>
        </w:rPr>
        <w:t>¿Cómo se estructura el modelo de madurez de requisitos?</w:t>
      </w:r>
    </w:p>
    <w:p w14:paraId="52A46456" w14:textId="0B058F00" w:rsidR="005735C2" w:rsidRDefault="005735C2" w:rsidP="00BE2E09">
      <w:pPr>
        <w:spacing w:line="276" w:lineRule="auto"/>
        <w:jc w:val="both"/>
        <w:rPr>
          <w:rFonts w:ascii="Arial" w:hAnsi="Arial" w:cs="Arial"/>
          <w:sz w:val="24"/>
          <w:szCs w:val="24"/>
        </w:rPr>
      </w:pPr>
      <w:r>
        <w:rPr>
          <w:rFonts w:ascii="Arial" w:hAnsi="Arial" w:cs="Arial"/>
          <w:sz w:val="24"/>
          <w:szCs w:val="24"/>
        </w:rPr>
        <w:t>El modelo de madurez de requisitos de IAG tiene dos dimensiones:</w:t>
      </w:r>
    </w:p>
    <w:p w14:paraId="2547EC55" w14:textId="3677783F" w:rsidR="00AC7FF5" w:rsidRPr="00404CE4" w:rsidRDefault="005735C2" w:rsidP="00404CE4">
      <w:pPr>
        <w:pStyle w:val="Prrafodelista"/>
        <w:numPr>
          <w:ilvl w:val="0"/>
          <w:numId w:val="2"/>
        </w:numPr>
        <w:spacing w:line="276" w:lineRule="auto"/>
        <w:jc w:val="both"/>
        <w:rPr>
          <w:rFonts w:ascii="Arial" w:hAnsi="Arial" w:cs="Arial"/>
          <w:sz w:val="24"/>
          <w:szCs w:val="24"/>
        </w:rPr>
      </w:pPr>
      <w:r w:rsidRPr="00404CE4">
        <w:rPr>
          <w:rFonts w:ascii="Arial" w:hAnsi="Arial" w:cs="Arial"/>
          <w:sz w:val="24"/>
          <w:szCs w:val="24"/>
        </w:rPr>
        <w:t xml:space="preserve">Nivel de madurez: IAG es un modelo de madurez por etapas similar a los utilizados por varios organismos de normalización de la industria. Una organización asciende en la escala a medida que se alcanzan las metas y se superan los umbrales. Cada nivel de madurez cambia el énfasis hacia diferentes características de la práctica de requisitos. </w:t>
      </w:r>
    </w:p>
    <w:p w14:paraId="34A06AB2" w14:textId="52439875" w:rsidR="009C7501" w:rsidRPr="00404CE4" w:rsidRDefault="009C7501" w:rsidP="00404CE4">
      <w:pPr>
        <w:pStyle w:val="Prrafodelista"/>
        <w:numPr>
          <w:ilvl w:val="0"/>
          <w:numId w:val="2"/>
        </w:numPr>
        <w:spacing w:line="276" w:lineRule="auto"/>
        <w:rPr>
          <w:rFonts w:ascii="Arial" w:hAnsi="Arial" w:cs="Arial"/>
          <w:sz w:val="24"/>
          <w:szCs w:val="24"/>
        </w:rPr>
      </w:pPr>
      <w:r w:rsidRPr="00404CE4">
        <w:rPr>
          <w:rFonts w:ascii="Arial" w:hAnsi="Arial" w:cs="Arial"/>
          <w:sz w:val="24"/>
          <w:szCs w:val="24"/>
        </w:rPr>
        <w:t>Área de capacidad: Se evalúan y combinan seis áreas de capacidad para determinar el nivel de madurez de la práctica de gestión de requisitos de una organización. Estos seis son los componentes fundamentales para la definición y gestión de requisitos e incluyen:</w:t>
      </w:r>
    </w:p>
    <w:p w14:paraId="0EACB249" w14:textId="55D06CDC" w:rsidR="009C7501" w:rsidRDefault="009C7501" w:rsidP="00BE2E09">
      <w:pPr>
        <w:pStyle w:val="Prrafodelista"/>
        <w:numPr>
          <w:ilvl w:val="0"/>
          <w:numId w:val="1"/>
        </w:numPr>
        <w:spacing w:line="276" w:lineRule="auto"/>
        <w:rPr>
          <w:rFonts w:ascii="Arial" w:hAnsi="Arial" w:cs="Arial"/>
          <w:sz w:val="24"/>
          <w:szCs w:val="24"/>
        </w:rPr>
      </w:pPr>
      <w:r>
        <w:rPr>
          <w:rFonts w:ascii="Arial" w:hAnsi="Arial" w:cs="Arial"/>
          <w:sz w:val="24"/>
          <w:szCs w:val="24"/>
        </w:rPr>
        <w:t>Proceso: Definición, uso y gestión de requisitos.</w:t>
      </w:r>
    </w:p>
    <w:p w14:paraId="4EC52A3D" w14:textId="6B88039D" w:rsidR="009C7501" w:rsidRDefault="009C7501" w:rsidP="00BE2E09">
      <w:pPr>
        <w:pStyle w:val="Prrafodelista"/>
        <w:numPr>
          <w:ilvl w:val="0"/>
          <w:numId w:val="1"/>
        </w:numPr>
        <w:spacing w:line="276" w:lineRule="auto"/>
        <w:rPr>
          <w:rFonts w:ascii="Arial" w:hAnsi="Arial" w:cs="Arial"/>
          <w:sz w:val="24"/>
          <w:szCs w:val="24"/>
        </w:rPr>
      </w:pPr>
      <w:r>
        <w:rPr>
          <w:rFonts w:ascii="Arial" w:hAnsi="Arial" w:cs="Arial"/>
          <w:sz w:val="24"/>
          <w:szCs w:val="24"/>
        </w:rPr>
        <w:t>Prácticas y técnicas: Definición de cómo los analistas realizarán el trabajo, la eficiencia y eficacia de estas actividades.</w:t>
      </w:r>
    </w:p>
    <w:p w14:paraId="3FDA92B7" w14:textId="1A1A85CE" w:rsidR="009C7501" w:rsidRDefault="009C7501" w:rsidP="00BE2E09">
      <w:pPr>
        <w:pStyle w:val="Prrafodelista"/>
        <w:numPr>
          <w:ilvl w:val="0"/>
          <w:numId w:val="1"/>
        </w:numPr>
        <w:spacing w:line="276" w:lineRule="auto"/>
        <w:rPr>
          <w:rFonts w:ascii="Arial" w:hAnsi="Arial" w:cs="Arial"/>
          <w:sz w:val="24"/>
          <w:szCs w:val="24"/>
        </w:rPr>
      </w:pPr>
      <w:r>
        <w:rPr>
          <w:rFonts w:ascii="Arial" w:hAnsi="Arial" w:cs="Arial"/>
          <w:sz w:val="24"/>
          <w:szCs w:val="24"/>
        </w:rPr>
        <w:t>Tecnología: Provisión, uso e integración de herramientas de software en el contexto de la práctica de requisitos.</w:t>
      </w:r>
    </w:p>
    <w:p w14:paraId="0A5A4E1D" w14:textId="377708FF" w:rsidR="009C7501" w:rsidRDefault="009C7501" w:rsidP="00BE2E09">
      <w:pPr>
        <w:pStyle w:val="Prrafodelista"/>
        <w:numPr>
          <w:ilvl w:val="0"/>
          <w:numId w:val="1"/>
        </w:numPr>
        <w:spacing w:line="276" w:lineRule="auto"/>
        <w:rPr>
          <w:rFonts w:ascii="Arial" w:hAnsi="Arial" w:cs="Arial"/>
          <w:sz w:val="24"/>
          <w:szCs w:val="24"/>
        </w:rPr>
      </w:pPr>
      <w:r>
        <w:rPr>
          <w:rFonts w:ascii="Arial" w:hAnsi="Arial" w:cs="Arial"/>
          <w:sz w:val="24"/>
          <w:szCs w:val="24"/>
        </w:rPr>
        <w:t>Competencia del personal: nivel de conocimientos, habilidades y capacidad del personal.</w:t>
      </w:r>
    </w:p>
    <w:p w14:paraId="57C52A85" w14:textId="0C0E4803" w:rsidR="009C7501" w:rsidRDefault="009C7501" w:rsidP="00BE2E09">
      <w:pPr>
        <w:pStyle w:val="Prrafodelista"/>
        <w:numPr>
          <w:ilvl w:val="0"/>
          <w:numId w:val="1"/>
        </w:numPr>
        <w:spacing w:line="276" w:lineRule="auto"/>
        <w:rPr>
          <w:rFonts w:ascii="Arial" w:hAnsi="Arial" w:cs="Arial"/>
          <w:sz w:val="24"/>
          <w:szCs w:val="24"/>
        </w:rPr>
      </w:pPr>
      <w:r>
        <w:rPr>
          <w:rFonts w:ascii="Arial" w:hAnsi="Arial" w:cs="Arial"/>
          <w:sz w:val="24"/>
          <w:szCs w:val="24"/>
        </w:rPr>
        <w:t>Entregables: Definición, producción y uso de productos de trabajo como salida del proceso de requisitos.</w:t>
      </w:r>
    </w:p>
    <w:p w14:paraId="20760BBB" w14:textId="5C2A0572" w:rsidR="009C7501" w:rsidRDefault="009C7501" w:rsidP="00BE2E09">
      <w:pPr>
        <w:pStyle w:val="Prrafodelista"/>
        <w:numPr>
          <w:ilvl w:val="0"/>
          <w:numId w:val="1"/>
        </w:numPr>
        <w:spacing w:line="276" w:lineRule="auto"/>
        <w:rPr>
          <w:rFonts w:ascii="Arial" w:hAnsi="Arial" w:cs="Arial"/>
          <w:sz w:val="24"/>
          <w:szCs w:val="24"/>
        </w:rPr>
      </w:pPr>
      <w:r>
        <w:rPr>
          <w:rFonts w:ascii="Arial" w:hAnsi="Arial" w:cs="Arial"/>
          <w:sz w:val="24"/>
          <w:szCs w:val="24"/>
        </w:rPr>
        <w:t>Organización: Modelo organizacional y servicios entregados a partes interesadas, la provisión de recursos y la gestión de recursos en la prestación de estos servicios, y el marco de gobernanza de procesos y herramientas.</w:t>
      </w:r>
    </w:p>
    <w:p w14:paraId="67C4BE37" w14:textId="77777777" w:rsidR="00404CE4" w:rsidRPr="009C7501" w:rsidRDefault="00404CE4" w:rsidP="00BE2E09">
      <w:pPr>
        <w:pStyle w:val="Prrafodelista"/>
        <w:numPr>
          <w:ilvl w:val="0"/>
          <w:numId w:val="1"/>
        </w:numPr>
        <w:spacing w:line="276" w:lineRule="auto"/>
        <w:rPr>
          <w:rFonts w:ascii="Arial" w:hAnsi="Arial" w:cs="Arial"/>
          <w:sz w:val="24"/>
          <w:szCs w:val="24"/>
        </w:rPr>
      </w:pPr>
    </w:p>
    <w:p w14:paraId="315E07D8" w14:textId="14EA4ED9" w:rsidR="005735C2" w:rsidRDefault="004C091C" w:rsidP="00BE2E09">
      <w:pPr>
        <w:pStyle w:val="Ttulo1"/>
        <w:spacing w:line="276" w:lineRule="auto"/>
        <w:rPr>
          <w:rFonts w:ascii="Arial" w:hAnsi="Arial" w:cs="Arial"/>
          <w:b/>
          <w:bCs/>
          <w:color w:val="000000" w:themeColor="text1"/>
          <w:sz w:val="28"/>
          <w:szCs w:val="28"/>
        </w:rPr>
      </w:pPr>
      <w:bookmarkStart w:id="1" w:name="_Toc157269630"/>
      <w:r w:rsidRPr="004C091C">
        <w:rPr>
          <w:rFonts w:ascii="Arial" w:hAnsi="Arial" w:cs="Arial"/>
          <w:b/>
          <w:bCs/>
          <w:color w:val="000000" w:themeColor="text1"/>
          <w:sz w:val="28"/>
          <w:szCs w:val="28"/>
        </w:rPr>
        <w:t>Medición de la madurez</w:t>
      </w:r>
      <w:bookmarkEnd w:id="1"/>
    </w:p>
    <w:p w14:paraId="5FAEC155" w14:textId="4A6594B1" w:rsidR="00BE2E09" w:rsidRDefault="00BE2E09" w:rsidP="00BE2E09">
      <w:pPr>
        <w:spacing w:line="276" w:lineRule="auto"/>
        <w:jc w:val="both"/>
        <w:rPr>
          <w:rFonts w:ascii="Arial" w:hAnsi="Arial" w:cs="Arial"/>
          <w:sz w:val="24"/>
          <w:szCs w:val="24"/>
        </w:rPr>
      </w:pPr>
      <w:r>
        <w:rPr>
          <w:rFonts w:ascii="Arial" w:hAnsi="Arial" w:cs="Arial"/>
          <w:sz w:val="24"/>
          <w:szCs w:val="24"/>
        </w:rPr>
        <w:t>La madurez general es una combinación del desempeño en las seis áreas de capacidad. IAG pondera cada área de forma ligeramente diferente según nuestra experiencia en lo que impulsa un rendimiento eficaz a largo plazo y la coherencia en la ejecución de requisitos. Por lo tanto, cada encuestado tiene una madurez determinada dentro de cada una de las seris áreas de capacidad, además de una única puntuación de madurez agregada.</w:t>
      </w:r>
    </w:p>
    <w:p w14:paraId="13F839AC" w14:textId="77777777" w:rsidR="00404CE4" w:rsidRDefault="00404CE4" w:rsidP="00BE2E09">
      <w:pPr>
        <w:spacing w:line="276" w:lineRule="auto"/>
        <w:jc w:val="both"/>
        <w:rPr>
          <w:rFonts w:ascii="Arial" w:hAnsi="Arial" w:cs="Arial"/>
          <w:sz w:val="24"/>
          <w:szCs w:val="24"/>
        </w:rPr>
      </w:pPr>
    </w:p>
    <w:p w14:paraId="5789446D" w14:textId="77777777" w:rsidR="00404CE4" w:rsidRDefault="00404CE4" w:rsidP="00BE2E09">
      <w:pPr>
        <w:spacing w:line="276" w:lineRule="auto"/>
        <w:jc w:val="both"/>
        <w:rPr>
          <w:rFonts w:ascii="Arial" w:hAnsi="Arial" w:cs="Arial"/>
          <w:sz w:val="24"/>
          <w:szCs w:val="24"/>
        </w:rPr>
      </w:pPr>
    </w:p>
    <w:p w14:paraId="0CE6987E" w14:textId="36ADE575" w:rsidR="00BE2E09" w:rsidRDefault="00911A60" w:rsidP="00404CE4">
      <w:pPr>
        <w:spacing w:line="276" w:lineRule="auto"/>
        <w:jc w:val="both"/>
        <w:rPr>
          <w:rFonts w:ascii="Arial" w:hAnsi="Arial" w:cs="Arial"/>
          <w:sz w:val="24"/>
          <w:szCs w:val="24"/>
        </w:rPr>
      </w:pPr>
      <w:r>
        <w:rPr>
          <w:rFonts w:ascii="Arial" w:hAnsi="Arial" w:cs="Arial"/>
          <w:sz w:val="24"/>
          <w:szCs w:val="24"/>
        </w:rPr>
        <w:lastRenderedPageBreak/>
        <w:t>Las características de las organizaciones para cada nivel y área de capacidad se enumeran de la siguiente manera:</w:t>
      </w:r>
    </w:p>
    <w:p w14:paraId="1F80B43A" w14:textId="1E905D20" w:rsidR="00911A60" w:rsidRDefault="00911A60" w:rsidP="00404CE4">
      <w:pPr>
        <w:spacing w:line="276" w:lineRule="auto"/>
        <w:jc w:val="both"/>
        <w:rPr>
          <w:rFonts w:ascii="Arial" w:hAnsi="Arial" w:cs="Arial"/>
          <w:sz w:val="24"/>
          <w:szCs w:val="24"/>
        </w:rPr>
      </w:pPr>
      <w:r>
        <w:rPr>
          <w:rFonts w:ascii="Arial" w:hAnsi="Arial" w:cs="Arial"/>
          <w:sz w:val="24"/>
          <w:szCs w:val="24"/>
        </w:rPr>
        <w:t>0 – Incompleto</w:t>
      </w:r>
    </w:p>
    <w:p w14:paraId="4695CCB5" w14:textId="21758C77"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Proceso: No definido.</w:t>
      </w:r>
    </w:p>
    <w:p w14:paraId="40102262" w14:textId="224DE5CC"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Prácticas y técnicas: No hay prácticas ni técnicas definidas.</w:t>
      </w:r>
    </w:p>
    <w:p w14:paraId="611D5AA7" w14:textId="1FF0452D"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Entregables: Los documentos de requisitos no son un entregable estándar.</w:t>
      </w:r>
    </w:p>
    <w:p w14:paraId="0027448B" w14:textId="0193D8C9"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Tecnología: La tecnología no se considera ni se utiliza capturas las necesidades comerciales.</w:t>
      </w:r>
    </w:p>
    <w:p w14:paraId="2181FBDF" w14:textId="1652CD1F"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Organización: La organización no ve la necesidad de apoyar la práctica del análisis empresarial.</w:t>
      </w:r>
    </w:p>
    <w:p w14:paraId="3D83DCAE" w14:textId="22E89718" w:rsidR="00911A60" w:rsidRP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Competencia</w:t>
      </w:r>
      <w:r w:rsidR="00AA0E05">
        <w:rPr>
          <w:rFonts w:ascii="Arial" w:hAnsi="Arial" w:cs="Arial"/>
          <w:sz w:val="24"/>
          <w:szCs w:val="24"/>
        </w:rPr>
        <w:t>: Sin conocimientos de conceptos y habilidades fundamentales para la entrega de requisitos.</w:t>
      </w:r>
    </w:p>
    <w:p w14:paraId="41A5C9B7" w14:textId="40FBE120" w:rsidR="00911A60" w:rsidRDefault="00911A60" w:rsidP="00404CE4">
      <w:pPr>
        <w:spacing w:line="276" w:lineRule="auto"/>
        <w:jc w:val="both"/>
        <w:rPr>
          <w:rFonts w:ascii="Arial" w:hAnsi="Arial" w:cs="Arial"/>
          <w:sz w:val="24"/>
          <w:szCs w:val="24"/>
        </w:rPr>
      </w:pPr>
      <w:r>
        <w:rPr>
          <w:rFonts w:ascii="Arial" w:hAnsi="Arial" w:cs="Arial"/>
          <w:sz w:val="24"/>
          <w:szCs w:val="24"/>
        </w:rPr>
        <w:t>1 - Realizado</w:t>
      </w:r>
    </w:p>
    <w:p w14:paraId="20E0FB84" w14:textId="62016253"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Proceso</w:t>
      </w:r>
      <w:r w:rsidR="00AA0E05">
        <w:rPr>
          <w:rFonts w:ascii="Arial" w:hAnsi="Arial" w:cs="Arial"/>
          <w:sz w:val="24"/>
          <w:szCs w:val="24"/>
        </w:rPr>
        <w:t>: Informal, definición y ejecución inconsistentes.</w:t>
      </w:r>
    </w:p>
    <w:p w14:paraId="721DC387" w14:textId="30908D6D"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Prácticas y técnicas</w:t>
      </w:r>
      <w:r w:rsidR="00AA0E05">
        <w:rPr>
          <w:rFonts w:ascii="Arial" w:hAnsi="Arial" w:cs="Arial"/>
          <w:sz w:val="24"/>
          <w:szCs w:val="24"/>
        </w:rPr>
        <w:t>: Informales y uso inconsistente.</w:t>
      </w:r>
    </w:p>
    <w:p w14:paraId="7AE3044E" w14:textId="243FCDD1"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Entregables</w:t>
      </w:r>
      <w:r w:rsidR="00AA0E05">
        <w:rPr>
          <w:rFonts w:ascii="Arial" w:hAnsi="Arial" w:cs="Arial"/>
          <w:sz w:val="24"/>
          <w:szCs w:val="24"/>
        </w:rPr>
        <w:t>: Documentación informal y no estandarizada.</w:t>
      </w:r>
    </w:p>
    <w:p w14:paraId="722924AF" w14:textId="3D87F7F2"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Tecnología</w:t>
      </w:r>
      <w:r w:rsidR="00AA0E05">
        <w:rPr>
          <w:rFonts w:ascii="Arial" w:hAnsi="Arial" w:cs="Arial"/>
          <w:sz w:val="24"/>
          <w:szCs w:val="24"/>
        </w:rPr>
        <w:t>: Herramientas de escritorio genéricas estándar, no hay un enfoque planificado para el uso de herramientas.</w:t>
      </w:r>
    </w:p>
    <w:p w14:paraId="2F71539F" w14:textId="19ACEC7D"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Organización</w:t>
      </w:r>
      <w:r w:rsidR="00AA0E05">
        <w:rPr>
          <w:rFonts w:ascii="Arial" w:hAnsi="Arial" w:cs="Arial"/>
          <w:sz w:val="24"/>
          <w:szCs w:val="24"/>
        </w:rPr>
        <w:t>: Soporte limitado, roles indefinidos y poco entrenamiento.</w:t>
      </w:r>
    </w:p>
    <w:p w14:paraId="0DFF9417" w14:textId="3A4ED76E" w:rsidR="00911A60" w:rsidRP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Competencia</w:t>
      </w:r>
      <w:r w:rsidR="00AA0E05">
        <w:rPr>
          <w:rFonts w:ascii="Arial" w:hAnsi="Arial" w:cs="Arial"/>
          <w:sz w:val="24"/>
          <w:szCs w:val="24"/>
        </w:rPr>
        <w:t>: Tener un conocimiento fundamental de la mayoría de los conceptos y habilidades básicas.</w:t>
      </w:r>
    </w:p>
    <w:p w14:paraId="368CEE3B" w14:textId="739BC0FD" w:rsidR="00911A60" w:rsidRDefault="00911A60" w:rsidP="00404CE4">
      <w:pPr>
        <w:spacing w:line="276" w:lineRule="auto"/>
        <w:jc w:val="both"/>
        <w:rPr>
          <w:rFonts w:ascii="Arial" w:hAnsi="Arial" w:cs="Arial"/>
          <w:sz w:val="24"/>
          <w:szCs w:val="24"/>
        </w:rPr>
      </w:pPr>
      <w:r>
        <w:rPr>
          <w:rFonts w:ascii="Arial" w:hAnsi="Arial" w:cs="Arial"/>
          <w:sz w:val="24"/>
          <w:szCs w:val="24"/>
        </w:rPr>
        <w:t>2 – Definido</w:t>
      </w:r>
    </w:p>
    <w:p w14:paraId="39479090" w14:textId="430DAF23"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Proceso</w:t>
      </w:r>
      <w:r w:rsidR="00AA0E05">
        <w:rPr>
          <w:rFonts w:ascii="Arial" w:hAnsi="Arial" w:cs="Arial"/>
          <w:sz w:val="24"/>
          <w:szCs w:val="24"/>
        </w:rPr>
        <w:t>: Actividades definidas realizadas en muchos proyectos.</w:t>
      </w:r>
    </w:p>
    <w:p w14:paraId="0981B876" w14:textId="30EC7E01"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Prácticas y técnicas</w:t>
      </w:r>
      <w:r w:rsidR="00AA0E05">
        <w:rPr>
          <w:rFonts w:ascii="Arial" w:hAnsi="Arial" w:cs="Arial"/>
          <w:sz w:val="24"/>
          <w:szCs w:val="24"/>
        </w:rPr>
        <w:t>: Mejores prácticas utilizadas, directrices definidas, pero no obligatorias.</w:t>
      </w:r>
    </w:p>
    <w:p w14:paraId="508E39AB" w14:textId="640A8EB8"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Entregables</w:t>
      </w:r>
      <w:r w:rsidR="00AA0E05">
        <w:rPr>
          <w:rFonts w:ascii="Arial" w:hAnsi="Arial" w:cs="Arial"/>
          <w:sz w:val="24"/>
          <w:szCs w:val="24"/>
        </w:rPr>
        <w:t xml:space="preserve">: Plantillas, lineamientos, estándares definidos. </w:t>
      </w:r>
    </w:p>
    <w:p w14:paraId="7B4734CD" w14:textId="2FAF7BFF"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Tecnología</w:t>
      </w:r>
      <w:r w:rsidR="00AA0E05">
        <w:rPr>
          <w:rFonts w:ascii="Arial" w:hAnsi="Arial" w:cs="Arial"/>
          <w:sz w:val="24"/>
          <w:szCs w:val="24"/>
        </w:rPr>
        <w:t>: Se proporcionan herramientas de software de automatización de requisitos con uso inconsistente.</w:t>
      </w:r>
    </w:p>
    <w:p w14:paraId="75C19AF3" w14:textId="18AE45CD"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Organización</w:t>
      </w:r>
      <w:r w:rsidR="00AA0E05">
        <w:rPr>
          <w:rFonts w:ascii="Arial" w:hAnsi="Arial" w:cs="Arial"/>
          <w:sz w:val="24"/>
          <w:szCs w:val="24"/>
        </w:rPr>
        <w:t xml:space="preserve">: </w:t>
      </w:r>
      <w:r w:rsidR="003D567A">
        <w:rPr>
          <w:rFonts w:ascii="Arial" w:hAnsi="Arial" w:cs="Arial"/>
          <w:sz w:val="24"/>
          <w:szCs w:val="24"/>
        </w:rPr>
        <w:t>La organización ha delegado el apoyo de las mejores prácticas de análisis empresarial y el desarrollo del personal a un individuo o equipo.</w:t>
      </w:r>
    </w:p>
    <w:p w14:paraId="78C09156" w14:textId="5A5A43FF"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Competencia</w:t>
      </w:r>
      <w:r w:rsidR="003D567A">
        <w:rPr>
          <w:rFonts w:ascii="Arial" w:hAnsi="Arial" w:cs="Arial"/>
          <w:sz w:val="24"/>
          <w:szCs w:val="24"/>
        </w:rPr>
        <w:t>: Buen conocimiento de todos los conceptos clave.</w:t>
      </w:r>
    </w:p>
    <w:p w14:paraId="3888FBA7" w14:textId="77777777" w:rsidR="00911A60" w:rsidRDefault="00911A60" w:rsidP="00404CE4">
      <w:pPr>
        <w:spacing w:line="276" w:lineRule="auto"/>
        <w:jc w:val="both"/>
        <w:rPr>
          <w:rFonts w:ascii="Arial" w:hAnsi="Arial" w:cs="Arial"/>
          <w:sz w:val="24"/>
          <w:szCs w:val="24"/>
        </w:rPr>
      </w:pPr>
    </w:p>
    <w:p w14:paraId="184987D6" w14:textId="77777777" w:rsidR="00AC7FF5" w:rsidRPr="00911A60" w:rsidRDefault="00AC7FF5" w:rsidP="00404CE4">
      <w:pPr>
        <w:spacing w:line="276" w:lineRule="auto"/>
        <w:jc w:val="both"/>
        <w:rPr>
          <w:rFonts w:ascii="Arial" w:hAnsi="Arial" w:cs="Arial"/>
          <w:sz w:val="24"/>
          <w:szCs w:val="24"/>
        </w:rPr>
      </w:pPr>
    </w:p>
    <w:p w14:paraId="54359351" w14:textId="5060F33A" w:rsidR="00911A60" w:rsidRDefault="00911A60" w:rsidP="00404CE4">
      <w:pPr>
        <w:spacing w:line="276" w:lineRule="auto"/>
        <w:jc w:val="both"/>
        <w:rPr>
          <w:rFonts w:ascii="Arial" w:hAnsi="Arial" w:cs="Arial"/>
          <w:sz w:val="24"/>
          <w:szCs w:val="24"/>
        </w:rPr>
      </w:pPr>
      <w:r>
        <w:rPr>
          <w:rFonts w:ascii="Arial" w:hAnsi="Arial" w:cs="Arial"/>
          <w:sz w:val="24"/>
          <w:szCs w:val="24"/>
        </w:rPr>
        <w:t>3 – Implementado</w:t>
      </w:r>
    </w:p>
    <w:p w14:paraId="325FE132" w14:textId="0A9165A0"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Proceso</w:t>
      </w:r>
      <w:r w:rsidR="003D567A">
        <w:rPr>
          <w:rFonts w:ascii="Arial" w:hAnsi="Arial" w:cs="Arial"/>
          <w:sz w:val="24"/>
          <w:szCs w:val="24"/>
        </w:rPr>
        <w:t>: Estándares implementados y seguidos en la mayoría de los proyectos, definición detallada de la tarea.</w:t>
      </w:r>
    </w:p>
    <w:p w14:paraId="234F0EF0" w14:textId="3712E766"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Prácticas y técnicas</w:t>
      </w:r>
      <w:r w:rsidR="003D567A">
        <w:rPr>
          <w:rFonts w:ascii="Arial" w:hAnsi="Arial" w:cs="Arial"/>
          <w:sz w:val="24"/>
          <w:szCs w:val="24"/>
        </w:rPr>
        <w:t>: Estándares implementados utilizado en la mayoría de los proyectos.</w:t>
      </w:r>
    </w:p>
    <w:p w14:paraId="2AFCC383" w14:textId="0D06F247"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lastRenderedPageBreak/>
        <w:t>Entregables</w:t>
      </w:r>
      <w:r w:rsidR="003D567A">
        <w:rPr>
          <w:rFonts w:ascii="Arial" w:hAnsi="Arial" w:cs="Arial"/>
          <w:sz w:val="24"/>
          <w:szCs w:val="24"/>
        </w:rPr>
        <w:t>: Uso de entregables estándares obligatorios, estándares de calidad bien definidos.</w:t>
      </w:r>
    </w:p>
    <w:p w14:paraId="3DE54684" w14:textId="73269013"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Tecnología</w:t>
      </w:r>
      <w:r w:rsidR="003D567A">
        <w:rPr>
          <w:rFonts w:ascii="Arial" w:hAnsi="Arial" w:cs="Arial"/>
          <w:sz w:val="24"/>
          <w:szCs w:val="24"/>
        </w:rPr>
        <w:t>: Software de gestión de requisitos implementado y obligatorio.</w:t>
      </w:r>
    </w:p>
    <w:p w14:paraId="1FCF0C33" w14:textId="4FA965EB"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Organización</w:t>
      </w:r>
      <w:r w:rsidR="003D567A">
        <w:rPr>
          <w:rFonts w:ascii="Arial" w:hAnsi="Arial" w:cs="Arial"/>
          <w:sz w:val="24"/>
          <w:szCs w:val="24"/>
        </w:rPr>
        <w:t>:  Formal</w:t>
      </w:r>
      <w:r w:rsidR="00DA5468">
        <w:rPr>
          <w:rFonts w:ascii="Arial" w:hAnsi="Arial" w:cs="Arial"/>
          <w:sz w:val="24"/>
          <w:szCs w:val="24"/>
        </w:rPr>
        <w:t xml:space="preserve"> requisitos/organización BA establecida.</w:t>
      </w:r>
    </w:p>
    <w:p w14:paraId="6976B958" w14:textId="6FA16191" w:rsidR="00911A60" w:rsidRP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Competencia</w:t>
      </w:r>
      <w:r w:rsidR="00DA5468">
        <w:rPr>
          <w:rFonts w:ascii="Arial" w:hAnsi="Arial" w:cs="Arial"/>
          <w:sz w:val="24"/>
          <w:szCs w:val="24"/>
        </w:rPr>
        <w:t>: Buena capacidad demostrada en las competencias requeridas.</w:t>
      </w:r>
    </w:p>
    <w:p w14:paraId="152BF8BE" w14:textId="176CB89A" w:rsidR="00911A60" w:rsidRDefault="00911A60" w:rsidP="00404CE4">
      <w:pPr>
        <w:spacing w:line="276" w:lineRule="auto"/>
        <w:jc w:val="both"/>
        <w:rPr>
          <w:rFonts w:ascii="Arial" w:hAnsi="Arial" w:cs="Arial"/>
          <w:sz w:val="24"/>
          <w:szCs w:val="24"/>
        </w:rPr>
      </w:pPr>
      <w:r>
        <w:rPr>
          <w:rFonts w:ascii="Arial" w:hAnsi="Arial" w:cs="Arial"/>
          <w:sz w:val="24"/>
          <w:szCs w:val="24"/>
        </w:rPr>
        <w:t>4 – Institucionalizado</w:t>
      </w:r>
    </w:p>
    <w:p w14:paraId="40F2B29A" w14:textId="7CA7931B"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Proceso</w:t>
      </w:r>
      <w:r w:rsidR="00F93F0A">
        <w:rPr>
          <w:rFonts w:ascii="Arial" w:hAnsi="Arial" w:cs="Arial"/>
          <w:sz w:val="24"/>
          <w:szCs w:val="24"/>
        </w:rPr>
        <w:t>: Aplicado universalmente, integrado con PMLC/SDLC.</w:t>
      </w:r>
    </w:p>
    <w:p w14:paraId="39BAA2CD" w14:textId="51D0DA07"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Prácticas y técnicas</w:t>
      </w:r>
      <w:r w:rsidR="00F93F0A">
        <w:rPr>
          <w:rFonts w:ascii="Arial" w:hAnsi="Arial" w:cs="Arial"/>
          <w:sz w:val="24"/>
          <w:szCs w:val="24"/>
        </w:rPr>
        <w:t>: Se aplican periódicamente medidas de cumplimiento y eficacia.</w:t>
      </w:r>
    </w:p>
    <w:p w14:paraId="480458AE" w14:textId="17F1D6FE"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Entregables</w:t>
      </w:r>
      <w:r w:rsidR="00F93F0A">
        <w:rPr>
          <w:rFonts w:ascii="Arial" w:hAnsi="Arial" w:cs="Arial"/>
          <w:sz w:val="24"/>
          <w:szCs w:val="24"/>
        </w:rPr>
        <w:t>: Cumple con las expectativas en prácticamente en todos los proyectos, integrado con PMLC/SDLC completamente automatizado.</w:t>
      </w:r>
    </w:p>
    <w:p w14:paraId="69CAEC9E" w14:textId="441D0912"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Tecnología</w:t>
      </w:r>
      <w:r w:rsidR="00F93F0A">
        <w:rPr>
          <w:rFonts w:ascii="Arial" w:hAnsi="Arial" w:cs="Arial"/>
          <w:sz w:val="24"/>
          <w:szCs w:val="24"/>
        </w:rPr>
        <w:t>: Software de gestión requerido integrado con software de gestión de proyectos y gestión del ciclo de vida de las aplicaciones.</w:t>
      </w:r>
    </w:p>
    <w:p w14:paraId="28E44856" w14:textId="78CAD27F"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Organización</w:t>
      </w:r>
      <w:r w:rsidR="00F93F0A">
        <w:rPr>
          <w:rFonts w:ascii="Arial" w:hAnsi="Arial" w:cs="Arial"/>
          <w:sz w:val="24"/>
          <w:szCs w:val="24"/>
        </w:rPr>
        <w:t>: Las métricas se aplican contra el centro de soporte de análisis de negocio.</w:t>
      </w:r>
    </w:p>
    <w:p w14:paraId="1875C5CE" w14:textId="37C37B6B" w:rsidR="00911A60" w:rsidRP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Competencia</w:t>
      </w:r>
      <w:r w:rsidR="00F93F0A">
        <w:rPr>
          <w:rFonts w:ascii="Arial" w:hAnsi="Arial" w:cs="Arial"/>
          <w:sz w:val="24"/>
          <w:szCs w:val="24"/>
        </w:rPr>
        <w:t>: Sólidos conocimientos, habilidades aplicadas consistentemente.</w:t>
      </w:r>
    </w:p>
    <w:p w14:paraId="34EF5BF3" w14:textId="183B9391" w:rsidR="00911A60" w:rsidRDefault="00911A60" w:rsidP="00404CE4">
      <w:pPr>
        <w:spacing w:line="276" w:lineRule="auto"/>
        <w:jc w:val="both"/>
        <w:rPr>
          <w:rFonts w:ascii="Arial" w:hAnsi="Arial" w:cs="Arial"/>
          <w:sz w:val="24"/>
          <w:szCs w:val="24"/>
        </w:rPr>
      </w:pPr>
      <w:r>
        <w:rPr>
          <w:rFonts w:ascii="Arial" w:hAnsi="Arial" w:cs="Arial"/>
          <w:sz w:val="24"/>
          <w:szCs w:val="24"/>
        </w:rPr>
        <w:t>5 – Optimización</w:t>
      </w:r>
    </w:p>
    <w:p w14:paraId="4098E303" w14:textId="5DA3C1E9"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Proceso</w:t>
      </w:r>
      <w:r w:rsidR="00F93F0A">
        <w:rPr>
          <w:rFonts w:ascii="Arial" w:hAnsi="Arial" w:cs="Arial"/>
          <w:sz w:val="24"/>
          <w:szCs w:val="24"/>
        </w:rPr>
        <w:t xml:space="preserve">: </w:t>
      </w:r>
      <w:r w:rsidR="00404CE4">
        <w:rPr>
          <w:rFonts w:ascii="Arial" w:hAnsi="Arial" w:cs="Arial"/>
          <w:sz w:val="24"/>
          <w:szCs w:val="24"/>
        </w:rPr>
        <w:t>La definición del proceso se actualiza en función de métricas, cambios en la estrategia corporativa e innovaciones de la industria.</w:t>
      </w:r>
    </w:p>
    <w:p w14:paraId="4449D2EA" w14:textId="0FC423F1"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Prácticas y técnicas</w:t>
      </w:r>
      <w:r w:rsidR="00404CE4">
        <w:rPr>
          <w:rFonts w:ascii="Arial" w:hAnsi="Arial" w:cs="Arial"/>
          <w:sz w:val="24"/>
          <w:szCs w:val="24"/>
        </w:rPr>
        <w:t>: Prácticas y técnicas definidas y actualizadas en función de métricas, cambios en la estrategia corporativa e innovaciones de la industria.</w:t>
      </w:r>
    </w:p>
    <w:p w14:paraId="5F2D3944" w14:textId="1BA85078"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Entregables</w:t>
      </w:r>
      <w:r w:rsidR="00404CE4">
        <w:rPr>
          <w:rFonts w:ascii="Arial" w:hAnsi="Arial" w:cs="Arial"/>
          <w:sz w:val="24"/>
          <w:szCs w:val="24"/>
        </w:rPr>
        <w:t>: Actualizaciones realizadas para incorporar innovaciones y actualizaciones de las mejores prácticas de la industria en la estrategia empresarial.</w:t>
      </w:r>
    </w:p>
    <w:p w14:paraId="64FAD2DF" w14:textId="550915F8"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Tecnología</w:t>
      </w:r>
      <w:r w:rsidR="00404CE4">
        <w:rPr>
          <w:rFonts w:ascii="Arial" w:hAnsi="Arial" w:cs="Arial"/>
          <w:sz w:val="24"/>
          <w:szCs w:val="24"/>
        </w:rPr>
        <w:t>: Mejoras implementadas y uso mejorado continuamente.</w:t>
      </w:r>
    </w:p>
    <w:p w14:paraId="0578A7CE" w14:textId="2892620E" w:rsid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Organización</w:t>
      </w:r>
      <w:r w:rsidR="00404CE4">
        <w:rPr>
          <w:rFonts w:ascii="Arial" w:hAnsi="Arial" w:cs="Arial"/>
          <w:sz w:val="24"/>
          <w:szCs w:val="24"/>
        </w:rPr>
        <w:t>: Los requisitos/organización de BA se mejorar continuamente, auditorías externas aplicadas para validar mediciones.</w:t>
      </w:r>
    </w:p>
    <w:p w14:paraId="3EF44A38" w14:textId="5C4B8CBA" w:rsidR="00911A60" w:rsidRPr="00911A60" w:rsidRDefault="00911A60" w:rsidP="00404CE4">
      <w:pPr>
        <w:pStyle w:val="Prrafodelista"/>
        <w:numPr>
          <w:ilvl w:val="0"/>
          <w:numId w:val="1"/>
        </w:numPr>
        <w:spacing w:line="276" w:lineRule="auto"/>
        <w:jc w:val="both"/>
        <w:rPr>
          <w:rFonts w:ascii="Arial" w:hAnsi="Arial" w:cs="Arial"/>
          <w:sz w:val="24"/>
          <w:szCs w:val="24"/>
        </w:rPr>
      </w:pPr>
      <w:r>
        <w:rPr>
          <w:rFonts w:ascii="Arial" w:hAnsi="Arial" w:cs="Arial"/>
          <w:sz w:val="24"/>
          <w:szCs w:val="24"/>
        </w:rPr>
        <w:t>Competencia</w:t>
      </w:r>
      <w:r w:rsidR="00404CE4">
        <w:rPr>
          <w:rFonts w:ascii="Arial" w:hAnsi="Arial" w:cs="Arial"/>
          <w:sz w:val="24"/>
          <w:szCs w:val="24"/>
        </w:rPr>
        <w:t>: Nivel avanzado de competencia.</w:t>
      </w:r>
    </w:p>
    <w:p w14:paraId="69A6CBA0" w14:textId="108B65C5" w:rsidR="00E2361C" w:rsidRPr="00E2361C" w:rsidRDefault="00E2361C" w:rsidP="00404CE4">
      <w:pPr>
        <w:pStyle w:val="Ttulo1"/>
        <w:spacing w:line="276" w:lineRule="auto"/>
        <w:jc w:val="both"/>
        <w:rPr>
          <w:rFonts w:ascii="Arial" w:hAnsi="Arial" w:cs="Arial"/>
          <w:b/>
          <w:bCs/>
          <w:color w:val="000000" w:themeColor="text1"/>
          <w:sz w:val="28"/>
          <w:szCs w:val="28"/>
        </w:rPr>
      </w:pPr>
      <w:bookmarkStart w:id="2" w:name="_Toc157269631"/>
      <w:r w:rsidRPr="00E2361C">
        <w:rPr>
          <w:rFonts w:ascii="Arial" w:hAnsi="Arial" w:cs="Arial"/>
          <w:b/>
          <w:bCs/>
          <w:color w:val="000000" w:themeColor="text1"/>
          <w:sz w:val="28"/>
          <w:szCs w:val="28"/>
        </w:rPr>
        <w:t>Conclusiones</w:t>
      </w:r>
      <w:bookmarkEnd w:id="2"/>
    </w:p>
    <w:p w14:paraId="33C81E1B" w14:textId="0524418D" w:rsidR="00E2361C" w:rsidRPr="00E2361C" w:rsidRDefault="00E2361C" w:rsidP="00404CE4">
      <w:pPr>
        <w:pStyle w:val="Ttulo1"/>
        <w:spacing w:line="276" w:lineRule="auto"/>
        <w:jc w:val="both"/>
        <w:rPr>
          <w:rFonts w:ascii="Arial" w:hAnsi="Arial" w:cs="Arial"/>
          <w:b/>
          <w:bCs/>
          <w:color w:val="000000" w:themeColor="text1"/>
          <w:sz w:val="28"/>
          <w:szCs w:val="28"/>
        </w:rPr>
      </w:pPr>
      <w:bookmarkStart w:id="3" w:name="_Toc157269632"/>
      <w:r w:rsidRPr="00E2361C">
        <w:rPr>
          <w:rFonts w:ascii="Arial" w:hAnsi="Arial" w:cs="Arial"/>
          <w:b/>
          <w:bCs/>
          <w:color w:val="000000" w:themeColor="text1"/>
          <w:sz w:val="28"/>
          <w:szCs w:val="28"/>
        </w:rPr>
        <w:t>Referencias</w:t>
      </w:r>
      <w:bookmarkEnd w:id="3"/>
    </w:p>
    <w:sectPr w:rsidR="00E2361C" w:rsidRPr="00E2361C" w:rsidSect="00B672E0">
      <w:footerReference w:type="default" r:id="rId12"/>
      <w:pgSz w:w="12240" w:h="15840"/>
      <w:pgMar w:top="709" w:right="1701" w:bottom="56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2FB0" w14:textId="77777777" w:rsidR="00B672E0" w:rsidRDefault="00B672E0" w:rsidP="00E2361C">
      <w:pPr>
        <w:spacing w:after="0" w:line="240" w:lineRule="auto"/>
      </w:pPr>
      <w:r>
        <w:separator/>
      </w:r>
    </w:p>
  </w:endnote>
  <w:endnote w:type="continuationSeparator" w:id="0">
    <w:p w14:paraId="69DC39C1" w14:textId="77777777" w:rsidR="00B672E0" w:rsidRDefault="00B672E0" w:rsidP="00E23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714137"/>
      <w:docPartObj>
        <w:docPartGallery w:val="Page Numbers (Bottom of Page)"/>
        <w:docPartUnique/>
      </w:docPartObj>
    </w:sdtPr>
    <w:sdtContent>
      <w:p w14:paraId="79649CAE" w14:textId="090B918D" w:rsidR="00E2361C" w:rsidRDefault="00E2361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E0CED40" wp14:editId="4E732B6E">
                  <wp:simplePos x="0" y="0"/>
                  <wp:positionH relativeFrom="margin">
                    <wp:align>center</wp:align>
                  </wp:positionH>
                  <wp:positionV relativeFrom="bottomMargin">
                    <wp:align>center</wp:align>
                  </wp:positionV>
                  <wp:extent cx="1282700" cy="343535"/>
                  <wp:effectExtent l="28575" t="19050" r="22225" b="8890"/>
                  <wp:wrapNone/>
                  <wp:docPr id="1765106926"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0F685D2" w14:textId="77777777" w:rsidR="00E2361C" w:rsidRDefault="00E2361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CED4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0F685D2" w14:textId="77777777" w:rsidR="00E2361C" w:rsidRDefault="00E2361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D1FDF" w14:textId="77777777" w:rsidR="00B672E0" w:rsidRDefault="00B672E0" w:rsidP="00E2361C">
      <w:pPr>
        <w:spacing w:after="0" w:line="240" w:lineRule="auto"/>
      </w:pPr>
      <w:r>
        <w:separator/>
      </w:r>
    </w:p>
  </w:footnote>
  <w:footnote w:type="continuationSeparator" w:id="0">
    <w:p w14:paraId="5A42E111" w14:textId="77777777" w:rsidR="00B672E0" w:rsidRDefault="00B672E0" w:rsidP="00E23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08B"/>
    <w:multiLevelType w:val="hybridMultilevel"/>
    <w:tmpl w:val="7B640802"/>
    <w:lvl w:ilvl="0" w:tplc="ED3831EC">
      <w:numFmt w:val="bullet"/>
      <w:lvlText w:val="-"/>
      <w:lvlJc w:val="left"/>
      <w:pPr>
        <w:ind w:left="1068" w:hanging="360"/>
      </w:pPr>
      <w:rPr>
        <w:rFonts w:ascii="Arial" w:eastAsiaTheme="minorHAnsi" w:hAnsi="Arial" w:cs="Aria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26A94B9C"/>
    <w:multiLevelType w:val="hybridMultilevel"/>
    <w:tmpl w:val="8B8E3A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75140702">
    <w:abstractNumId w:val="0"/>
  </w:num>
  <w:num w:numId="2" w16cid:durableId="131518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A2"/>
    <w:rsid w:val="0011089D"/>
    <w:rsid w:val="001B4E69"/>
    <w:rsid w:val="001B7436"/>
    <w:rsid w:val="003D567A"/>
    <w:rsid w:val="003F6C40"/>
    <w:rsid w:val="00404CE4"/>
    <w:rsid w:val="004C091C"/>
    <w:rsid w:val="005735C2"/>
    <w:rsid w:val="00911A60"/>
    <w:rsid w:val="009C7501"/>
    <w:rsid w:val="00AA0E05"/>
    <w:rsid w:val="00AC7FF5"/>
    <w:rsid w:val="00B672E0"/>
    <w:rsid w:val="00BE2E09"/>
    <w:rsid w:val="00DA5468"/>
    <w:rsid w:val="00E2361C"/>
    <w:rsid w:val="00E358FD"/>
    <w:rsid w:val="00EF41A2"/>
    <w:rsid w:val="00F93F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70730"/>
  <w15:chartTrackingRefBased/>
  <w15:docId w15:val="{1B323D7A-054C-43CE-8C52-D18623B1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41A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EF41A2"/>
    <w:rPr>
      <w:rFonts w:eastAsiaTheme="minorEastAsia"/>
      <w:kern w:val="0"/>
      <w:lang w:eastAsia="es-MX"/>
      <w14:ligatures w14:val="none"/>
    </w:rPr>
  </w:style>
  <w:style w:type="paragraph" w:styleId="Encabezado">
    <w:name w:val="header"/>
    <w:basedOn w:val="Normal"/>
    <w:link w:val="EncabezadoCar"/>
    <w:uiPriority w:val="99"/>
    <w:unhideWhenUsed/>
    <w:rsid w:val="00E236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61C"/>
  </w:style>
  <w:style w:type="paragraph" w:styleId="Piedepgina">
    <w:name w:val="footer"/>
    <w:basedOn w:val="Normal"/>
    <w:link w:val="PiedepginaCar"/>
    <w:uiPriority w:val="99"/>
    <w:unhideWhenUsed/>
    <w:rsid w:val="00E236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61C"/>
  </w:style>
  <w:style w:type="character" w:customStyle="1" w:styleId="Ttulo1Car">
    <w:name w:val="Título 1 Car"/>
    <w:basedOn w:val="Fuentedeprrafopredeter"/>
    <w:link w:val="Ttulo1"/>
    <w:uiPriority w:val="9"/>
    <w:rsid w:val="00E236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2361C"/>
    <w:pPr>
      <w:outlineLvl w:val="9"/>
    </w:pPr>
    <w:rPr>
      <w:kern w:val="0"/>
      <w:lang w:eastAsia="es-MX"/>
      <w14:ligatures w14:val="none"/>
    </w:rPr>
  </w:style>
  <w:style w:type="paragraph" w:styleId="TDC1">
    <w:name w:val="toc 1"/>
    <w:basedOn w:val="Normal"/>
    <w:next w:val="Normal"/>
    <w:autoRedefine/>
    <w:uiPriority w:val="39"/>
    <w:unhideWhenUsed/>
    <w:rsid w:val="00E2361C"/>
    <w:pPr>
      <w:spacing w:after="100"/>
    </w:pPr>
  </w:style>
  <w:style w:type="character" w:styleId="Hipervnculo">
    <w:name w:val="Hyperlink"/>
    <w:basedOn w:val="Fuentedeprrafopredeter"/>
    <w:uiPriority w:val="99"/>
    <w:unhideWhenUsed/>
    <w:rsid w:val="00E2361C"/>
    <w:rPr>
      <w:color w:val="0563C1" w:themeColor="hyperlink"/>
      <w:u w:val="single"/>
    </w:rPr>
  </w:style>
  <w:style w:type="paragraph" w:styleId="Prrafodelista">
    <w:name w:val="List Paragraph"/>
    <w:basedOn w:val="Normal"/>
    <w:uiPriority w:val="34"/>
    <w:qFormat/>
    <w:rsid w:val="009C7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documento muestra un análisis del documento business analysis benchmark</Abstract>
  <CompanyAddress/>
  <CompanyPhone/>
  <CompanyFax/>
  <CompanyEmail>Maestría en Ingeniería de Software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5E4FD-6D47-406C-B3DA-AE583EEF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937</Words>
  <Characters>5156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Business Analysis benchmark</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 benchmark</dc:title>
  <dc:subject>Desarrollo de software I</dc:subject>
  <dc:creator>Martín Josué Andrade Salazar | 219737144</dc:creator>
  <cp:keywords/>
  <dc:description/>
  <cp:lastModifiedBy>KingGhidorah 01</cp:lastModifiedBy>
  <cp:revision>11</cp:revision>
  <dcterms:created xsi:type="dcterms:W3CDTF">2024-01-27T22:42:00Z</dcterms:created>
  <dcterms:modified xsi:type="dcterms:W3CDTF">2024-01-28T00:51:00Z</dcterms:modified>
</cp:coreProperties>
</file>