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r>
        <w:rPr>
          <w:rFonts w:ascii="Times New Roman" w:hAnsi="Times New Roman"/>
          <w:b/>
          <w:sz w:val="24"/>
        </w:rPr>
        <w:t>Barangayan: Research Methodology and Operational Framework</w:t>
      </w:r>
    </w:p>
    <w:p>
      <w:pPr>
        <w:spacing w:line="480" w:lineRule="auto" w:before="0" w:after="0"/>
        <w:ind w:firstLine="0"/>
        <w:jc w:val="center"/>
      </w:pPr>
    </w:p>
    <w:p>
      <w:pPr>
        <w:spacing w:line="480" w:lineRule="auto" w:before="0" w:after="0"/>
        <w:ind w:firstLine="0"/>
        <w:jc w:val="center"/>
      </w:pPr>
    </w:p>
    <w:p>
      <w:pPr>
        <w:spacing w:line="480" w:lineRule="auto" w:before="0" w:after="0"/>
        <w:ind w:firstLine="0"/>
        <w:jc w:val="center"/>
      </w:pPr>
      <w:r>
        <w:rPr>
          <w:rFonts w:ascii="Times New Roman" w:hAnsi="Times New Roman"/>
          <w:sz w:val="24"/>
        </w:rPr>
        <w:t>[Student Name]</w:t>
      </w:r>
    </w:p>
    <w:p>
      <w:pPr>
        <w:spacing w:line="480" w:lineRule="auto" w:before="0" w:after="0"/>
        <w:ind w:firstLine="0"/>
        <w:jc w:val="center"/>
      </w:pPr>
      <w:r>
        <w:rPr>
          <w:rFonts w:ascii="Times New Roman" w:hAnsi="Times New Roman"/>
          <w:sz w:val="24"/>
        </w:rPr>
        <w:t>[Institutional Affiliation]</w:t>
      </w:r>
    </w:p>
    <w:p>
      <w:pPr>
        <w:spacing w:line="480" w:lineRule="auto" w:before="0" w:after="0"/>
        <w:ind w:firstLine="0"/>
        <w:jc w:val="center"/>
      </w:pPr>
      <w:r>
        <w:rPr>
          <w:rFonts w:ascii="Times New Roman" w:hAnsi="Times New Roman"/>
          <w:sz w:val="24"/>
        </w:rPr>
        <w:t>[Course Number and Course Name]</w:t>
      </w:r>
    </w:p>
    <w:p>
      <w:pPr>
        <w:spacing w:line="480" w:lineRule="auto" w:before="0" w:after="0"/>
        <w:ind w:firstLine="0"/>
        <w:jc w:val="center"/>
      </w:pPr>
      <w:r>
        <w:rPr>
          <w:rFonts w:ascii="Times New Roman" w:hAnsi="Times New Roman"/>
          <w:sz w:val="24"/>
        </w:rPr>
        <w:t>[Instructor Name]</w:t>
      </w:r>
    </w:p>
    <w:p>
      <w:pPr>
        <w:spacing w:line="480" w:lineRule="auto" w:before="0" w:after="0"/>
        <w:ind w:firstLine="0"/>
        <w:jc w:val="center"/>
      </w:pPr>
      <w:r>
        <w:rPr>
          <w:rFonts w:ascii="Times New Roman" w:hAnsi="Times New Roman"/>
          <w:sz w:val="24"/>
        </w:rPr>
        <w:t>[Submission Date]</w:t>
      </w:r>
    </w:p>
    <w:p>
      <w:r>
        <w:br w:type="page"/>
      </w:r>
    </w:p>
    <w:p>
      <w:pPr>
        <w:keepNext/>
        <w:spacing w:line="480" w:lineRule="auto" w:before="0" w:after="0"/>
        <w:ind w:firstLine="0"/>
        <w:jc w:val="center"/>
      </w:pPr>
      <w:r>
        <w:rPr>
          <w:rFonts w:ascii="Times New Roman" w:hAnsi="Times New Roman"/>
          <w:b/>
          <w:sz w:val="24"/>
        </w:rPr>
        <w:t>Chapter 3. Research Methodology and Operational Framework</w:t>
      </w:r>
    </w:p>
    <w:p>
      <w:pPr>
        <w:keepNext/>
        <w:spacing w:line="480" w:lineRule="auto" w:before="0" w:after="0"/>
        <w:ind w:firstLine="0"/>
        <w:jc w:val="center"/>
      </w:pPr>
      <w:r>
        <w:rPr>
          <w:rFonts w:ascii="Times New Roman" w:hAnsi="Times New Roman"/>
          <w:b/>
          <w:sz w:val="24"/>
        </w:rPr>
        <w:t>3.1 Research Methodology and Operational Framework</w:t>
      </w:r>
    </w:p>
    <w:p>
      <w:pPr>
        <w:keepNext/>
        <w:spacing w:line="480" w:lineRule="auto" w:before="0" w:after="0"/>
        <w:ind w:firstLine="0"/>
        <w:jc w:val="left"/>
      </w:pPr>
      <w:r>
        <w:rPr>
          <w:rFonts w:ascii="Times New Roman" w:hAnsi="Times New Roman"/>
          <w:b/>
          <w:sz w:val="24"/>
        </w:rPr>
        <w:t>3.1.1 Research design</w:t>
      </w:r>
    </w:p>
    <w:p>
      <w:pPr>
        <w:spacing w:line="480" w:lineRule="auto" w:before="0" w:after="0"/>
        <w:ind w:firstLine="720"/>
        <w:jc w:val="left"/>
      </w:pPr>
      <w:r>
        <w:rPr>
          <w:rFonts w:ascii="Times New Roman" w:hAnsi="Times New Roman"/>
          <w:sz w:val="24"/>
        </w:rPr>
        <w:t>This study employs technical developmental research to design, develop, test, and evaluate Barangayan, a mobile- and web-based barangay management system. It builds on the problem statement, objectives, scope, conceptual framework, and system architecture established in Chapters 1 and 2. The study focuses on producing a usable development build for Barangay Ampid I, San Mateo, Rizal, and on documenting the evidence needed to evaluate the system.</w:t>
      </w:r>
    </w:p>
    <w:p>
      <w:pPr>
        <w:spacing w:line="480" w:lineRule="auto" w:before="0" w:after="0"/>
        <w:ind w:firstLine="720"/>
        <w:jc w:val="left"/>
      </w:pPr>
      <w:r>
        <w:rPr>
          <w:rFonts w:ascii="Times New Roman" w:hAnsi="Times New Roman"/>
          <w:sz w:val="24"/>
        </w:rPr>
        <w:t>The research process combines system development and evaluation. The development component includes requirements analysis, system and database design, application development, integration, technical testing, revision, and documentation. The evaluation component collects structured feedback from intended users and records test results for the defined workflows and quality criteria.</w:t>
      </w:r>
    </w:p>
    <w:p>
      <w:pPr>
        <w:spacing w:line="480" w:lineRule="auto" w:before="0" w:after="0"/>
        <w:ind w:firstLine="720"/>
        <w:jc w:val="left"/>
      </w:pPr>
      <w:r>
        <w:rPr>
          <w:rFonts w:ascii="Times New Roman" w:hAnsi="Times New Roman"/>
          <w:sz w:val="24"/>
        </w:rPr>
        <w:t>The study follows an Input-Process-Output framework:</w:t>
      </w:r>
    </w:p>
    <w:p>
      <w:pPr>
        <w:spacing w:line="240" w:lineRule="auto" w:before="120" w:after="120"/>
        <w:ind w:firstLine="0"/>
        <w:jc w:val="center"/>
      </w:pPr>
      <w:r>
        <w:rPr>
          <w:rFonts w:ascii="Courier New" w:hAnsi="Courier New"/>
          <w:sz w:val="18"/>
        </w:rPr>
        <w:t>Inputs</w:t>
        <w:br/>
        <w:t>Project requirements; Chapter 1 and Chapter 2 specifications;</w:t>
        <w:br/>
        <w:t>Barangay Ampid I context; user requirements; technology stack;</w:t>
        <w:br/>
        <w:t>test data; evaluation criteria; and development documentation</w:t>
        <w:br/>
        <w:br/>
        <w:t>Process</w:t>
        <w:br/>
        <w:t>Requirements validation -&gt; system design -&gt; development -&gt; integration</w:t>
        <w:br/>
        <w:t>-&gt; technical testing -&gt; user evaluation -&gt; revision -&gt; documentation</w:t>
        <w:br/>
        <w:br/>
        <w:t>Outputs</w:t>
        <w:br/>
        <w:t>Barangayan development build; test records; user-evaluation results;</w:t>
        <w:br/>
        <w:t>defect and revision records; implementation documentation; and</w:t>
        <w:br/>
        <w:t>recommendations for controlled deployment</w:t>
      </w:r>
    </w:p>
    <w:p>
      <w:pPr>
        <w:spacing w:line="480" w:lineRule="auto" w:before="0" w:after="0"/>
        <w:ind w:firstLine="720"/>
        <w:jc w:val="left"/>
      </w:pPr>
      <w:r>
        <w:rPr>
          <w:rFonts w:ascii="Times New Roman" w:hAnsi="Times New Roman"/>
          <w:sz w:val="24"/>
        </w:rPr>
        <w:t>This study does not claim that the system is production-ready, legally compliant, or deployed for live public transactions. Such conclusions require completed technical testing, formal operational approval, and compliance with applicable privacy and provider requirements.</w:t>
      </w:r>
    </w:p>
    <w:p>
      <w:pPr>
        <w:keepNext/>
        <w:spacing w:line="480" w:lineRule="auto" w:before="0" w:after="0"/>
        <w:ind w:firstLine="0"/>
        <w:jc w:val="left"/>
      </w:pPr>
      <w:r>
        <w:rPr>
          <w:rFonts w:ascii="Times New Roman" w:hAnsi="Times New Roman"/>
          <w:b/>
          <w:sz w:val="24"/>
        </w:rPr>
        <w:t>3.1.2 Study setting and target users</w:t>
      </w:r>
    </w:p>
    <w:p>
      <w:pPr>
        <w:spacing w:line="480" w:lineRule="auto" w:before="0" w:after="0"/>
        <w:ind w:firstLine="720"/>
        <w:jc w:val="left"/>
      </w:pPr>
      <w:r>
        <w:rPr>
          <w:rFonts w:ascii="Times New Roman" w:hAnsi="Times New Roman"/>
          <w:sz w:val="24"/>
        </w:rPr>
        <w:t>The study site is Barangay Ampid I, San Mateo, Rizal. The site has been approved for the study by the Barangay Captain, Hon. Elmer B. Manahan. The Philippine Statistics Authority reports that Ampid I had a population of 26,953 in the 2024 Census of Population.</w:t>
      </w:r>
    </w:p>
    <w:p>
      <w:pPr>
        <w:spacing w:line="480" w:lineRule="auto" w:before="0" w:after="0"/>
        <w:ind w:firstLine="720"/>
        <w:jc w:val="left"/>
      </w:pPr>
      <w:r>
        <w:rPr>
          <w:rFonts w:ascii="Times New Roman" w:hAnsi="Times New Roman"/>
          <w:sz w:val="24"/>
        </w:rPr>
        <w:t>The target users are:</w:t>
      </w:r>
    </w:p>
    <w:p>
      <w:pPr>
        <w:spacing w:line="480" w:lineRule="auto" w:before="0" w:after="0"/>
        <w:ind w:left="720" w:hanging="360"/>
      </w:pPr>
      <w:r>
        <w:rPr>
          <w:rFonts w:ascii="Times New Roman" w:hAnsi="Times New Roman"/>
          <w:sz w:val="24"/>
        </w:rPr>
        <w:t xml:space="preserve">- </w:t>
      </w:r>
      <w:r>
        <w:rPr>
          <w:rFonts w:ascii="Times New Roman" w:hAnsi="Times New Roman"/>
          <w:sz w:val="24"/>
        </w:rPr>
        <w:t>residents who may request barangay documents and services, submit incident reports, view emergency information, register for health-related activities, and track transactions;</w:t>
      </w:r>
    </w:p>
    <w:p>
      <w:pPr>
        <w:spacing w:line="480" w:lineRule="auto" w:before="0" w:after="0"/>
        <w:ind w:left="720" w:hanging="360"/>
      </w:pPr>
      <w:r>
        <w:rPr>
          <w:rFonts w:ascii="Times New Roman" w:hAnsi="Times New Roman"/>
          <w:sz w:val="24"/>
        </w:rPr>
        <w:t xml:space="preserve">- </w:t>
      </w:r>
      <w:r>
        <w:rPr>
          <w:rFonts w:ascii="Times New Roman" w:hAnsi="Times New Roman"/>
          <w:sz w:val="24"/>
        </w:rPr>
        <w:t>the 10 elected barangay officials who make or supervise service, emergency, and administrative decisions; and</w:t>
      </w:r>
    </w:p>
    <w:p>
      <w:pPr>
        <w:spacing w:line="480" w:lineRule="auto" w:before="0" w:after="0"/>
        <w:ind w:left="720" w:hanging="360"/>
      </w:pPr>
      <w:r>
        <w:rPr>
          <w:rFonts w:ascii="Times New Roman" w:hAnsi="Times New Roman"/>
          <w:sz w:val="24"/>
        </w:rPr>
        <w:t xml:space="preserve">- </w:t>
      </w:r>
      <w:r>
        <w:rPr>
          <w:rFonts w:ascii="Times New Roman" w:hAnsi="Times New Roman"/>
          <w:sz w:val="24"/>
        </w:rPr>
        <w:t>administrative and auxiliary support staff who process requests, manage records, update content, and support day-to-day barangay operations.</w:t>
      </w:r>
    </w:p>
    <w:p>
      <w:pPr>
        <w:spacing w:line="480" w:lineRule="auto" w:before="0" w:after="0"/>
        <w:ind w:firstLine="720"/>
        <w:jc w:val="left"/>
      </w:pPr>
      <w:r>
        <w:rPr>
          <w:rFonts w:ascii="Times New Roman" w:hAnsi="Times New Roman"/>
          <w:sz w:val="24"/>
        </w:rPr>
        <w:t>The study evaluates the system in the context of the workflows defined in Chapters 1 and 2. It does not represent all Philippine barangays or claim that results from Ampid I automatically apply to other locations.</w:t>
      </w:r>
    </w:p>
    <w:p>
      <w:pPr>
        <w:keepNext/>
        <w:spacing w:line="480" w:lineRule="auto" w:before="0" w:after="0"/>
        <w:ind w:firstLine="0"/>
        <w:jc w:val="left"/>
      </w:pPr>
      <w:r>
        <w:rPr>
          <w:rFonts w:ascii="Times New Roman" w:hAnsi="Times New Roman"/>
          <w:b/>
          <w:sz w:val="24"/>
        </w:rPr>
        <w:t>3.1.3 Participants and sampling procedure</w:t>
      </w:r>
    </w:p>
    <w:p>
      <w:pPr>
        <w:spacing w:line="480" w:lineRule="auto" w:before="0" w:after="0"/>
        <w:ind w:firstLine="720"/>
        <w:jc w:val="left"/>
      </w:pPr>
      <w:r>
        <w:rPr>
          <w:rFonts w:ascii="Times New Roman" w:hAnsi="Times New Roman"/>
          <w:sz w:val="24"/>
        </w:rPr>
        <w:t>Barangay Ampid I has a population of 26,953 residents. However, this study uses a small, task-based usability evaluation rather than a population survey. The participant count is therefore not calculated using Cochran's formula, because the purpose is to identify workflow problems, usability concerns, and needed revisions in the development build, not to produce statistically generalizable estimates for the entire resident population.</w:t>
      </w:r>
    </w:p>
    <w:p>
      <w:pPr>
        <w:spacing w:line="480" w:lineRule="auto" w:before="0" w:after="0"/>
        <w:ind w:firstLine="720"/>
        <w:jc w:val="left"/>
      </w:pPr>
      <w:r>
        <w:rPr>
          <w:rFonts w:ascii="Times New Roman" w:hAnsi="Times New Roman"/>
          <w:sz w:val="24"/>
        </w:rPr>
        <w:t>The planned evaluation sample is 45 participants: 25 adult residents, all 10 elected barangay officials, and 10 available administrative or auxiliary support staff. This number is practical for a controlled development evaluation and enables each participant group to test the workflows that match its role.</w:t>
      </w:r>
    </w:p>
    <w:p>
      <w:pPr>
        <w:spacing w:line="480" w:lineRule="auto" w:before="0" w:after="0"/>
        <w:ind w:firstLine="720"/>
        <w:jc w:val="left"/>
      </w:pPr>
      <w:r>
        <w:rPr>
          <w:rFonts w:ascii="Times New Roman" w:hAnsi="Times New Roman"/>
          <w:sz w:val="24"/>
        </w:rPr>
        <w:t>The 25 resident participants will be selected through purposive sampling with the assistance of authorized barangay personnel. To be eligible, a resident must be at least 18 years old, live in Barangay Ampid I, be able to provide informed consent, and be able to complete an assigned mobile or web task after standard orientation. The selection will seek participants with varying familiarity with mobile or web applications when practicable. A resident who declines to participate or does not meet the eligibility criteria may be replaced by another eligible resident.</w:t>
      </w:r>
    </w:p>
    <w:p>
      <w:pPr>
        <w:spacing w:line="480" w:lineRule="auto" w:before="0" w:after="0"/>
        <w:ind w:firstLine="720"/>
        <w:jc w:val="left"/>
      </w:pPr>
      <w:r>
        <w:rPr>
          <w:rFonts w:ascii="Times New Roman" w:hAnsi="Times New Roman"/>
          <w:sz w:val="24"/>
        </w:rPr>
        <w:t>All 10 elected barangay officials will be included through total enumeration because the group is small and each role may use or supervise a distinct system workflow. Ten administrative or auxiliary support staff who are available during data collection will be selected purposively to represent request processing, records management, content updates, and other relevant administrative tasks. The actual number of participants in each group will be reported with the evaluation results.</w:t>
      </w:r>
    </w:p>
    <w:p>
      <w:pPr>
        <w:spacing w:line="480" w:lineRule="auto" w:before="0" w:after="0"/>
        <w:ind w:firstLine="720"/>
        <w:jc w:val="left"/>
      </w:pPr>
      <w:r>
        <w:rPr>
          <w:rFonts w:ascii="Times New Roman" w:hAnsi="Times New Roman"/>
          <w:sz w:val="24"/>
        </w:rPr>
        <w:t>The participant groups are summarized below.</w:t>
      </w:r>
    </w:p>
    <w:p>
      <w:pPr>
        <w:keepNext/>
        <w:spacing w:before="120" w:after="0" w:line="480" w:lineRule="auto"/>
      </w:pPr>
      <w:r>
        <w:rPr>
          <w:rFonts w:ascii="Times New Roman" w:hAnsi="Times New Roman"/>
          <w:b/>
          <w:sz w:val="24"/>
        </w:rPr>
        <w:t>Table 1</w:t>
      </w:r>
    </w:p>
    <w:p>
      <w:pPr>
        <w:keepNext/>
        <w:spacing w:before="0" w:after="0" w:line="480" w:lineRule="auto"/>
      </w:pPr>
      <w:r>
        <w:rPr>
          <w:rFonts w:ascii="Times New Roman" w:hAnsi="Times New Roman"/>
          <w:i/>
          <w:sz w:val="24"/>
        </w:rPr>
        <w:t>Participant Groups and Sampling Plan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rPr>
          <w:tblHeader w:val="true"/>
        </w:trPr>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Participant group</w:t>
            </w:r>
          </w:p>
        </w:tc>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Population or frame</w:t>
            </w:r>
          </w:p>
        </w:tc>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Sampling method</w:t>
            </w:r>
          </w:p>
        </w:tc>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Planned number</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Adult residents of Barangay Ampid I</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26,953 residents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Purposive sampling of eligible adult residents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25</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Elected barangay officials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10 officials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Total enumeration</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10</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Administrative and auxiliary support staff</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Approximately 15 to 30 or more personnel</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Purposive selection of available staff</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10</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study does not include an external technical-expert panel. Technical quality evidence will instead be obtained through documented test procedures and records prepared by the research team.</w:t>
      </w:r>
    </w:p>
    <w:p>
      <w:pPr>
        <w:keepNext/>
        <w:spacing w:line="480" w:lineRule="auto" w:before="0" w:after="0"/>
        <w:ind w:firstLine="0"/>
        <w:jc w:val="left"/>
      </w:pPr>
      <w:r>
        <w:rPr>
          <w:rFonts w:ascii="Times New Roman" w:hAnsi="Times New Roman"/>
          <w:b/>
          <w:sz w:val="24"/>
        </w:rPr>
        <w:t>3.1.4 Data-gathering methods</w:t>
      </w:r>
    </w:p>
    <w:p>
      <w:pPr>
        <w:spacing w:line="480" w:lineRule="auto" w:before="0" w:after="0"/>
        <w:ind w:firstLine="720"/>
        <w:jc w:val="left"/>
      </w:pPr>
      <w:r>
        <w:rPr>
          <w:rFonts w:ascii="Times New Roman" w:hAnsi="Times New Roman"/>
          <w:sz w:val="24"/>
        </w:rPr>
        <w:t>The study uses the following data-gathering methods:</w:t>
      </w:r>
    </w:p>
    <w:p>
      <w:pPr>
        <w:spacing w:line="480" w:lineRule="auto" w:before="0" w:after="0"/>
        <w:ind w:left="720" w:hanging="360"/>
      </w:pPr>
      <w:r>
        <w:rPr>
          <w:rFonts w:ascii="Times New Roman" w:hAnsi="Times New Roman"/>
          <w:sz w:val="24"/>
        </w:rPr>
        <w:t xml:space="preserve">1. </w:t>
      </w:r>
      <w:r>
        <w:rPr>
          <w:rFonts w:ascii="Times New Roman" w:hAnsi="Times New Roman"/>
          <w:b/>
          <w:sz w:val="24"/>
        </w:rPr>
        <w:t>Requirements and document review.</w:t>
      </w:r>
      <w:r>
        <w:rPr>
          <w:rFonts w:ascii="Times New Roman" w:hAnsi="Times New Roman"/>
          <w:sz w:val="24"/>
        </w:rPr>
        <w:t xml:space="preserve"> Chapters 1 and 2, the approved proposal, the system specifications, and the implementation records will be reviewed to maintain alignment among the problem, objectives, features, and evaluation tasks.</w:t>
      </w:r>
    </w:p>
    <w:p>
      <w:pPr>
        <w:spacing w:line="480" w:lineRule="auto" w:before="0" w:after="0"/>
        <w:ind w:left="720" w:hanging="360"/>
      </w:pPr>
      <w:r>
        <w:rPr>
          <w:rFonts w:ascii="Times New Roman" w:hAnsi="Times New Roman"/>
          <w:sz w:val="24"/>
        </w:rPr>
        <w:t xml:space="preserve">2. </w:t>
      </w:r>
      <w:r>
        <w:rPr>
          <w:rFonts w:ascii="Times New Roman" w:hAnsi="Times New Roman"/>
          <w:b/>
          <w:sz w:val="24"/>
        </w:rPr>
        <w:t>Development documentation.</w:t>
      </w:r>
      <w:r>
        <w:rPr>
          <w:rFonts w:ascii="Times New Roman" w:hAnsi="Times New Roman"/>
          <w:sz w:val="24"/>
        </w:rPr>
        <w:t xml:space="preserve"> Requirements matrices, interface designs, database changes, application modules, test cases, defect records, and revision records will be maintained throughout development. These records show how each major requirement is implemented and verified.</w:t>
      </w:r>
    </w:p>
    <w:p>
      <w:pPr>
        <w:spacing w:line="480" w:lineRule="auto" w:before="0" w:after="0"/>
        <w:ind w:left="720" w:hanging="360"/>
      </w:pPr>
      <w:r>
        <w:rPr>
          <w:rFonts w:ascii="Times New Roman" w:hAnsi="Times New Roman"/>
          <w:sz w:val="24"/>
        </w:rPr>
        <w:t xml:space="preserve">3. </w:t>
      </w:r>
      <w:r>
        <w:rPr>
          <w:rFonts w:ascii="Times New Roman" w:hAnsi="Times New Roman"/>
          <w:b/>
          <w:sz w:val="24"/>
        </w:rPr>
        <w:t>Functional and technical testing.</w:t>
      </w:r>
      <w:r>
        <w:rPr>
          <w:rFonts w:ascii="Times New Roman" w:hAnsi="Times New Roman"/>
          <w:sz w:val="24"/>
        </w:rPr>
        <w:t xml:space="preserve"> The research team uses controlled test accounts and synthetic data to test the resident and administrative workflows. Test records include the task, expected result, observed result, environment, status, and corrective action where needed.</w:t>
      </w:r>
    </w:p>
    <w:p>
      <w:pPr>
        <w:spacing w:line="480" w:lineRule="auto" w:before="0" w:after="0"/>
        <w:ind w:left="720" w:hanging="360"/>
      </w:pPr>
      <w:r>
        <w:rPr>
          <w:rFonts w:ascii="Times New Roman" w:hAnsi="Times New Roman"/>
          <w:sz w:val="24"/>
        </w:rPr>
        <w:t xml:space="preserve">4. </w:t>
      </w:r>
      <w:r>
        <w:rPr>
          <w:rFonts w:ascii="Times New Roman" w:hAnsi="Times New Roman"/>
          <w:b/>
          <w:sz w:val="24"/>
        </w:rPr>
        <w:t>Task-based user evaluation.</w:t>
      </w:r>
      <w:r>
        <w:rPr>
          <w:rFonts w:ascii="Times New Roman" w:hAnsi="Times New Roman"/>
          <w:sz w:val="24"/>
        </w:rPr>
        <w:t xml:space="preserve"> Residents, officials, and support staff complete role-appropriate tasks, such as submitting a service request, locating request status, reporting an incident, reviewing an administrative request, or updating content. The study records task completion, errors, clarifications required, and participant feedback.</w:t>
      </w:r>
    </w:p>
    <w:p>
      <w:pPr>
        <w:spacing w:line="480" w:lineRule="auto" w:before="0" w:after="0"/>
        <w:ind w:left="720" w:hanging="360"/>
      </w:pPr>
      <w:r>
        <w:rPr>
          <w:rFonts w:ascii="Times New Roman" w:hAnsi="Times New Roman"/>
          <w:sz w:val="24"/>
        </w:rPr>
        <w:t xml:space="preserve">5. </w:t>
      </w:r>
      <w:r>
        <w:rPr>
          <w:rFonts w:ascii="Times New Roman" w:hAnsi="Times New Roman"/>
          <w:b/>
          <w:sz w:val="24"/>
        </w:rPr>
        <w:t>Structured questionnaire.</w:t>
      </w:r>
      <w:r>
        <w:rPr>
          <w:rFonts w:ascii="Times New Roman" w:hAnsi="Times New Roman"/>
          <w:sz w:val="24"/>
        </w:rPr>
        <w:t xml:space="preserve"> After completing the assigned tasks, participants answer a five-point questionnaire based on relevant ISO/IEC 25010:2023 product-quality characteristics. The questionnaire focuses on functional suitability, usability, reliability, performance efficiency, compatibility, and perceived security and privacy support.</w:t>
      </w:r>
    </w:p>
    <w:p>
      <w:pPr>
        <w:spacing w:line="480" w:lineRule="auto" w:before="0" w:after="0"/>
        <w:ind w:left="720" w:hanging="360"/>
      </w:pPr>
      <w:r>
        <w:rPr>
          <w:rFonts w:ascii="Times New Roman" w:hAnsi="Times New Roman"/>
          <w:sz w:val="24"/>
        </w:rPr>
        <w:t xml:space="preserve">6. </w:t>
      </w:r>
      <w:r>
        <w:rPr>
          <w:rFonts w:ascii="Times New Roman" w:hAnsi="Times New Roman"/>
          <w:b/>
          <w:sz w:val="24"/>
        </w:rPr>
        <w:t>Open-ended feedback.</w:t>
      </w:r>
      <w:r>
        <w:rPr>
          <w:rFonts w:ascii="Times New Roman" w:hAnsi="Times New Roman"/>
          <w:sz w:val="24"/>
        </w:rPr>
        <w:t xml:space="preserve"> Participants may identify unclear steps, missing information, workflow barriers, and recommended improvements. These comments will be grouped into recurring issues to guide revisions.</w:t>
      </w:r>
    </w:p>
    <w:p>
      <w:pPr>
        <w:keepNext/>
        <w:spacing w:line="480" w:lineRule="auto" w:before="0" w:after="0"/>
        <w:ind w:firstLine="0"/>
        <w:jc w:val="left"/>
      </w:pPr>
      <w:r>
        <w:rPr>
          <w:rFonts w:ascii="Times New Roman" w:hAnsi="Times New Roman"/>
          <w:b/>
          <w:sz w:val="24"/>
        </w:rPr>
        <w:t>3.1.5 Unit of analysis and research variables</w:t>
      </w:r>
    </w:p>
    <w:p>
      <w:pPr>
        <w:spacing w:line="480" w:lineRule="auto" w:before="0" w:after="0"/>
        <w:ind w:firstLine="720"/>
        <w:jc w:val="left"/>
      </w:pPr>
      <w:r>
        <w:rPr>
          <w:rFonts w:ascii="Times New Roman" w:hAnsi="Times New Roman"/>
          <w:sz w:val="24"/>
        </w:rPr>
        <w:t>The primary unit of analysis is a Barangayan user workflow. Each workflow is assessed as a complete sequence from a user action to the system response. The main workflows are:</w:t>
      </w:r>
    </w:p>
    <w:p>
      <w:pPr>
        <w:spacing w:line="480" w:lineRule="auto" w:before="0" w:after="0"/>
        <w:ind w:left="720" w:hanging="360"/>
      </w:pPr>
      <w:r>
        <w:rPr>
          <w:rFonts w:ascii="Times New Roman" w:hAnsi="Times New Roman"/>
          <w:sz w:val="24"/>
        </w:rPr>
        <w:t xml:space="preserve">- </w:t>
      </w:r>
      <w:r>
        <w:rPr>
          <w:rFonts w:ascii="Times New Roman" w:hAnsi="Times New Roman"/>
          <w:sz w:val="24"/>
        </w:rPr>
        <w:t>registration, sign-in, password recovery, and profile management;</w:t>
      </w:r>
    </w:p>
    <w:p>
      <w:pPr>
        <w:spacing w:line="480" w:lineRule="auto" w:before="0" w:after="0"/>
        <w:ind w:left="720" w:hanging="360"/>
      </w:pPr>
      <w:r>
        <w:rPr>
          <w:rFonts w:ascii="Times New Roman" w:hAnsi="Times New Roman"/>
          <w:sz w:val="24"/>
        </w:rPr>
        <w:t xml:space="preserve">- </w:t>
      </w:r>
      <w:r>
        <w:rPr>
          <w:rFonts w:ascii="Times New Roman" w:hAnsi="Times New Roman"/>
          <w:sz w:val="24"/>
        </w:rPr>
        <w:t>service and document request creation, payment selection, pickup or appointment information, and status tracking;</w:t>
      </w:r>
    </w:p>
    <w:p>
      <w:pPr>
        <w:spacing w:line="480" w:lineRule="auto" w:before="0" w:after="0"/>
        <w:ind w:left="720" w:hanging="360"/>
      </w:pPr>
      <w:r>
        <w:rPr>
          <w:rFonts w:ascii="Times New Roman" w:hAnsi="Times New Roman"/>
          <w:sz w:val="24"/>
        </w:rPr>
        <w:t xml:space="preserve">- </w:t>
      </w:r>
      <w:r>
        <w:rPr>
          <w:rFonts w:ascii="Times New Roman" w:hAnsi="Times New Roman"/>
          <w:sz w:val="24"/>
        </w:rPr>
        <w:t>incident reporting with category, location, and optional photograph;</w:t>
      </w:r>
    </w:p>
    <w:p>
      <w:pPr>
        <w:spacing w:line="480" w:lineRule="auto" w:before="0" w:after="0"/>
        <w:ind w:left="720" w:hanging="360"/>
      </w:pPr>
      <w:r>
        <w:rPr>
          <w:rFonts w:ascii="Times New Roman" w:hAnsi="Times New Roman"/>
          <w:sz w:val="24"/>
        </w:rPr>
        <w:t xml:space="preserve">- </w:t>
      </w:r>
      <w:r>
        <w:rPr>
          <w:rFonts w:ascii="Times New Roman" w:hAnsi="Times New Roman"/>
          <w:sz w:val="24"/>
        </w:rPr>
        <w:t>emergency announcements, hotline information, evacuation-center information, and default-map handoff;</w:t>
      </w:r>
    </w:p>
    <w:p>
      <w:pPr>
        <w:spacing w:line="480" w:lineRule="auto" w:before="0" w:after="0"/>
        <w:ind w:left="720" w:hanging="360"/>
      </w:pPr>
      <w:r>
        <w:rPr>
          <w:rFonts w:ascii="Times New Roman" w:hAnsi="Times New Roman"/>
          <w:sz w:val="24"/>
        </w:rPr>
        <w:t xml:space="preserve">- </w:t>
      </w:r>
      <w:r>
        <w:rPr>
          <w:rFonts w:ascii="Times New Roman" w:hAnsi="Times New Roman"/>
          <w:sz w:val="24"/>
        </w:rPr>
        <w:t>health or vaccination-drive browsing and registration;</w:t>
      </w:r>
    </w:p>
    <w:p>
      <w:pPr>
        <w:spacing w:line="480" w:lineRule="auto" w:before="0" w:after="0"/>
        <w:ind w:left="720" w:hanging="360"/>
      </w:pPr>
      <w:r>
        <w:rPr>
          <w:rFonts w:ascii="Times New Roman" w:hAnsi="Times New Roman"/>
          <w:sz w:val="24"/>
        </w:rPr>
        <w:t xml:space="preserve">- </w:t>
      </w:r>
      <w:r>
        <w:rPr>
          <w:rFonts w:ascii="Times New Roman" w:hAnsi="Times New Roman"/>
          <w:sz w:val="24"/>
        </w:rPr>
        <w:t>administrative configuration, request processing, incident review, content management, and dashboard review;</w:t>
      </w:r>
    </w:p>
    <w:p>
      <w:pPr>
        <w:spacing w:line="480" w:lineRule="auto" w:before="0" w:after="0"/>
        <w:ind w:left="720" w:hanging="360"/>
      </w:pPr>
      <w:r>
        <w:rPr>
          <w:rFonts w:ascii="Times New Roman" w:hAnsi="Times New Roman"/>
          <w:sz w:val="24"/>
        </w:rPr>
        <w:t xml:space="preserve">- </w:t>
      </w:r>
      <w:r>
        <w:rPr>
          <w:rFonts w:ascii="Times New Roman" w:hAnsi="Times New Roman"/>
          <w:sz w:val="24"/>
        </w:rPr>
        <w:t>privacy-related export and deletion requests; and</w:t>
      </w:r>
    </w:p>
    <w:p>
      <w:pPr>
        <w:spacing w:line="480" w:lineRule="auto" w:before="0" w:after="0"/>
        <w:ind w:left="720" w:hanging="360"/>
      </w:pPr>
      <w:r>
        <w:rPr>
          <w:rFonts w:ascii="Times New Roman" w:hAnsi="Times New Roman"/>
          <w:sz w:val="24"/>
        </w:rPr>
        <w:t xml:space="preserve">- </w:t>
      </w:r>
      <w:r>
        <w:rPr>
          <w:rFonts w:ascii="Times New Roman" w:hAnsi="Times New Roman"/>
          <w:sz w:val="24"/>
        </w:rPr>
        <w:t>barangay-scoped access control and data separation.</w:t>
      </w:r>
    </w:p>
    <w:p>
      <w:pPr>
        <w:spacing w:line="480" w:lineRule="auto" w:before="0" w:after="0"/>
        <w:ind w:firstLine="720"/>
        <w:jc w:val="left"/>
      </w:pPr>
      <w:r>
        <w:rPr>
          <w:rFonts w:ascii="Times New Roman" w:hAnsi="Times New Roman"/>
          <w:sz w:val="24"/>
        </w:rPr>
        <w:t>The independent development inputs are the approved requirements, application modules, database rules, interface designs, and configured services. The dependent measures are task completion, task errors, user ratings, technical test results, and qualitative feedback. System features will not be treated as evidence of improved public service unless supporting evaluation data are collected.</w:t>
      </w:r>
    </w:p>
    <w:p>
      <w:pPr>
        <w:keepNext/>
        <w:spacing w:line="480" w:lineRule="auto" w:before="0" w:after="0"/>
        <w:ind w:firstLine="0"/>
        <w:jc w:val="left"/>
      </w:pPr>
      <w:r>
        <w:rPr>
          <w:rFonts w:ascii="Times New Roman" w:hAnsi="Times New Roman"/>
          <w:b/>
          <w:sz w:val="24"/>
        </w:rPr>
        <w:t>3.1.6 Data organization, processing, and analysis</w:t>
      </w:r>
    </w:p>
    <w:p>
      <w:pPr>
        <w:spacing w:line="480" w:lineRule="auto" w:before="0" w:after="0"/>
        <w:ind w:firstLine="720"/>
        <w:jc w:val="left"/>
      </w:pPr>
      <w:r>
        <w:rPr>
          <w:rFonts w:ascii="Times New Roman" w:hAnsi="Times New Roman"/>
          <w:sz w:val="24"/>
        </w:rPr>
        <w:t>Development records are organized through a requirements traceability matrix. Each requirement is linked to its related feature, user role, application module, database component, test case, result, defect record, and revision decision.</w:t>
      </w:r>
    </w:p>
    <w:p>
      <w:pPr>
        <w:spacing w:line="480" w:lineRule="auto" w:before="0" w:after="0"/>
        <w:ind w:firstLine="720"/>
        <w:jc w:val="left"/>
      </w:pPr>
      <w:r>
        <w:rPr>
          <w:rFonts w:ascii="Times New Roman" w:hAnsi="Times New Roman"/>
          <w:sz w:val="24"/>
        </w:rPr>
        <w:t>Quantitative questionnaire and task data are summarized using frequency, percentage, and weighted mean. The weighted mean is computed as:</w:t>
      </w:r>
    </w:p>
    <w:p>
      <w:pPr>
        <w:spacing w:line="240" w:lineRule="auto" w:before="120" w:after="120"/>
        <w:ind w:firstLine="0"/>
        <w:jc w:val="center"/>
      </w:pPr>
      <w:r>
        <w:rPr>
          <w:rFonts w:ascii="Courier New" w:hAnsi="Courier New"/>
          <w:sz w:val="18"/>
        </w:rPr>
        <w:t>Weighted Mean = Sum of weighted responses / Total number of responses</w:t>
      </w:r>
    </w:p>
    <w:p>
      <w:pPr>
        <w:spacing w:line="480" w:lineRule="auto" w:before="0" w:after="0"/>
        <w:ind w:firstLine="720"/>
        <w:jc w:val="left"/>
      </w:pPr>
      <w:r>
        <w:rPr>
          <w:rFonts w:ascii="Times New Roman" w:hAnsi="Times New Roman"/>
          <w:sz w:val="24"/>
        </w:rPr>
        <w:t>The five-point response scale is interpreted as follows:</w:t>
      </w:r>
    </w:p>
    <w:p>
      <w:pPr>
        <w:keepNext/>
        <w:spacing w:before="120" w:after="0" w:line="480" w:lineRule="auto"/>
      </w:pPr>
      <w:r>
        <w:rPr>
          <w:rFonts w:ascii="Times New Roman" w:hAnsi="Times New Roman"/>
          <w:b/>
          <w:sz w:val="24"/>
        </w:rPr>
        <w:t>Table 2</w:t>
      </w:r>
    </w:p>
    <w:p>
      <w:pPr>
        <w:keepNext/>
        <w:spacing w:before="0" w:after="0" w:line="480" w:lineRule="auto"/>
      </w:pPr>
      <w:r>
        <w:rPr>
          <w:rFonts w:ascii="Times New Roman" w:hAnsi="Times New Roman"/>
          <w:i/>
          <w:sz w:val="24"/>
        </w:rPr>
        <w:t>Interpretation of Weighted Mean Scores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trPr>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Mean range</w:t>
            </w:r>
          </w:p>
        </w:tc>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Interpretation</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4.21-5.00</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Very high</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3.41-4.20</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High</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2.61-3.40</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Moderate</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1.81-2.60</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Low</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1.00-1.80</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Very low</w:t>
            </w:r>
          </w:p>
        </w:tc>
      </w:tr>
    </w:tbl>
    <w:p>
      <w:pPr>
        <w:spacing w:before="60" w:after="60" w:line="480" w:lineRule="auto"/>
        <w:ind w:firstLine="0"/>
      </w:pPr>
    </w:p>
    <w:p>
      <w:pPr>
        <w:spacing w:line="480" w:lineRule="auto" w:before="0" w:after="0"/>
        <w:ind w:firstLine="720"/>
        <w:jc w:val="left"/>
      </w:pPr>
      <w:r>
        <w:rPr>
          <w:rFonts w:ascii="Times New Roman" w:hAnsi="Times New Roman"/>
          <w:sz w:val="24"/>
        </w:rPr>
        <w:t>A mean score of 3.41 or higher indicates that an evaluated criterion is acceptable for the development build, provided that no critical defect remains unresolved. Task results will be classified as completed, completed with assistance, failed, or blocked. Technical test results will be classified as passed, failed, deferred, or not applicable.</w:t>
      </w:r>
    </w:p>
    <w:p>
      <w:pPr>
        <w:spacing w:line="480" w:lineRule="auto" w:before="0" w:after="0"/>
        <w:ind w:firstLine="720"/>
        <w:jc w:val="left"/>
      </w:pPr>
      <w:r>
        <w:rPr>
          <w:rFonts w:ascii="Times New Roman" w:hAnsi="Times New Roman"/>
          <w:sz w:val="24"/>
        </w:rPr>
        <w:t>Open-ended responses are grouped by recurring theme, such as navigation, clarity of instructions, data-entry difficulty, status visibility, performance, accessibility, or missing content. The research team compares the themes with the related workflow and defect records before deciding whether a revision is required.</w:t>
      </w:r>
    </w:p>
    <w:p>
      <w:pPr>
        <w:keepNext/>
        <w:spacing w:line="480" w:lineRule="auto" w:before="0" w:after="0"/>
        <w:ind w:firstLine="0"/>
        <w:jc w:val="left"/>
      </w:pPr>
      <w:r>
        <w:rPr>
          <w:rFonts w:ascii="Times New Roman" w:hAnsi="Times New Roman"/>
          <w:b/>
          <w:sz w:val="24"/>
        </w:rPr>
        <w:t>3.1.7 Research ethics, privacy, and data protection</w:t>
      </w:r>
    </w:p>
    <w:p>
      <w:pPr>
        <w:spacing w:line="480" w:lineRule="auto" w:before="0" w:after="0"/>
        <w:ind w:firstLine="720"/>
        <w:jc w:val="left"/>
      </w:pPr>
      <w:r>
        <w:rPr>
          <w:rFonts w:ascii="Times New Roman" w:hAnsi="Times New Roman"/>
          <w:sz w:val="24"/>
        </w:rPr>
        <w:t>Participation is voluntary. Before task-based evaluation or questionnaire administration, participants will receive a clear explanation of the study purpose, procedures, expected duration, possible inconvenience, privacy measures, and right to withdraw without penalty. Written or recorded informed consent will be obtained before data collection.</w:t>
      </w:r>
    </w:p>
    <w:p>
      <w:pPr>
        <w:spacing w:line="480" w:lineRule="auto" w:before="0" w:after="0"/>
        <w:ind w:firstLine="720"/>
        <w:jc w:val="left"/>
      </w:pPr>
      <w:r>
        <w:rPr>
          <w:rFonts w:ascii="Times New Roman" w:hAnsi="Times New Roman"/>
          <w:sz w:val="24"/>
        </w:rPr>
        <w:t>The study uses synthetic test accounts and test records whenever possible. It will not use live payment credentials, real payment settlement, production resident records, or unnecessary sensitive data. If a workflow requires identity, household, health, location, or photograph data for demonstration, the study will use authorized sample data and will limit access to the research team and authorized barangay personnel.</w:t>
      </w:r>
    </w:p>
    <w:p>
      <w:pPr>
        <w:spacing w:line="480" w:lineRule="auto" w:before="0" w:after="0"/>
        <w:ind w:firstLine="720"/>
        <w:jc w:val="left"/>
      </w:pPr>
      <w:r>
        <w:rPr>
          <w:rFonts w:ascii="Times New Roman" w:hAnsi="Times New Roman"/>
          <w:sz w:val="24"/>
        </w:rPr>
        <w:t>Participant responses will be coded rather than reported by name. Identifying information will be stored separately from questionnaire responses. Research records will be retained only for the approved academic purpose and disposed of in accordance with institutional requirements and barangay data-protection procedures. Technical privacy features, including authentication, role-based access control, Row-Level Security, and export and deletion functions, support privacy protection but do not by themselves establish compliance with Republic Act No. 10173.</w:t>
      </w:r>
    </w:p>
    <w:p>
      <w:pPr>
        <w:keepNext/>
        <w:spacing w:line="480" w:lineRule="auto" w:before="0" w:after="0"/>
        <w:ind w:firstLine="0"/>
        <w:jc w:val="center"/>
      </w:pPr>
      <w:r>
        <w:rPr>
          <w:rFonts w:ascii="Times New Roman" w:hAnsi="Times New Roman"/>
          <w:b/>
          <w:sz w:val="24"/>
        </w:rPr>
        <w:t>3.2 Project Design</w:t>
      </w:r>
    </w:p>
    <w:p>
      <w:pPr>
        <w:keepNext/>
        <w:spacing w:line="480" w:lineRule="auto" w:before="0" w:after="0"/>
        <w:ind w:firstLine="0"/>
        <w:jc w:val="left"/>
      </w:pPr>
      <w:r>
        <w:rPr>
          <w:rFonts w:ascii="Times New Roman" w:hAnsi="Times New Roman"/>
          <w:b/>
          <w:sz w:val="24"/>
        </w:rPr>
        <w:t>3.2.1 Design concept and system boundary</w:t>
      </w:r>
    </w:p>
    <w:p>
      <w:pPr>
        <w:spacing w:line="480" w:lineRule="auto" w:before="0" w:after="0"/>
        <w:ind w:firstLine="720"/>
        <w:jc w:val="left"/>
      </w:pPr>
      <w:r>
        <w:rPr>
          <w:rFonts w:ascii="Times New Roman" w:hAnsi="Times New Roman"/>
          <w:sz w:val="24"/>
        </w:rPr>
        <w:t>Barangayan is a configurable, barangay-scoped system that supports resident services and barangay administrative workflows. The project consists of a resident mobile application and a web portal for administrative and resident access, both connected to a shared Supabase backend.</w:t>
      </w:r>
    </w:p>
    <w:p>
      <w:pPr>
        <w:spacing w:line="240" w:lineRule="auto" w:before="120" w:after="120"/>
        <w:ind w:firstLine="0"/>
        <w:jc w:val="center"/>
      </w:pPr>
      <w:r>
        <w:rPr>
          <w:rFonts w:ascii="Courier New" w:hAnsi="Courier New"/>
          <w:sz w:val="18"/>
        </w:rPr>
        <w:t>Resident Mobile Application        Web Application</w:t>
        <w:br/>
        <w:t xml:space="preserve">          \                              /</w:t>
        <w:br/>
        <w:t xml:space="preserve">           \                            /</w:t>
        <w:br/>
        <w:t xml:space="preserve">            Shared schemas and application services</w:t>
        <w:br/>
        <w:t xml:space="preserve">                              |</w:t>
        <w:br/>
        <w:t xml:space="preserve">                 Supabase authentication and sessions</w:t>
        <w:br/>
        <w:t xml:space="preserve">                              |</w:t>
        <w:br/>
        <w:t xml:space="preserve">       PostgreSQL, Row-Level Security, storage, realtime</w:t>
        <w:br/>
        <w:t xml:space="preserve">                              |</w:t>
        <w:br/>
        <w:t xml:space="preserve">                 Server-side Edge Functions</w:t>
        <w:br/>
        <w:t xml:space="preserve">                              |</w:t>
        <w:br/>
        <w:t xml:space="preserve">          PayMongo and QR Ph; maps; notifications; messaging</w:t>
      </w:r>
    </w:p>
    <w:p>
      <w:pPr>
        <w:spacing w:line="480" w:lineRule="auto" w:before="0" w:after="0"/>
        <w:ind w:firstLine="720"/>
        <w:jc w:val="left"/>
      </w:pPr>
      <w:r>
        <w:rPr>
          <w:rFonts w:ascii="Times New Roman" w:hAnsi="Times New Roman"/>
          <w:sz w:val="24"/>
        </w:rPr>
        <w:t>The project boundary includes application functions, database design, access control, file storage, realtime updates, and specified provider integrations. It excludes custom route-optimization development, a custom SMS infrastructure, live payment settlement, and other production services that require separate provider accounts, contracts, or operational approval.</w:t>
      </w:r>
    </w:p>
    <w:p>
      <w:pPr>
        <w:spacing w:line="480" w:lineRule="auto" w:before="0" w:after="0"/>
        <w:ind w:firstLine="720"/>
        <w:jc w:val="left"/>
      </w:pPr>
      <w:r>
        <w:rPr>
          <w:rFonts w:ascii="Times New Roman" w:hAnsi="Times New Roman"/>
          <w:sz w:val="24"/>
        </w:rPr>
        <w:t>Evacuation-center directions are provided through handoff to the resident's default mapping application. This keeps the feature practical and consistent with the project delimitations in Chapter 1. Payment functions operate within a sandbox or test boundary until PayMongo account verification, settlement procedures, and production approval are completed.</w:t>
      </w:r>
    </w:p>
    <w:p>
      <w:pPr>
        <w:keepNext/>
        <w:spacing w:line="480" w:lineRule="auto" w:before="0" w:after="0"/>
        <w:ind w:firstLine="0"/>
        <w:jc w:val="left"/>
      </w:pPr>
      <w:r>
        <w:rPr>
          <w:rFonts w:ascii="Times New Roman" w:hAnsi="Times New Roman"/>
          <w:b/>
          <w:sz w:val="24"/>
        </w:rPr>
        <w:t>3.2.2 Architectural design</w:t>
      </w:r>
    </w:p>
    <w:p>
      <w:pPr>
        <w:spacing w:line="480" w:lineRule="auto" w:before="0" w:after="0"/>
        <w:ind w:firstLine="720"/>
        <w:jc w:val="left"/>
      </w:pPr>
      <w:r>
        <w:rPr>
          <w:rFonts w:ascii="Times New Roman" w:hAnsi="Times New Roman"/>
          <w:sz w:val="24"/>
        </w:rPr>
        <w:t>The system follows the three-tier architecture established in Chapter 2.</w:t>
      </w:r>
    </w:p>
    <w:p>
      <w:pPr>
        <w:spacing w:line="480" w:lineRule="auto" w:before="0" w:after="0"/>
        <w:ind w:left="720" w:hanging="360"/>
      </w:pPr>
      <w:r>
        <w:rPr>
          <w:rFonts w:ascii="Times New Roman" w:hAnsi="Times New Roman"/>
          <w:sz w:val="24"/>
        </w:rPr>
        <w:t xml:space="preserve">1. </w:t>
      </w:r>
      <w:r>
        <w:rPr>
          <w:rFonts w:ascii="Times New Roman" w:hAnsi="Times New Roman"/>
          <w:b/>
          <w:sz w:val="24"/>
        </w:rPr>
        <w:t>Presentation tier.</w:t>
      </w:r>
      <w:r>
        <w:rPr>
          <w:rFonts w:ascii="Times New Roman" w:hAnsi="Times New Roman"/>
          <w:sz w:val="24"/>
        </w:rPr>
        <w:t xml:space="preserve"> The resident mobile application and web application provide registration, forms, service requests, incident reporting, maps, emergency information, dashboards, content-management pages, notifications, and status displays.</w:t>
      </w:r>
    </w:p>
    <w:p>
      <w:pPr>
        <w:spacing w:line="480" w:lineRule="auto" w:before="0" w:after="0"/>
        <w:ind w:left="720" w:hanging="360"/>
      </w:pPr>
      <w:r>
        <w:rPr>
          <w:rFonts w:ascii="Times New Roman" w:hAnsi="Times New Roman"/>
          <w:sz w:val="24"/>
        </w:rPr>
        <w:t xml:space="preserve">2. </w:t>
      </w:r>
      <w:r>
        <w:rPr>
          <w:rFonts w:ascii="Times New Roman" w:hAnsi="Times New Roman"/>
          <w:b/>
          <w:sz w:val="24"/>
        </w:rPr>
        <w:t>Application-logic tier.</w:t>
      </w:r>
      <w:r>
        <w:rPr>
          <w:rFonts w:ascii="Times New Roman" w:hAnsi="Times New Roman"/>
          <w:sz w:val="24"/>
        </w:rPr>
        <w:t xml:space="preserve"> Shared schemas, validation rules, mobile hooks, web server actions, route handlers, database functions, triggers, and Edge Functions process requests, apply workflow rules, and coordinate provider boundaries.</w:t>
      </w:r>
    </w:p>
    <w:p>
      <w:pPr>
        <w:spacing w:line="480" w:lineRule="auto" w:before="0" w:after="0"/>
        <w:ind w:left="720" w:hanging="360"/>
      </w:pPr>
      <w:r>
        <w:rPr>
          <w:rFonts w:ascii="Times New Roman" w:hAnsi="Times New Roman"/>
          <w:sz w:val="24"/>
        </w:rPr>
        <w:t xml:space="preserve">3. </w:t>
      </w:r>
      <w:r>
        <w:rPr>
          <w:rFonts w:ascii="Times New Roman" w:hAnsi="Times New Roman"/>
          <w:b/>
          <w:sz w:val="24"/>
        </w:rPr>
        <w:t>Data tier.</w:t>
      </w:r>
      <w:r>
        <w:rPr>
          <w:rFonts w:ascii="Times New Roman" w:hAnsi="Times New Roman"/>
          <w:sz w:val="24"/>
        </w:rPr>
        <w:t xml:space="preserve"> Supabase Auth, PostgreSQL tables, Row-Level Security policies, storage buckets, Realtime, migrations, and seed data store records and enforce role- and barangay-scoped access.</w:t>
      </w:r>
    </w:p>
    <w:p>
      <w:pPr>
        <w:spacing w:line="480" w:lineRule="auto" w:before="0" w:after="0"/>
        <w:ind w:firstLine="720"/>
        <w:jc w:val="left"/>
      </w:pPr>
      <w:r>
        <w:rPr>
          <w:rFonts w:ascii="Times New Roman" w:hAnsi="Times New Roman"/>
          <w:sz w:val="24"/>
        </w:rPr>
        <w:t>The system applies a barangay identifier to the relevant data relationships. This design permits configuration for more than one barangay while keeping each barangay's data separate through role checks and database policies.</w:t>
      </w:r>
    </w:p>
    <w:p>
      <w:pPr>
        <w:keepNext/>
        <w:spacing w:line="480" w:lineRule="auto" w:before="0" w:after="0"/>
        <w:ind w:firstLine="0"/>
        <w:jc w:val="left"/>
      </w:pPr>
      <w:r>
        <w:rPr>
          <w:rFonts w:ascii="Times New Roman" w:hAnsi="Times New Roman"/>
          <w:b/>
          <w:sz w:val="24"/>
        </w:rPr>
        <w:t>3.2.3 Functional scope</w:t>
      </w:r>
    </w:p>
    <w:p>
      <w:pPr>
        <w:spacing w:line="480" w:lineRule="auto" w:before="0" w:after="0"/>
        <w:ind w:firstLine="720"/>
        <w:jc w:val="left"/>
      </w:pPr>
      <w:r>
        <w:rPr>
          <w:rFonts w:ascii="Times New Roman" w:hAnsi="Times New Roman"/>
          <w:sz w:val="24"/>
        </w:rPr>
        <w:t>The project scope consists of the following functional components:</w:t>
      </w:r>
    </w:p>
    <w:p>
      <w:pPr>
        <w:keepNext/>
        <w:spacing w:before="120" w:after="0" w:line="480" w:lineRule="auto"/>
      </w:pPr>
      <w:r>
        <w:rPr>
          <w:rFonts w:ascii="Times New Roman" w:hAnsi="Times New Roman"/>
          <w:b/>
          <w:sz w:val="24"/>
        </w:rPr>
        <w:t>Table 3</w:t>
      </w:r>
    </w:p>
    <w:p>
      <w:pPr>
        <w:keepNext/>
        <w:spacing w:before="0" w:after="0" w:line="480" w:lineRule="auto"/>
      </w:pPr>
      <w:r>
        <w:rPr>
          <w:rFonts w:ascii="Times New Roman" w:hAnsi="Times New Roman"/>
          <w:i/>
          <w:sz w:val="24"/>
        </w:rPr>
        <w:t>Functional Scope of Barangayan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Component</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Main function</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Expected user outcome</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Digital service and document requests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Configurable document types, requirements, fees, request forms, and status information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 submit and monitor requests; staff process them</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Service tracking</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Shared statuses, history, processing targets, and selected realtime updates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 and staff see the current request state</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Incident reporting and mapping</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Category, description, location, optional photographs, and administrative map review</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 report community concerns; staff review and update them</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Emergency and DRRM information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Announcements, preparedness content, contacts, evacuation centers, and QR check-in support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 access current emergency information</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Digital payment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PayMongo and QR Ph sandbox payment boundary</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 select or initiate an approved payment option</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Administrative management and analytics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Requests, residents, incidents, content, staff, settings, and summaries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Administrators manage barangay workflows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Account, security, and privacy operations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Authentication, role checks, access control, export, and deletion functions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Users access only authorized data and services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Help and support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Frequently asked questions and barangay contact details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 obtain basic guidance and support information</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Waste prioritization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Area grouping and rule-based score for waste-related reports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Staff identify areas that may need attention</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Medical and vaccination drives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Drive configuration, registration, priority rules, and administrative monitoring</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 register for available health activities</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project does not describe the listed components as fully operational until the related functional, technical, and user-evaluation evidence is recorded.</w:t>
      </w:r>
    </w:p>
    <w:p>
      <w:pPr>
        <w:keepNext/>
        <w:spacing w:line="480" w:lineRule="auto" w:before="0" w:after="0"/>
        <w:ind w:firstLine="0"/>
        <w:jc w:val="left"/>
      </w:pPr>
      <w:r>
        <w:rPr>
          <w:rFonts w:ascii="Times New Roman" w:hAnsi="Times New Roman"/>
          <w:b/>
          <w:sz w:val="24"/>
        </w:rPr>
        <w:t>3.2.4 User roles and responsibilities</w:t>
      </w:r>
    </w:p>
    <w:p>
      <w:pPr>
        <w:keepNext/>
        <w:spacing w:before="120" w:after="0" w:line="480" w:lineRule="auto"/>
      </w:pPr>
      <w:r>
        <w:rPr>
          <w:rFonts w:ascii="Times New Roman" w:hAnsi="Times New Roman"/>
          <w:b/>
          <w:sz w:val="24"/>
        </w:rPr>
        <w:t>Table 4</w:t>
      </w:r>
    </w:p>
    <w:p>
      <w:pPr>
        <w:keepNext/>
        <w:spacing w:before="0" w:after="0" w:line="480" w:lineRule="auto"/>
      </w:pPr>
      <w:r>
        <w:rPr>
          <w:rFonts w:ascii="Times New Roman" w:hAnsi="Times New Roman"/>
          <w:i/>
          <w:sz w:val="24"/>
        </w:rPr>
        <w:t>User Roles and Evaluation Focus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Role</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Responsibilities in the system</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Evaluation focus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Manage account and profile; submit requests and incidents; view status and emergency information; register for health activities; use privacy functions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Clarity, task completion, navigation, and response visibility</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Elected barangay official</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Supervise service, emergency, incident, and administrative decisions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Workflow completeness, oversight, and information usefulness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Administrative or auxiliary support staff</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Process requests, update records, manage content, review incidents, configure services, and support residents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Efficiency, accuracy, role access, and administrative usability</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Research team</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 test, document, evaluate, and revise the system</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Traceability, test evidence, defect correction, and research integrity</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External provider</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Supply payment, routing, mapping, notification, or messaging services when configured</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Integration response, error handling, and dependency limits</w:t>
            </w:r>
          </w:p>
        </w:tc>
      </w:tr>
    </w:tbl>
    <w:p>
      <w:pPr>
        <w:spacing w:before="60" w:after="60" w:line="480" w:lineRule="auto"/>
        <w:ind w:firstLine="0"/>
      </w:pPr>
    </w:p>
    <w:p>
      <w:pPr>
        <w:keepNext/>
        <w:spacing w:line="480" w:lineRule="auto" w:before="0" w:after="0"/>
        <w:ind w:firstLine="0"/>
        <w:jc w:val="left"/>
      </w:pPr>
      <w:r>
        <w:rPr>
          <w:rFonts w:ascii="Times New Roman" w:hAnsi="Times New Roman"/>
          <w:b/>
          <w:sz w:val="24"/>
        </w:rPr>
        <w:t>3.2.5 Expected project outputs</w:t>
      </w:r>
    </w:p>
    <w:p>
      <w:pPr>
        <w:spacing w:line="480" w:lineRule="auto" w:before="0" w:after="0"/>
        <w:ind w:firstLine="720"/>
        <w:jc w:val="left"/>
      </w:pPr>
      <w:r>
        <w:rPr>
          <w:rFonts w:ascii="Times New Roman" w:hAnsi="Times New Roman"/>
          <w:sz w:val="24"/>
        </w:rPr>
        <w:t>The study is expected to produce:</w:t>
      </w:r>
    </w:p>
    <w:p>
      <w:pPr>
        <w:spacing w:line="480" w:lineRule="auto" w:before="0" w:after="0"/>
        <w:ind w:left="720" w:hanging="360"/>
      </w:pPr>
      <w:r>
        <w:rPr>
          <w:rFonts w:ascii="Times New Roman" w:hAnsi="Times New Roman"/>
          <w:sz w:val="24"/>
        </w:rPr>
        <w:t xml:space="preserve">- </w:t>
      </w:r>
      <w:r>
        <w:rPr>
          <w:rFonts w:ascii="Times New Roman" w:hAnsi="Times New Roman"/>
          <w:sz w:val="24"/>
        </w:rPr>
        <w:t>a documented Barangayan development build for the agreed project scope;</w:t>
      </w:r>
    </w:p>
    <w:p>
      <w:pPr>
        <w:spacing w:line="480" w:lineRule="auto" w:before="0" w:after="0"/>
        <w:ind w:left="720" w:hanging="360"/>
      </w:pPr>
      <w:r>
        <w:rPr>
          <w:rFonts w:ascii="Times New Roman" w:hAnsi="Times New Roman"/>
          <w:sz w:val="24"/>
        </w:rPr>
        <w:t xml:space="preserve">- </w:t>
      </w:r>
      <w:r>
        <w:rPr>
          <w:rFonts w:ascii="Times New Roman" w:hAnsi="Times New Roman"/>
          <w:sz w:val="24"/>
        </w:rPr>
        <w:t>mobile and web interfaces for resident and administrative workflows;</w:t>
      </w:r>
    </w:p>
    <w:p>
      <w:pPr>
        <w:spacing w:line="480" w:lineRule="auto" w:before="0" w:after="0"/>
        <w:ind w:left="720" w:hanging="360"/>
      </w:pPr>
      <w:r>
        <w:rPr>
          <w:rFonts w:ascii="Times New Roman" w:hAnsi="Times New Roman"/>
          <w:sz w:val="24"/>
        </w:rPr>
        <w:t xml:space="preserve">- </w:t>
      </w:r>
      <w:r>
        <w:rPr>
          <w:rFonts w:ascii="Times New Roman" w:hAnsi="Times New Roman"/>
          <w:sz w:val="24"/>
        </w:rPr>
        <w:t>barangay-scoped database records, role-based access rules, and technical privacy functions;</w:t>
      </w:r>
    </w:p>
    <w:p>
      <w:pPr>
        <w:spacing w:line="480" w:lineRule="auto" w:before="0" w:after="0"/>
        <w:ind w:left="720" w:hanging="360"/>
      </w:pPr>
      <w:r>
        <w:rPr>
          <w:rFonts w:ascii="Times New Roman" w:hAnsi="Times New Roman"/>
          <w:sz w:val="24"/>
        </w:rPr>
        <w:t xml:space="preserve">- </w:t>
      </w:r>
      <w:r>
        <w:rPr>
          <w:rFonts w:ascii="Times New Roman" w:hAnsi="Times New Roman"/>
          <w:sz w:val="24"/>
        </w:rPr>
        <w:t>technical test cases, test records, defect logs, and revision records;</w:t>
      </w:r>
    </w:p>
    <w:p>
      <w:pPr>
        <w:spacing w:line="480" w:lineRule="auto" w:before="0" w:after="0"/>
        <w:ind w:left="720" w:hanging="360"/>
      </w:pPr>
      <w:r>
        <w:rPr>
          <w:rFonts w:ascii="Times New Roman" w:hAnsi="Times New Roman"/>
          <w:sz w:val="24"/>
        </w:rPr>
        <w:t xml:space="preserve">- </w:t>
      </w:r>
      <w:r>
        <w:rPr>
          <w:rFonts w:ascii="Times New Roman" w:hAnsi="Times New Roman"/>
          <w:sz w:val="24"/>
        </w:rPr>
        <w:t>user-evaluation questionnaires, task records, and summarized results;</w:t>
      </w:r>
    </w:p>
    <w:p>
      <w:pPr>
        <w:spacing w:line="480" w:lineRule="auto" w:before="0" w:after="0"/>
        <w:ind w:left="720" w:hanging="360"/>
      </w:pPr>
      <w:r>
        <w:rPr>
          <w:rFonts w:ascii="Times New Roman" w:hAnsi="Times New Roman"/>
          <w:sz w:val="24"/>
        </w:rPr>
        <w:t xml:space="preserve">- </w:t>
      </w:r>
      <w:r>
        <w:rPr>
          <w:rFonts w:ascii="Times New Roman" w:hAnsi="Times New Roman"/>
          <w:sz w:val="24"/>
        </w:rPr>
        <w:t>project documentation for setup, configuration, testing, limitations, and controlled handoff; and</w:t>
      </w:r>
    </w:p>
    <w:p>
      <w:pPr>
        <w:spacing w:line="480" w:lineRule="auto" w:before="0" w:after="0"/>
        <w:ind w:left="720" w:hanging="360"/>
      </w:pPr>
      <w:r>
        <w:rPr>
          <w:rFonts w:ascii="Times New Roman" w:hAnsi="Times New Roman"/>
          <w:sz w:val="24"/>
        </w:rPr>
        <w:t xml:space="preserve">- </w:t>
      </w:r>
      <w:r>
        <w:rPr>
          <w:rFonts w:ascii="Times New Roman" w:hAnsi="Times New Roman"/>
          <w:sz w:val="24"/>
        </w:rPr>
        <w:t>a recommendation on whether the evaluated development build is suitable for the next controlled project stage.</w:t>
      </w:r>
    </w:p>
    <w:p>
      <w:pPr>
        <w:keepNext/>
        <w:spacing w:line="480" w:lineRule="auto" w:before="0" w:after="0"/>
        <w:ind w:firstLine="0"/>
        <w:jc w:val="center"/>
      </w:pPr>
      <w:r>
        <w:rPr>
          <w:rFonts w:ascii="Times New Roman" w:hAnsi="Times New Roman"/>
          <w:b/>
          <w:sz w:val="24"/>
        </w:rPr>
        <w:t>3.3 Project Development</w:t>
      </w:r>
    </w:p>
    <w:p>
      <w:pPr>
        <w:keepNext/>
        <w:spacing w:line="480" w:lineRule="auto" w:before="0" w:after="0"/>
        <w:ind w:firstLine="0"/>
        <w:jc w:val="left"/>
      </w:pPr>
      <w:r>
        <w:rPr>
          <w:rFonts w:ascii="Times New Roman" w:hAnsi="Times New Roman"/>
          <w:b/>
          <w:sz w:val="24"/>
        </w:rPr>
        <w:t>3.3.1 Development approach</w:t>
      </w:r>
    </w:p>
    <w:p>
      <w:pPr>
        <w:spacing w:line="480" w:lineRule="auto" w:before="0" w:after="0"/>
        <w:ind w:firstLine="720"/>
        <w:jc w:val="left"/>
      </w:pPr>
      <w:r>
        <w:rPr>
          <w:rFonts w:ascii="Times New Roman" w:hAnsi="Times New Roman"/>
          <w:sz w:val="24"/>
        </w:rPr>
        <w:t>The project uses a phase-based development approach. The phases follow a practical sequence: requirements guide design, design guides implementation, and test results guide revision. The approach does not claim that the team followed a specific commercial life-cycle model.</w:t>
      </w:r>
    </w:p>
    <w:p>
      <w:pPr>
        <w:keepNext/>
        <w:spacing w:before="120" w:after="0" w:line="480" w:lineRule="auto"/>
      </w:pPr>
      <w:r>
        <w:rPr>
          <w:rFonts w:ascii="Times New Roman" w:hAnsi="Times New Roman"/>
          <w:b/>
          <w:sz w:val="24"/>
        </w:rPr>
        <w:t>Table 5</w:t>
      </w:r>
    </w:p>
    <w:p>
      <w:pPr>
        <w:keepNext/>
        <w:spacing w:before="0" w:after="0" w:line="480" w:lineRule="auto"/>
      </w:pPr>
      <w:r>
        <w:rPr>
          <w:rFonts w:ascii="Times New Roman" w:hAnsi="Times New Roman"/>
          <w:i/>
          <w:sz w:val="24"/>
        </w:rPr>
        <w:t>Project Development Phases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Phase</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Main activities</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Output</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Requirements analysis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Review Chapters 1 and 2, approved scope, target users, workflows, and operational limits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Requirements and scope matrix</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System and data design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Define the three-tier architecture, user roles, database entities, access rules, and workflows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Architecture, data-flow, and access-control documents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Application development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 mobile and web interfaces, shared validation, database changes, and server-side functions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Development build and supporting modules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Integration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Connect interfaces to authentication, database, storage, Realtime, payment sandbox, maps, and other approved providers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Integrated development environment</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Technical testing</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Run functional, integration, access-control, error-handling, and compatibility tests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records and defect log</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User evaluation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Conduct role-based tasks and administer the evaluation questionnaire</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Task records and evaluation data</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Revision and documentation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Correct approved defects, repeat affected tests, and update documentation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Revised build and final project documentation</w:t>
            </w:r>
          </w:p>
        </w:tc>
      </w:tr>
    </w:tbl>
    <w:p>
      <w:pPr>
        <w:spacing w:before="60" w:after="60" w:line="480" w:lineRule="auto"/>
        <w:ind w:firstLine="0"/>
      </w:pPr>
    </w:p>
    <w:p>
      <w:pPr>
        <w:keepNext/>
        <w:spacing w:line="480" w:lineRule="auto" w:before="0" w:after="0"/>
        <w:ind w:firstLine="0"/>
        <w:jc w:val="left"/>
      </w:pPr>
      <w:r>
        <w:rPr>
          <w:rFonts w:ascii="Times New Roman" w:hAnsi="Times New Roman"/>
          <w:b/>
          <w:sz w:val="24"/>
        </w:rPr>
        <w:t>3.3.2 Requirements analysis and planning</w:t>
      </w:r>
    </w:p>
    <w:p>
      <w:pPr>
        <w:spacing w:line="480" w:lineRule="auto" w:before="0" w:after="0"/>
        <w:ind w:firstLine="720"/>
        <w:jc w:val="left"/>
      </w:pPr>
      <w:r>
        <w:rPr>
          <w:rFonts w:ascii="Times New Roman" w:hAnsi="Times New Roman"/>
          <w:sz w:val="24"/>
        </w:rPr>
        <w:t>Requirements are organized by user role, workflow, data object, access requirement, interface, and test case. The requirements matrix identifies each feature's purpose, expected result, related user group, and the evidence needed to confirm that it functions as intended.</w:t>
      </w:r>
    </w:p>
    <w:p>
      <w:pPr>
        <w:spacing w:line="480" w:lineRule="auto" w:before="0" w:after="0"/>
        <w:ind w:firstLine="720"/>
        <w:jc w:val="left"/>
      </w:pPr>
      <w:r>
        <w:rPr>
          <w:rFonts w:ascii="Times New Roman" w:hAnsi="Times New Roman"/>
          <w:sz w:val="24"/>
        </w:rPr>
        <w:t>The following project limits remain visible during planning:</w:t>
      </w:r>
    </w:p>
    <w:p>
      <w:pPr>
        <w:spacing w:line="480" w:lineRule="auto" w:before="0" w:after="0"/>
        <w:ind w:left="720" w:hanging="360"/>
      </w:pPr>
      <w:r>
        <w:rPr>
          <w:rFonts w:ascii="Times New Roman" w:hAnsi="Times New Roman"/>
          <w:sz w:val="24"/>
        </w:rPr>
        <w:t xml:space="preserve">- </w:t>
      </w:r>
      <w:r>
        <w:rPr>
          <w:rFonts w:ascii="Times New Roman" w:hAnsi="Times New Roman"/>
          <w:sz w:val="24"/>
        </w:rPr>
        <w:t>payment processing remains in sandbox or test mode until formal provider and settlement requirements are completed;</w:t>
      </w:r>
    </w:p>
    <w:p>
      <w:pPr>
        <w:spacing w:line="480" w:lineRule="auto" w:before="0" w:after="0"/>
        <w:ind w:left="720" w:hanging="360"/>
      </w:pPr>
      <w:r>
        <w:rPr>
          <w:rFonts w:ascii="Times New Roman" w:hAnsi="Times New Roman"/>
          <w:sz w:val="24"/>
        </w:rPr>
        <w:t xml:space="preserve">- </w:t>
      </w:r>
      <w:r>
        <w:rPr>
          <w:rFonts w:ascii="Times New Roman" w:hAnsi="Times New Roman"/>
          <w:sz w:val="24"/>
        </w:rPr>
        <w:t>emergency content, hotline information, and evacuation-center data must be reviewed and owned by authorized barangay personnel;</w:t>
      </w:r>
    </w:p>
    <w:p>
      <w:pPr>
        <w:spacing w:line="480" w:lineRule="auto" w:before="0" w:after="0"/>
        <w:ind w:left="720" w:hanging="360"/>
      </w:pPr>
      <w:r>
        <w:rPr>
          <w:rFonts w:ascii="Times New Roman" w:hAnsi="Times New Roman"/>
          <w:sz w:val="24"/>
        </w:rPr>
        <w:t xml:space="preserve">- </w:t>
      </w:r>
      <w:r>
        <w:rPr>
          <w:rFonts w:ascii="Times New Roman" w:hAnsi="Times New Roman"/>
          <w:sz w:val="24"/>
        </w:rPr>
        <w:t>map, notification, messaging, and routing functions depend on external services and network availability;</w:t>
      </w:r>
    </w:p>
    <w:p>
      <w:pPr>
        <w:spacing w:line="480" w:lineRule="auto" w:before="0" w:after="0"/>
        <w:ind w:left="720" w:hanging="360"/>
      </w:pPr>
      <w:r>
        <w:rPr>
          <w:rFonts w:ascii="Times New Roman" w:hAnsi="Times New Roman"/>
          <w:sz w:val="24"/>
        </w:rPr>
        <w:t xml:space="preserve">- </w:t>
      </w:r>
      <w:r>
        <w:rPr>
          <w:rFonts w:ascii="Times New Roman" w:hAnsi="Times New Roman"/>
          <w:sz w:val="24"/>
        </w:rPr>
        <w:t>location verification is a preliminary check and does not replace barangay verification of residency;</w:t>
      </w:r>
    </w:p>
    <w:p>
      <w:pPr>
        <w:spacing w:line="480" w:lineRule="auto" w:before="0" w:after="0"/>
        <w:ind w:left="720" w:hanging="360"/>
      </w:pPr>
      <w:r>
        <w:rPr>
          <w:rFonts w:ascii="Times New Roman" w:hAnsi="Times New Roman"/>
          <w:sz w:val="24"/>
        </w:rPr>
        <w:t xml:space="preserve">- </w:t>
      </w:r>
      <w:r>
        <w:rPr>
          <w:rFonts w:ascii="Times New Roman" w:hAnsi="Times New Roman"/>
          <w:sz w:val="24"/>
        </w:rPr>
        <w:t>waste-priority scores and health-drive rules support decisions but do not replace authorized barangay or health personnel decisions; and</w:t>
      </w:r>
    </w:p>
    <w:p>
      <w:pPr>
        <w:spacing w:line="480" w:lineRule="auto" w:before="0" w:after="0"/>
        <w:ind w:left="720" w:hanging="360"/>
      </w:pPr>
      <w:r>
        <w:rPr>
          <w:rFonts w:ascii="Times New Roman" w:hAnsi="Times New Roman"/>
          <w:sz w:val="24"/>
        </w:rPr>
        <w:t xml:space="preserve">- </w:t>
      </w:r>
      <w:r>
        <w:rPr>
          <w:rFonts w:ascii="Times New Roman" w:hAnsi="Times New Roman"/>
          <w:sz w:val="24"/>
        </w:rPr>
        <w:t>privacy functions require supporting notices, retention procedures, access controls, and organizational accountability.</w:t>
      </w:r>
    </w:p>
    <w:p>
      <w:pPr>
        <w:keepNext/>
        <w:spacing w:line="480" w:lineRule="auto" w:before="0" w:after="0"/>
        <w:ind w:firstLine="0"/>
        <w:jc w:val="left"/>
      </w:pPr>
      <w:r>
        <w:rPr>
          <w:rFonts w:ascii="Times New Roman" w:hAnsi="Times New Roman"/>
          <w:b/>
          <w:sz w:val="24"/>
        </w:rPr>
        <w:t>3.3.3 Implementation and integration</w:t>
      </w:r>
    </w:p>
    <w:p>
      <w:pPr>
        <w:spacing w:line="480" w:lineRule="auto" w:before="0" w:after="0"/>
        <w:ind w:firstLine="720"/>
        <w:jc w:val="left"/>
      </w:pPr>
      <w:r>
        <w:rPr>
          <w:rFonts w:ascii="Times New Roman" w:hAnsi="Times New Roman"/>
          <w:sz w:val="24"/>
        </w:rPr>
        <w:t>The project uses the existing development environment:</w:t>
      </w:r>
    </w:p>
    <w:p>
      <w:pPr>
        <w:spacing w:line="480" w:lineRule="auto" w:before="0" w:after="0"/>
        <w:ind w:left="720" w:hanging="360"/>
      </w:pPr>
      <w:r>
        <w:rPr>
          <w:rFonts w:ascii="Times New Roman" w:hAnsi="Times New Roman"/>
          <w:sz w:val="24"/>
        </w:rPr>
        <w:t xml:space="preserve">- </w:t>
      </w:r>
      <w:r>
        <w:rPr>
          <w:rFonts w:ascii="Times New Roman" w:hAnsi="Times New Roman"/>
          <w:sz w:val="24"/>
        </w:rPr>
        <w:t>React Native and Expo for the resident mobile application;</w:t>
      </w:r>
    </w:p>
    <w:p>
      <w:pPr>
        <w:spacing w:line="480" w:lineRule="auto" w:before="0" w:after="0"/>
        <w:ind w:left="720" w:hanging="360"/>
      </w:pPr>
      <w:r>
        <w:rPr>
          <w:rFonts w:ascii="Times New Roman" w:hAnsi="Times New Roman"/>
          <w:sz w:val="24"/>
        </w:rPr>
        <w:t xml:space="preserve">- </w:t>
      </w:r>
      <w:r>
        <w:rPr>
          <w:rFonts w:ascii="Times New Roman" w:hAnsi="Times New Roman"/>
          <w:sz w:val="24"/>
        </w:rPr>
        <w:t>Next.js for the web application;</w:t>
      </w:r>
    </w:p>
    <w:p>
      <w:pPr>
        <w:spacing w:line="480" w:lineRule="auto" w:before="0" w:after="0"/>
        <w:ind w:left="720" w:hanging="360"/>
      </w:pPr>
      <w:r>
        <w:rPr>
          <w:rFonts w:ascii="Times New Roman" w:hAnsi="Times New Roman"/>
          <w:sz w:val="24"/>
        </w:rPr>
        <w:t xml:space="preserve">- </w:t>
      </w:r>
      <w:r>
        <w:rPr>
          <w:rFonts w:ascii="Times New Roman" w:hAnsi="Times New Roman"/>
          <w:sz w:val="24"/>
        </w:rPr>
        <w:t>TypeScript and shared schemas for consistent data validation;</w:t>
      </w:r>
    </w:p>
    <w:p>
      <w:pPr>
        <w:spacing w:line="480" w:lineRule="auto" w:before="0" w:after="0"/>
        <w:ind w:left="720" w:hanging="360"/>
      </w:pPr>
      <w:r>
        <w:rPr>
          <w:rFonts w:ascii="Times New Roman" w:hAnsi="Times New Roman"/>
          <w:sz w:val="24"/>
        </w:rPr>
        <w:t xml:space="preserve">- </w:t>
      </w:r>
      <w:r>
        <w:rPr>
          <w:rFonts w:ascii="Times New Roman" w:hAnsi="Times New Roman"/>
          <w:sz w:val="24"/>
        </w:rPr>
        <w:t>Supabase for authentication, PostgreSQL data storage, Row-Level Security, storage, Realtime, database functions, and migrations;</w:t>
      </w:r>
    </w:p>
    <w:p>
      <w:pPr>
        <w:spacing w:line="480" w:lineRule="auto" w:before="0" w:after="0"/>
        <w:ind w:left="720" w:hanging="360"/>
      </w:pPr>
      <w:r>
        <w:rPr>
          <w:rFonts w:ascii="Times New Roman" w:hAnsi="Times New Roman"/>
          <w:sz w:val="24"/>
        </w:rPr>
        <w:t xml:space="preserve">- </w:t>
      </w:r>
      <w:r>
        <w:rPr>
          <w:rFonts w:ascii="Times New Roman" w:hAnsi="Times New Roman"/>
          <w:sz w:val="24"/>
        </w:rPr>
        <w:t>Deno-based Edge Functions for sensitive server-side operations; and</w:t>
      </w:r>
    </w:p>
    <w:p>
      <w:pPr>
        <w:spacing w:line="480" w:lineRule="auto" w:before="0" w:after="0"/>
        <w:ind w:left="720" w:hanging="360"/>
      </w:pPr>
      <w:r>
        <w:rPr>
          <w:rFonts w:ascii="Times New Roman" w:hAnsi="Times New Roman"/>
          <w:sz w:val="24"/>
        </w:rPr>
        <w:t xml:space="preserve">- </w:t>
      </w:r>
      <w:r>
        <w:rPr>
          <w:rFonts w:ascii="Times New Roman" w:hAnsi="Times New Roman"/>
          <w:sz w:val="24"/>
        </w:rPr>
        <w:t>PayMongo, QR Ph, mapping, routing, notification, and messaging services within approved integration boundaries.</w:t>
      </w:r>
    </w:p>
    <w:p>
      <w:pPr>
        <w:spacing w:line="480" w:lineRule="auto" w:before="0" w:after="0"/>
        <w:ind w:firstLine="720"/>
        <w:jc w:val="left"/>
      </w:pPr>
      <w:r>
        <w:rPr>
          <w:rFonts w:ascii="Times New Roman" w:hAnsi="Times New Roman"/>
          <w:sz w:val="24"/>
        </w:rPr>
        <w:t>Implementation records will include feature specifications, interface changes, data changes, test cases, defects, revisions, dependency versions, and environment instructions. Sensitive configuration values and provider keys will not be included in the research report.</w:t>
      </w:r>
    </w:p>
    <w:p>
      <w:pPr>
        <w:keepNext/>
        <w:spacing w:line="480" w:lineRule="auto" w:before="0" w:after="0"/>
        <w:ind w:firstLine="0"/>
        <w:jc w:val="left"/>
      </w:pPr>
      <w:r>
        <w:rPr>
          <w:rFonts w:ascii="Times New Roman" w:hAnsi="Times New Roman"/>
          <w:b/>
          <w:sz w:val="24"/>
        </w:rPr>
        <w:t>3.3.4 Documentation and revision control</w:t>
      </w:r>
    </w:p>
    <w:p>
      <w:pPr>
        <w:spacing w:line="480" w:lineRule="auto" w:before="0" w:after="0"/>
        <w:ind w:firstLine="720"/>
        <w:jc w:val="left"/>
      </w:pPr>
      <w:r>
        <w:rPr>
          <w:rFonts w:ascii="Times New Roman" w:hAnsi="Times New Roman"/>
          <w:sz w:val="24"/>
        </w:rPr>
        <w:t>Each change that affects a workflow, data structure, policy, provider integration, or user-facing claim must be documented. The project documentation identifies the relevant requirement, affected module, description of the change, test result, defect reference, revision decision, and responsible project record.</w:t>
      </w:r>
    </w:p>
    <w:p>
      <w:pPr>
        <w:spacing w:line="480" w:lineRule="auto" w:before="0" w:after="0"/>
        <w:ind w:firstLine="720"/>
        <w:jc w:val="left"/>
      </w:pPr>
      <w:r>
        <w:rPr>
          <w:rFonts w:ascii="Times New Roman" w:hAnsi="Times New Roman"/>
          <w:sz w:val="24"/>
        </w:rPr>
        <w:t>The documentation also distinguishes completed development work from provider-dependent functions, content requiring barangay approval, and functions outside the project scope. This distinction supports orderly revision and prevents the paper from claiming that unimplemented or unevaluated features are complete.</w:t>
      </w:r>
    </w:p>
    <w:p>
      <w:pPr>
        <w:keepNext/>
        <w:spacing w:line="480" w:lineRule="auto" w:before="0" w:after="0"/>
        <w:ind w:firstLine="0"/>
        <w:jc w:val="center"/>
      </w:pPr>
      <w:r>
        <w:rPr>
          <w:rFonts w:ascii="Times New Roman" w:hAnsi="Times New Roman"/>
          <w:b/>
          <w:sz w:val="24"/>
        </w:rPr>
        <w:t>3.4 Testing and Operating Procedure</w:t>
      </w:r>
    </w:p>
    <w:p>
      <w:pPr>
        <w:keepNext/>
        <w:spacing w:line="480" w:lineRule="auto" w:before="0" w:after="0"/>
        <w:ind w:firstLine="0"/>
        <w:jc w:val="left"/>
      </w:pPr>
      <w:r>
        <w:rPr>
          <w:rFonts w:ascii="Times New Roman" w:hAnsi="Times New Roman"/>
          <w:b/>
          <w:sz w:val="24"/>
        </w:rPr>
        <w:t>3.4.1 Operating procedure</w:t>
      </w:r>
    </w:p>
    <w:p>
      <w:pPr>
        <w:spacing w:line="480" w:lineRule="auto" w:before="0" w:after="0"/>
        <w:ind w:firstLine="720"/>
        <w:jc w:val="left"/>
      </w:pPr>
      <w:r>
        <w:rPr>
          <w:rFonts w:ascii="Times New Roman" w:hAnsi="Times New Roman"/>
          <w:sz w:val="24"/>
        </w:rPr>
        <w:t>Testing is performed in a controlled development environment using authorized accounts and synthetic data. Before testing, the research team prepares the required configuration, initializes the database and test records, verifies the relevant user roles, and confirms that no live payment credentials or production resident records are used.</w:t>
      </w:r>
    </w:p>
    <w:p>
      <w:pPr>
        <w:spacing w:line="480" w:lineRule="auto" w:before="0" w:after="0"/>
        <w:ind w:firstLine="720"/>
        <w:jc w:val="left"/>
      </w:pPr>
      <w:r>
        <w:rPr>
          <w:rFonts w:ascii="Times New Roman" w:hAnsi="Times New Roman"/>
          <w:sz w:val="24"/>
        </w:rPr>
        <w:t>For each task, the tester records the test identifier, user role, environment, precondition, input, expected result, observed result, status, supporting evidence, and corrective action. After a defect is corrected, the affected workflow will be retested before the defect is marked as resolved.</w:t>
      </w:r>
    </w:p>
    <w:p>
      <w:pPr>
        <w:spacing w:line="480" w:lineRule="auto" w:before="0" w:after="0"/>
        <w:ind w:firstLine="720"/>
        <w:jc w:val="left"/>
      </w:pPr>
      <w:r>
        <w:rPr>
          <w:rFonts w:ascii="Times New Roman" w:hAnsi="Times New Roman"/>
          <w:sz w:val="24"/>
        </w:rPr>
        <w:t>The resident operating procedure includes account access, profile completion, service or document request submission, status review, incident reporting, emergency-information viewing, and other approved tasks. The administrative operating procedure includes authentication, service configuration, request processing, incident review, content management, dashboard review, and role-appropriate privacy operations.</w:t>
      </w:r>
    </w:p>
    <w:p>
      <w:pPr>
        <w:keepNext/>
        <w:spacing w:line="480" w:lineRule="auto" w:before="0" w:after="0"/>
        <w:ind w:firstLine="0"/>
        <w:jc w:val="left"/>
      </w:pPr>
      <w:r>
        <w:rPr>
          <w:rFonts w:ascii="Times New Roman" w:hAnsi="Times New Roman"/>
          <w:b/>
          <w:sz w:val="24"/>
        </w:rPr>
        <w:t>3.4.2 Testing levels and criteria</w:t>
      </w:r>
    </w:p>
    <w:p>
      <w:pPr>
        <w:keepNext/>
        <w:spacing w:before="120" w:after="0" w:line="480" w:lineRule="auto"/>
      </w:pPr>
      <w:r>
        <w:rPr>
          <w:rFonts w:ascii="Times New Roman" w:hAnsi="Times New Roman"/>
          <w:b/>
          <w:sz w:val="24"/>
        </w:rPr>
        <w:t>Table 6</w:t>
      </w:r>
    </w:p>
    <w:p>
      <w:pPr>
        <w:keepNext/>
        <w:spacing w:before="0" w:after="0" w:line="480" w:lineRule="auto"/>
      </w:pPr>
      <w:r>
        <w:rPr>
          <w:rFonts w:ascii="Times New Roman" w:hAnsi="Times New Roman"/>
          <w:i/>
          <w:sz w:val="24"/>
        </w:rPr>
        <w:t>Testing Levels and Acceptance Criteria</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2340"/>
        <w:gridCol w:w="2340"/>
        <w:gridCol w:w="2340"/>
        <w:gridCol w:w="2340"/>
      </w:tblGrid>
      <w:tr>
        <w:trPr>
          <w:tblHeader w:val="true"/>
        </w:trPr>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Test level</w:t>
            </w:r>
          </w:p>
        </w:tc>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Procedure</w:t>
            </w:r>
          </w:p>
        </w:tc>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Acceptance criterion</w:t>
            </w:r>
          </w:p>
        </w:tc>
        <w:tc>
          <w:tcPr>
            <w:tcW w:type="dxa" w:w="234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Evidence</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Unit and validation testing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schemas, field validation, status rules, calculations, and shared utilities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Valid data are accepted; invalid data are rejected with clear feedback</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output and defect record</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Database and access-control testing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migrations, constraints, Row-Level Security, storage access, role checks, and barangay scoping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Users cannot access or change unauthorized records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Database test record</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Functional testing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Perform each approved resident and administrative workflow</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Expected result is reached without critical error</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checklist, screenshots, and defect record</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Integration testing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interface, database, Edge Function, payment sandbox, map, and notification boundaries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Records and status changes remain consistent across connected components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Integration log</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Payment-boundary testing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sandbox initiation, status checking, cancellation, refund, webhook, duplicate event, and error cases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No live-money transaction is used; invalid or duplicate events do not create incorrect payment status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Sandbox log and reconciliation record</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Reliability and error handling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unavailable network, failed upload, expired session, provider error, and interrupted update conditions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The system provides a safe error state and recovery path</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Error-handling record</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Compatibility and accessibility testing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approved device sizes, browsers, permissions, readable labels, keyboard access where applicable, and network conditions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Core tasks remain understandable and usable in the approved test matrix</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Compatibility and accessibility checklist</w:t>
            </w:r>
          </w:p>
        </w:tc>
      </w:tr>
      <w:tr>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User acceptance testing</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Assign role-based tasks and administer the evaluation questionnaire</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Mean evaluation score is at least 3.41 and no unresolved critical defect remains</w:t>
            </w:r>
          </w:p>
        </w:tc>
        <w:tc>
          <w:tcPr>
            <w:tcW w:type="dxa" w:w="234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Task record, questionnaire, and summary</w:t>
            </w:r>
          </w:p>
        </w:tc>
      </w:tr>
    </w:tbl>
    <w:p>
      <w:pPr>
        <w:spacing w:before="60" w:after="60" w:line="480" w:lineRule="auto"/>
        <w:ind w:firstLine="0"/>
      </w:pPr>
    </w:p>
    <w:p>
      <w:pPr>
        <w:keepNext/>
        <w:spacing w:line="480" w:lineRule="auto" w:before="0" w:after="0"/>
        <w:ind w:firstLine="0"/>
        <w:jc w:val="left"/>
      </w:pPr>
      <w:r>
        <w:rPr>
          <w:rFonts w:ascii="Times New Roman" w:hAnsi="Times New Roman"/>
          <w:b/>
          <w:sz w:val="24"/>
        </w:rPr>
        <w:t>3.4.3 Defect handling and validation of the testing strategy</w:t>
      </w:r>
    </w:p>
    <w:p>
      <w:pPr>
        <w:spacing w:line="480" w:lineRule="auto" w:before="0" w:after="0"/>
        <w:ind w:firstLine="720"/>
        <w:jc w:val="left"/>
      </w:pPr>
      <w:r>
        <w:rPr>
          <w:rFonts w:ascii="Times New Roman" w:hAnsi="Times New Roman"/>
          <w:sz w:val="24"/>
        </w:rPr>
        <w:t>The testing strategy is supported by requirements traceability. Each project objective is linked to a workflow, test case, and result. A defect is recorded when the observed result differs from the expected result or when a participant identifies a barrier to completing an approved task.</w:t>
      </w:r>
    </w:p>
    <w:p>
      <w:pPr>
        <w:spacing w:line="480" w:lineRule="auto" w:before="0" w:after="0"/>
        <w:ind w:firstLine="720"/>
        <w:jc w:val="left"/>
      </w:pPr>
      <w:r>
        <w:rPr>
          <w:rFonts w:ascii="Times New Roman" w:hAnsi="Times New Roman"/>
          <w:sz w:val="24"/>
        </w:rPr>
        <w:t>Defects are classified as critical, high, medium, or low:</w:t>
      </w:r>
    </w:p>
    <w:p>
      <w:pPr>
        <w:keepNext/>
        <w:spacing w:before="120" w:after="0" w:line="480" w:lineRule="auto"/>
      </w:pPr>
      <w:r>
        <w:rPr>
          <w:rFonts w:ascii="Times New Roman" w:hAnsi="Times New Roman"/>
          <w:b/>
          <w:sz w:val="24"/>
        </w:rPr>
        <w:t>Table 7</w:t>
      </w:r>
    </w:p>
    <w:p>
      <w:pPr>
        <w:keepNext/>
        <w:spacing w:before="0" w:after="0" w:line="480" w:lineRule="auto"/>
      </w:pPr>
      <w:r>
        <w:rPr>
          <w:rFonts w:ascii="Times New Roman" w:hAnsi="Times New Roman"/>
          <w:i/>
          <w:sz w:val="24"/>
        </w:rPr>
        <w:t>Defect Severity and Required Action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Severity</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Meaning</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Required action</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Critical</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Blocks a core workflow, exposes protected data, or produces an unsafe or incorrect result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Correct before evaluation or acceptance</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High</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Seriously affects a major workflow but has a temporary workaround</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Correct before final recommendation</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Medium</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Affects usability, clarity, or a non-core function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Schedule correction and retest</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Low</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Minor wording, layout, or cosmetic issue</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Correct when practical and record the revision</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correction cycle is:</w:t>
      </w:r>
    </w:p>
    <w:p>
      <w:pPr>
        <w:spacing w:line="240" w:lineRule="auto" w:before="120" w:after="120"/>
        <w:ind w:firstLine="0"/>
        <w:jc w:val="center"/>
      </w:pPr>
      <w:r>
        <w:rPr>
          <w:rFonts w:ascii="Courier New" w:hAnsi="Courier New"/>
          <w:sz w:val="18"/>
        </w:rPr>
        <w:t>Detect -&gt; record -&gt; classify -&gt; assign -&gt; correct -&gt; retest -&gt; close or reopen</w:t>
      </w:r>
    </w:p>
    <w:p>
      <w:pPr>
        <w:keepNext/>
        <w:spacing w:line="480" w:lineRule="auto" w:before="0" w:after="0"/>
        <w:ind w:firstLine="0"/>
        <w:jc w:val="center"/>
      </w:pPr>
      <w:r>
        <w:rPr>
          <w:rFonts w:ascii="Times New Roman" w:hAnsi="Times New Roman"/>
          <w:b/>
          <w:sz w:val="24"/>
        </w:rPr>
        <w:t>3.5 Project Evaluation</w:t>
      </w:r>
    </w:p>
    <w:p>
      <w:pPr>
        <w:keepNext/>
        <w:spacing w:line="480" w:lineRule="auto" w:before="0" w:after="0"/>
        <w:ind w:firstLine="0"/>
        <w:jc w:val="left"/>
      </w:pPr>
      <w:r>
        <w:rPr>
          <w:rFonts w:ascii="Times New Roman" w:hAnsi="Times New Roman"/>
          <w:b/>
          <w:sz w:val="24"/>
        </w:rPr>
        <w:t>3.5.1 Evaluation framework</w:t>
      </w:r>
    </w:p>
    <w:p>
      <w:pPr>
        <w:spacing w:line="480" w:lineRule="auto" w:before="0" w:after="0"/>
        <w:ind w:firstLine="720"/>
        <w:jc w:val="left"/>
      </w:pPr>
      <w:r>
        <w:rPr>
          <w:rFonts w:ascii="Times New Roman" w:hAnsi="Times New Roman"/>
          <w:sz w:val="24"/>
        </w:rPr>
        <w:t>The project evaluation uses task-based testing and a structured questionnaire. The questionnaire draws on selected characteristics of ISO/IEC 25010:2023, a product-quality model for software and information systems. Only characteristics relevant to Barangayan and the participant's role are included.</w:t>
      </w:r>
    </w:p>
    <w:p>
      <w:pPr>
        <w:keepNext/>
        <w:spacing w:before="120" w:after="0" w:line="480" w:lineRule="auto"/>
      </w:pPr>
      <w:r>
        <w:rPr>
          <w:rFonts w:ascii="Times New Roman" w:hAnsi="Times New Roman"/>
          <w:b/>
          <w:sz w:val="24"/>
        </w:rPr>
        <w:t>Table 8</w:t>
      </w:r>
    </w:p>
    <w:p>
      <w:pPr>
        <w:keepNext/>
        <w:spacing w:before="0" w:after="0" w:line="480" w:lineRule="auto"/>
      </w:pPr>
      <w:r>
        <w:rPr>
          <w:rFonts w:ascii="Times New Roman" w:hAnsi="Times New Roman"/>
          <w:i/>
          <w:sz w:val="24"/>
        </w:rPr>
        <w:t>Software Quality Areas for Evaluation</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trPr>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Quality area</w:t>
            </w:r>
          </w:p>
        </w:tc>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Evaluation focus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Functional suitability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Whether the system provides the required functions for the assigned task</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Usability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Whether screens, labels, navigation, and instructions are understandable and manageable</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Performance efficiency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Whether the system responds within an acceptable time during normal test use</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Reliability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Whether the system remains stable and provides safe recovery from errors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Compatibility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Whether core functions operate on the approved devices and browsers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Security and privacy support</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Whether role access, authentication, and privacy-related functions behave as intended during the test</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questionnaire measures participants' assessment of their assigned workflows. Technical checks for security, performance, and compatibility will be supported by the corresponding test records rather than participant opinion alone.</w:t>
      </w:r>
    </w:p>
    <w:p>
      <w:pPr>
        <w:keepNext/>
        <w:spacing w:line="480" w:lineRule="auto" w:before="0" w:after="0"/>
        <w:ind w:firstLine="0"/>
        <w:jc w:val="left"/>
      </w:pPr>
      <w:r>
        <w:rPr>
          <w:rFonts w:ascii="Times New Roman" w:hAnsi="Times New Roman"/>
          <w:b/>
          <w:sz w:val="24"/>
        </w:rPr>
        <w:t>3.5.2 Evaluation procedure</w:t>
      </w:r>
    </w:p>
    <w:p>
      <w:pPr>
        <w:spacing w:line="480" w:lineRule="auto" w:before="0" w:after="0"/>
        <w:ind w:firstLine="720"/>
        <w:jc w:val="left"/>
      </w:pPr>
      <w:r>
        <w:rPr>
          <w:rFonts w:ascii="Times New Roman" w:hAnsi="Times New Roman"/>
          <w:sz w:val="24"/>
        </w:rPr>
        <w:t>The research team will:</w:t>
      </w:r>
    </w:p>
    <w:p>
      <w:pPr>
        <w:spacing w:line="480" w:lineRule="auto" w:before="0" w:after="0"/>
        <w:ind w:left="720" w:hanging="360"/>
      </w:pPr>
      <w:r>
        <w:rPr>
          <w:rFonts w:ascii="Times New Roman" w:hAnsi="Times New Roman"/>
          <w:sz w:val="24"/>
        </w:rPr>
        <w:t xml:space="preserve">1. </w:t>
      </w:r>
      <w:r>
        <w:rPr>
          <w:rFonts w:ascii="Times New Roman" w:hAnsi="Times New Roman"/>
          <w:sz w:val="24"/>
        </w:rPr>
        <w:t>secure the barangay's coordination and participant consent;</w:t>
      </w:r>
    </w:p>
    <w:p>
      <w:pPr>
        <w:spacing w:line="480" w:lineRule="auto" w:before="0" w:after="0"/>
        <w:ind w:left="720" w:hanging="360"/>
      </w:pPr>
      <w:r>
        <w:rPr>
          <w:rFonts w:ascii="Times New Roman" w:hAnsi="Times New Roman"/>
          <w:sz w:val="24"/>
        </w:rPr>
        <w:t xml:space="preserve">2. </w:t>
      </w:r>
      <w:r>
        <w:rPr>
          <w:rFonts w:ascii="Times New Roman" w:hAnsi="Times New Roman"/>
          <w:sz w:val="24"/>
        </w:rPr>
        <w:t>prepare test accounts, synthetic records, devices, and role-specific instructions;</w:t>
      </w:r>
    </w:p>
    <w:p>
      <w:pPr>
        <w:spacing w:line="480" w:lineRule="auto" w:before="0" w:after="0"/>
        <w:ind w:left="720" w:hanging="360"/>
      </w:pPr>
      <w:r>
        <w:rPr>
          <w:rFonts w:ascii="Times New Roman" w:hAnsi="Times New Roman"/>
          <w:sz w:val="24"/>
        </w:rPr>
        <w:t xml:space="preserve">3. </w:t>
      </w:r>
      <w:r>
        <w:rPr>
          <w:rFonts w:ascii="Times New Roman" w:hAnsi="Times New Roman"/>
          <w:sz w:val="24"/>
        </w:rPr>
        <w:t>orient each participant on the purpose of the evaluation;</w:t>
      </w:r>
    </w:p>
    <w:p>
      <w:pPr>
        <w:spacing w:line="480" w:lineRule="auto" w:before="0" w:after="0"/>
        <w:ind w:left="720" w:hanging="360"/>
      </w:pPr>
      <w:r>
        <w:rPr>
          <w:rFonts w:ascii="Times New Roman" w:hAnsi="Times New Roman"/>
          <w:sz w:val="24"/>
        </w:rPr>
        <w:t xml:space="preserve">4. </w:t>
      </w:r>
      <w:r>
        <w:rPr>
          <w:rFonts w:ascii="Times New Roman" w:hAnsi="Times New Roman"/>
          <w:sz w:val="24"/>
        </w:rPr>
        <w:t>assign representative tasks based on the participant's role;</w:t>
      </w:r>
    </w:p>
    <w:p>
      <w:pPr>
        <w:spacing w:line="480" w:lineRule="auto" w:before="0" w:after="0"/>
        <w:ind w:left="720" w:hanging="360"/>
      </w:pPr>
      <w:r>
        <w:rPr>
          <w:rFonts w:ascii="Times New Roman" w:hAnsi="Times New Roman"/>
          <w:sz w:val="24"/>
        </w:rPr>
        <w:t xml:space="preserve">5. </w:t>
      </w:r>
      <w:r>
        <w:rPr>
          <w:rFonts w:ascii="Times New Roman" w:hAnsi="Times New Roman"/>
          <w:sz w:val="24"/>
        </w:rPr>
        <w:t>observe and record task completion, errors, clarifications, and system responses;</w:t>
      </w:r>
    </w:p>
    <w:p>
      <w:pPr>
        <w:spacing w:line="480" w:lineRule="auto" w:before="0" w:after="0"/>
        <w:ind w:left="720" w:hanging="360"/>
      </w:pPr>
      <w:r>
        <w:rPr>
          <w:rFonts w:ascii="Times New Roman" w:hAnsi="Times New Roman"/>
          <w:sz w:val="24"/>
        </w:rPr>
        <w:t xml:space="preserve">6. </w:t>
      </w:r>
      <w:r>
        <w:rPr>
          <w:rFonts w:ascii="Times New Roman" w:hAnsi="Times New Roman"/>
          <w:sz w:val="24"/>
        </w:rPr>
        <w:t>administer the five-point questionnaire after the tasks;</w:t>
      </w:r>
    </w:p>
    <w:p>
      <w:pPr>
        <w:spacing w:line="480" w:lineRule="auto" w:before="0" w:after="0"/>
        <w:ind w:left="720" w:hanging="360"/>
      </w:pPr>
      <w:r>
        <w:rPr>
          <w:rFonts w:ascii="Times New Roman" w:hAnsi="Times New Roman"/>
          <w:sz w:val="24"/>
        </w:rPr>
        <w:t xml:space="preserve">7. </w:t>
      </w:r>
      <w:r>
        <w:rPr>
          <w:rFonts w:ascii="Times New Roman" w:hAnsi="Times New Roman"/>
          <w:sz w:val="24"/>
        </w:rPr>
        <w:t>collect open-ended feedback;</w:t>
      </w:r>
    </w:p>
    <w:p>
      <w:pPr>
        <w:spacing w:line="480" w:lineRule="auto" w:before="0" w:after="0"/>
        <w:ind w:left="720" w:hanging="360"/>
      </w:pPr>
      <w:r>
        <w:rPr>
          <w:rFonts w:ascii="Times New Roman" w:hAnsi="Times New Roman"/>
          <w:sz w:val="24"/>
        </w:rPr>
        <w:t xml:space="preserve">8. </w:t>
      </w:r>
      <w:r>
        <w:rPr>
          <w:rFonts w:ascii="Times New Roman" w:hAnsi="Times New Roman"/>
          <w:sz w:val="24"/>
        </w:rPr>
        <w:t>summarize task and questionnaire results;</w:t>
      </w:r>
    </w:p>
    <w:p>
      <w:pPr>
        <w:spacing w:line="480" w:lineRule="auto" w:before="0" w:after="0"/>
        <w:ind w:left="720" w:hanging="360"/>
      </w:pPr>
      <w:r>
        <w:rPr>
          <w:rFonts w:ascii="Times New Roman" w:hAnsi="Times New Roman"/>
          <w:sz w:val="24"/>
        </w:rPr>
        <w:t xml:space="preserve">9. </w:t>
      </w:r>
      <w:r>
        <w:rPr>
          <w:rFonts w:ascii="Times New Roman" w:hAnsi="Times New Roman"/>
          <w:sz w:val="24"/>
        </w:rPr>
        <w:t>record identified defects and approved revisions; and</w:t>
      </w:r>
    </w:p>
    <w:p>
      <w:pPr>
        <w:spacing w:line="480" w:lineRule="auto" w:before="0" w:after="0"/>
        <w:ind w:left="720" w:hanging="360"/>
      </w:pPr>
      <w:r>
        <w:rPr>
          <w:rFonts w:ascii="Times New Roman" w:hAnsi="Times New Roman"/>
          <w:sz w:val="24"/>
        </w:rPr>
        <w:t xml:space="preserve">10. </w:t>
      </w:r>
      <w:r>
        <w:rPr>
          <w:rFonts w:ascii="Times New Roman" w:hAnsi="Times New Roman"/>
          <w:sz w:val="24"/>
        </w:rPr>
        <w:t>retest corrected workflows before making the final project recommendation.</w:t>
      </w:r>
    </w:p>
    <w:p>
      <w:pPr>
        <w:keepNext/>
        <w:spacing w:line="480" w:lineRule="auto" w:before="0" w:after="0"/>
        <w:ind w:firstLine="0"/>
        <w:jc w:val="left"/>
      </w:pPr>
      <w:r>
        <w:rPr>
          <w:rFonts w:ascii="Times New Roman" w:hAnsi="Times New Roman"/>
          <w:b/>
          <w:sz w:val="24"/>
        </w:rPr>
        <w:t>3.5.3 Evaluation tasks</w:t>
      </w:r>
    </w:p>
    <w:p>
      <w:pPr>
        <w:keepNext/>
        <w:spacing w:before="120" w:after="0" w:line="480" w:lineRule="auto"/>
      </w:pPr>
      <w:r>
        <w:rPr>
          <w:rFonts w:ascii="Times New Roman" w:hAnsi="Times New Roman"/>
          <w:b/>
          <w:sz w:val="24"/>
        </w:rPr>
        <w:t>Table 9</w:t>
      </w:r>
    </w:p>
    <w:p>
      <w:pPr>
        <w:keepNext/>
        <w:spacing w:before="0" w:after="0" w:line="480" w:lineRule="auto"/>
      </w:pPr>
      <w:r>
        <w:rPr>
          <w:rFonts w:ascii="Times New Roman" w:hAnsi="Times New Roman"/>
          <w:i/>
          <w:sz w:val="24"/>
        </w:rPr>
        <w:t>Representative Evaluation Tasks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trPr>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Participant group</w:t>
            </w:r>
          </w:p>
        </w:tc>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Representative tasks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Register or sign in; manage profile; submit a document or service request; view status; report an incident; view emergency information; register for an available health activity; use help or privacy functions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Elected barangay officials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Review administrative information; assess request, incident, emergency, and dashboard workflows relevant to oversight</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Administrative and auxiliary support staff</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Configure service information; process requests; update status; review incidents; manage content; review resident records and summary information within assigned permissions</w:t>
            </w:r>
          </w:p>
        </w:tc>
      </w:tr>
    </w:tbl>
    <w:p>
      <w:pPr>
        <w:spacing w:before="60" w:after="60" w:line="480" w:lineRule="auto"/>
        <w:ind w:firstLine="0"/>
      </w:pPr>
    </w:p>
    <w:p>
      <w:pPr>
        <w:spacing w:line="480" w:lineRule="auto" w:before="0" w:after="0"/>
        <w:ind w:firstLine="720"/>
        <w:jc w:val="left"/>
      </w:pPr>
      <w:r>
        <w:rPr>
          <w:rFonts w:ascii="Times New Roman" w:hAnsi="Times New Roman"/>
          <w:sz w:val="24"/>
        </w:rPr>
        <w:t>All tasks use authorized test accounts and synthetic records. The evaluation does not require participants to make real payments, provide medical records, submit sensitive personal documents, or create live incident reports.</w:t>
      </w:r>
    </w:p>
    <w:p>
      <w:pPr>
        <w:keepNext/>
        <w:spacing w:line="480" w:lineRule="auto" w:before="0" w:after="0"/>
        <w:ind w:firstLine="0"/>
        <w:jc w:val="left"/>
      </w:pPr>
      <w:r>
        <w:rPr>
          <w:rFonts w:ascii="Times New Roman" w:hAnsi="Times New Roman"/>
          <w:b/>
          <w:sz w:val="24"/>
        </w:rPr>
        <w:t>3.5.4 Interpretation and decision rules</w:t>
      </w:r>
    </w:p>
    <w:p>
      <w:pPr>
        <w:spacing w:line="480" w:lineRule="auto" w:before="0" w:after="0"/>
        <w:ind w:firstLine="720"/>
        <w:jc w:val="left"/>
      </w:pPr>
      <w:r>
        <w:rPr>
          <w:rFonts w:ascii="Times New Roman" w:hAnsi="Times New Roman"/>
          <w:sz w:val="24"/>
        </w:rPr>
        <w:t>The development build will be considered acceptable for the next controlled project stage when:</w:t>
      </w:r>
    </w:p>
    <w:p>
      <w:pPr>
        <w:spacing w:line="480" w:lineRule="auto" w:before="0" w:after="0"/>
        <w:ind w:left="720" w:hanging="360"/>
      </w:pPr>
      <w:r>
        <w:rPr>
          <w:rFonts w:ascii="Times New Roman" w:hAnsi="Times New Roman"/>
          <w:sz w:val="24"/>
        </w:rPr>
        <w:t xml:space="preserve">- </w:t>
      </w:r>
      <w:r>
        <w:rPr>
          <w:rFonts w:ascii="Times New Roman" w:hAnsi="Times New Roman"/>
          <w:sz w:val="24"/>
        </w:rPr>
        <w:t>the relevant evaluation criteria receive a weighted mean of at least 3.41;</w:t>
      </w:r>
    </w:p>
    <w:p>
      <w:pPr>
        <w:spacing w:line="480" w:lineRule="auto" w:before="0" w:after="0"/>
        <w:ind w:left="720" w:hanging="360"/>
      </w:pPr>
      <w:r>
        <w:rPr>
          <w:rFonts w:ascii="Times New Roman" w:hAnsi="Times New Roman"/>
          <w:sz w:val="24"/>
        </w:rPr>
        <w:t xml:space="preserve">- </w:t>
      </w:r>
      <w:r>
        <w:rPr>
          <w:rFonts w:ascii="Times New Roman" w:hAnsi="Times New Roman"/>
          <w:sz w:val="24"/>
        </w:rPr>
        <w:t>core assigned tasks can be completed by the participant groups without unresolved blocking issues;</w:t>
      </w:r>
    </w:p>
    <w:p>
      <w:pPr>
        <w:spacing w:line="480" w:lineRule="auto" w:before="0" w:after="0"/>
        <w:ind w:left="720" w:hanging="360"/>
      </w:pPr>
      <w:r>
        <w:rPr>
          <w:rFonts w:ascii="Times New Roman" w:hAnsi="Times New Roman"/>
          <w:sz w:val="24"/>
        </w:rPr>
        <w:t xml:space="preserve">- </w:t>
      </w:r>
      <w:r>
        <w:rPr>
          <w:rFonts w:ascii="Times New Roman" w:hAnsi="Times New Roman"/>
          <w:sz w:val="24"/>
        </w:rPr>
        <w:t>no critical access-control, privacy, data-integrity, or workflow defect remains open;</w:t>
      </w:r>
    </w:p>
    <w:p>
      <w:pPr>
        <w:spacing w:line="480" w:lineRule="auto" w:before="0" w:after="0"/>
        <w:ind w:left="720" w:hanging="360"/>
      </w:pPr>
      <w:r>
        <w:rPr>
          <w:rFonts w:ascii="Times New Roman" w:hAnsi="Times New Roman"/>
          <w:sz w:val="24"/>
        </w:rPr>
        <w:t xml:space="preserve">- </w:t>
      </w:r>
      <w:r>
        <w:rPr>
          <w:rFonts w:ascii="Times New Roman" w:hAnsi="Times New Roman"/>
          <w:sz w:val="24"/>
        </w:rPr>
        <w:t>payment, map, and other external dependencies are correctly labeled according to their approved operating boundary; and</w:t>
      </w:r>
    </w:p>
    <w:p>
      <w:pPr>
        <w:spacing w:line="480" w:lineRule="auto" w:before="0" w:after="0"/>
        <w:ind w:left="720" w:hanging="360"/>
      </w:pPr>
      <w:r>
        <w:rPr>
          <w:rFonts w:ascii="Times New Roman" w:hAnsi="Times New Roman"/>
          <w:sz w:val="24"/>
        </w:rPr>
        <w:t xml:space="preserve">- </w:t>
      </w:r>
      <w:r>
        <w:rPr>
          <w:rFonts w:ascii="Times New Roman" w:hAnsi="Times New Roman"/>
          <w:sz w:val="24"/>
        </w:rPr>
        <w:t>the study documentation identifies any remaining limitation and required action.</w:t>
      </w:r>
    </w:p>
    <w:p>
      <w:pPr>
        <w:spacing w:line="480" w:lineRule="auto" w:before="0" w:after="0"/>
        <w:ind w:firstLine="720"/>
        <w:jc w:val="left"/>
      </w:pPr>
      <w:r>
        <w:rPr>
          <w:rFonts w:ascii="Times New Roman" w:hAnsi="Times New Roman"/>
          <w:sz w:val="24"/>
        </w:rPr>
        <w:t>Evaluation results will be interpreted only within Barangay Ampid I and the tested environment. The study will not use the results to claim broader adoption, legal compliance, shorter service time, or improved public safety without additional evidence.</w:t>
      </w:r>
    </w:p>
    <w:p>
      <w:pPr>
        <w:keepNext/>
        <w:spacing w:line="480" w:lineRule="auto" w:before="0" w:after="0"/>
        <w:ind w:firstLine="0"/>
        <w:jc w:val="center"/>
      </w:pPr>
      <w:r>
        <w:rPr>
          <w:rFonts w:ascii="Times New Roman" w:hAnsi="Times New Roman"/>
          <w:b/>
          <w:sz w:val="24"/>
        </w:rPr>
        <w:t>3.6 Work Plan</w:t>
      </w:r>
    </w:p>
    <w:p>
      <w:pPr>
        <w:keepNext/>
        <w:spacing w:line="480" w:lineRule="auto" w:before="0" w:after="0"/>
        <w:ind w:firstLine="0"/>
        <w:jc w:val="left"/>
      </w:pPr>
      <w:r>
        <w:rPr>
          <w:rFonts w:ascii="Times New Roman" w:hAnsi="Times New Roman"/>
          <w:b/>
          <w:sz w:val="24"/>
        </w:rPr>
        <w:t>3.6.1 Work Breakdown Structure</w:t>
      </w:r>
    </w:p>
    <w:p>
      <w:pPr>
        <w:spacing w:line="480" w:lineRule="auto" w:before="0" w:after="0"/>
        <w:ind w:firstLine="720"/>
        <w:jc w:val="left"/>
      </w:pPr>
      <w:r>
        <w:rPr>
          <w:rFonts w:ascii="Times New Roman" w:hAnsi="Times New Roman"/>
          <w:sz w:val="24"/>
        </w:rPr>
        <w:t>The work plan follows the six-month development period stated in the project proposal. The months are relative project periods; exact calendar dates are maintained in the project-control record.</w:t>
      </w:r>
    </w:p>
    <w:p>
      <w:pPr>
        <w:keepNext/>
        <w:spacing w:before="120" w:after="0" w:line="480" w:lineRule="auto"/>
      </w:pPr>
      <w:r>
        <w:rPr>
          <w:rFonts w:ascii="Times New Roman" w:hAnsi="Times New Roman"/>
          <w:b/>
          <w:sz w:val="24"/>
        </w:rPr>
        <w:t>Table 10</w:t>
      </w:r>
    </w:p>
    <w:p>
      <w:pPr>
        <w:keepNext/>
        <w:spacing w:before="0" w:after="0" w:line="480" w:lineRule="auto"/>
      </w:pPr>
      <w:r>
        <w:rPr>
          <w:rFonts w:ascii="Times New Roman" w:hAnsi="Times New Roman"/>
          <w:i/>
          <w:sz w:val="24"/>
        </w:rPr>
        <w:t>Work Breakdown Structure</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WBS</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Task and output</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Period</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Confirm scope, Barangay Ampid I coordination, requirements, participants, and evaluation materials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 1</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2.0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Prepare architecture, database design, user roles, workflow specifications, and test plan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 1</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3.0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 resident mobile workflows, shared validation, and required interfaces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Months 2-3</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4.0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 web-based administrative workflows, content management, and dashboards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Months 2-3</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5.0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Implement database rules, access control, storage, Edge Functions, and approved integrations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Months 3-4</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6.0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Integrate mobile, web, database, payment sandbox, maps, notifications, and test data</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 4</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7.0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Conduct functional, integration, access-control, error-handling, compatibility, and accessibility testing</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Months 4-5</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8.0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Conduct resident, official, and support-staff evaluation; collect questionnaires and task records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 5</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9.0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Correct defects, repeat affected tests, analyze results, and update documentation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Months 5-6</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10.0</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Prepare final project paper, technical documentation, controlled-handoff requirements, and commercialization assessment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Month 6</w:t>
            </w:r>
          </w:p>
        </w:tc>
      </w:tr>
    </w:tbl>
    <w:p>
      <w:pPr>
        <w:spacing w:before="60" w:after="60" w:line="480" w:lineRule="auto"/>
        <w:ind w:firstLine="0"/>
      </w:pPr>
    </w:p>
    <w:p>
      <w:pPr>
        <w:keepNext/>
        <w:spacing w:line="480" w:lineRule="auto" w:before="0" w:after="0"/>
        <w:ind w:firstLine="0"/>
        <w:jc w:val="center"/>
      </w:pPr>
      <w:r>
        <w:rPr>
          <w:rFonts w:ascii="Times New Roman" w:hAnsi="Times New Roman"/>
          <w:b/>
          <w:sz w:val="24"/>
        </w:rPr>
        <w:t>3.7 Computing Standards and Modern Tools and Techniques</w:t>
      </w:r>
    </w:p>
    <w:p>
      <w:pPr>
        <w:spacing w:line="480" w:lineRule="auto" w:before="0" w:after="0"/>
        <w:ind w:firstLine="720"/>
        <w:jc w:val="left"/>
      </w:pPr>
      <w:r>
        <w:rPr>
          <w:rFonts w:ascii="Times New Roman" w:hAnsi="Times New Roman"/>
          <w:sz w:val="24"/>
        </w:rPr>
        <w:t>The project applies the following tools, standards, and techniques throughout planning, development, testing, and evaluation.</w:t>
      </w:r>
    </w:p>
    <w:p>
      <w:pPr>
        <w:keepNext/>
        <w:spacing w:before="120" w:after="0" w:line="480" w:lineRule="auto"/>
      </w:pPr>
      <w:r>
        <w:rPr>
          <w:rFonts w:ascii="Times New Roman" w:hAnsi="Times New Roman"/>
          <w:b/>
          <w:sz w:val="24"/>
        </w:rPr>
        <w:t>Table 11</w:t>
      </w:r>
    </w:p>
    <w:p>
      <w:pPr>
        <w:keepNext/>
        <w:spacing w:before="0" w:after="0" w:line="480" w:lineRule="auto"/>
      </w:pPr>
      <w:r>
        <w:rPr>
          <w:rFonts w:ascii="Times New Roman" w:hAnsi="Times New Roman"/>
          <w:i/>
          <w:sz w:val="24"/>
        </w:rPr>
        <w:t>Tools Standards and Techniques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trPr>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Tool, standard, or technique</w:t>
            </w:r>
          </w:p>
        </w:tc>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Application to Barangayan</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React Native and Expo SDK 57</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 the resident-facing mobile application for the approved mobile environment</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Expo Router</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Organize resident mobile routes and protected navigation</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Next.js 16.3.0</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 web-based administrative and resident-access surfaces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TypeScript</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Define shared types and reduce data-contract inconsistency</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Zod schemas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Validate forms and shared request data</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Supabase PostgreSQL</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Store barangay-scoped records, relationships, functions, triggers, and migrations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Supabase Auth</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Manage account authentication, sessions, and recovery flows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Row-Level Security and role-based access control</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Restrict data access according to user role, ownership, and barangay scope</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Supabase Storage</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Store permitted incident photographs, identity documents, and content files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Supabase Realtime</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Support selected status, announcement, health, inventory, and payment updates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Deno Edge Functions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Perform sensitive server-side operations for payment, privacy, and QR-related functions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Vitest</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shared schemas, status logic, calculations, and utilities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Leaflet and OpenStreetMap</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Display administrative incident and evacuation-center maps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Haversine and point-in-polygon methods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Support distance ordering and preliminary location checks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PayMongo and QR Ph</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Provide the approved sandbox boundary for digital-payment workflows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ISO/IEC 25010:2023</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Organize software-quality evaluation criteria</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project uses established methods and services. Its contribution is the practical integration of configurable barangay workflows within the defined project scope, not the creation of a new algorithm or payment standard.</w:t>
      </w:r>
    </w:p>
    <w:p>
      <w:pPr>
        <w:keepNext/>
        <w:spacing w:line="480" w:lineRule="auto" w:before="0" w:after="0"/>
        <w:ind w:firstLine="0"/>
        <w:jc w:val="center"/>
      </w:pPr>
      <w:r>
        <w:rPr>
          <w:rFonts w:ascii="Times New Roman" w:hAnsi="Times New Roman"/>
          <w:b/>
          <w:sz w:val="24"/>
        </w:rPr>
        <w:t>3.8 Potential for Commercialization</w:t>
      </w:r>
    </w:p>
    <w:p>
      <w:pPr>
        <w:spacing w:line="480" w:lineRule="auto" w:before="0" w:after="0"/>
        <w:ind w:firstLine="720"/>
        <w:jc w:val="left"/>
      </w:pPr>
      <w:r>
        <w:rPr>
          <w:rFonts w:ascii="Times New Roman" w:hAnsi="Times New Roman"/>
          <w:sz w:val="24"/>
        </w:rPr>
        <w:t>Barangayan has potential for controlled adoption as a configurable barangay service platform. Its principal value is the integration of resident services, incident reporting, emergency information, administrative workflows, and barangay-specific configuration in one system. The platform is intended to reduce the need to develop a similar system separately for each barangay.</w:t>
      </w:r>
    </w:p>
    <w:p>
      <w:pPr>
        <w:spacing w:line="480" w:lineRule="auto" w:before="0" w:after="0"/>
        <w:ind w:firstLine="720"/>
        <w:jc w:val="left"/>
      </w:pPr>
      <w:r>
        <w:rPr>
          <w:rFonts w:ascii="Times New Roman" w:hAnsi="Times New Roman"/>
          <w:sz w:val="24"/>
        </w:rPr>
        <w:t>Commercialization depends on validated user acceptance, technical reliability, privacy governance, operational support, provider agreements, procurement requirements, accessible deployment, training, and a sustainable cost model. The current project evaluates a development build and does not claim commercial success.</w:t>
      </w:r>
    </w:p>
    <w:p>
      <w:pPr>
        <w:keepNext/>
        <w:spacing w:line="480" w:lineRule="auto" w:before="0" w:after="0"/>
        <w:ind w:firstLine="0"/>
        <w:jc w:val="left"/>
      </w:pPr>
      <w:r>
        <w:rPr>
          <w:rFonts w:ascii="Times New Roman" w:hAnsi="Times New Roman"/>
          <w:b/>
          <w:sz w:val="24"/>
        </w:rPr>
        <w:t>3.8.1 Market model</w:t>
      </w:r>
    </w:p>
    <w:p>
      <w:pPr>
        <w:spacing w:line="480" w:lineRule="auto" w:before="0" w:after="0"/>
        <w:ind w:firstLine="720"/>
        <w:jc w:val="left"/>
      </w:pPr>
      <w:r>
        <w:rPr>
          <w:rFonts w:ascii="Times New Roman" w:hAnsi="Times New Roman"/>
          <w:sz w:val="24"/>
        </w:rPr>
        <w:t>The market model is organized in stages:</w:t>
      </w:r>
    </w:p>
    <w:p>
      <w:pPr>
        <w:keepNext/>
        <w:spacing w:before="120" w:after="0" w:line="480" w:lineRule="auto"/>
      </w:pPr>
      <w:r>
        <w:rPr>
          <w:rFonts w:ascii="Times New Roman" w:hAnsi="Times New Roman"/>
          <w:b/>
          <w:sz w:val="24"/>
        </w:rPr>
        <w:t>Table 12</w:t>
      </w:r>
    </w:p>
    <w:p>
      <w:pPr>
        <w:keepNext/>
        <w:spacing w:before="0" w:after="0" w:line="480" w:lineRule="auto"/>
      </w:pPr>
      <w:r>
        <w:rPr>
          <w:rFonts w:ascii="Times New Roman" w:hAnsi="Times New Roman"/>
          <w:i/>
          <w:sz w:val="24"/>
        </w:rPr>
        <w:t>Market Model</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Measure</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Definition for this project</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Current basis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Total Available Market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Barangays that may need digital resident-service and administrative workflows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National opportunity; no monetary forecast is stated in this study</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Serviceable Available Market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The 15 barangays of San Mateo, Rizal, subject to readiness, procurement, connectivity, and operational fit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PSA lists 15 barangays in San Mateo as of 31 July 2025</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Initial Share of Market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Barangay Ampid I as the approved study site</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1 of 15 barangays in the initial municipal service area, or 6.67% by count</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market model is a planning tool only. It does not establish purchasing intent, approved procurement, pricing, or revenue.</w:t>
      </w:r>
    </w:p>
    <w:p>
      <w:pPr>
        <w:keepNext/>
        <w:spacing w:line="480" w:lineRule="auto" w:before="0" w:after="0"/>
        <w:ind w:firstLine="0"/>
        <w:jc w:val="left"/>
      </w:pPr>
      <w:r>
        <w:rPr>
          <w:rFonts w:ascii="Times New Roman" w:hAnsi="Times New Roman"/>
          <w:b/>
          <w:sz w:val="24"/>
        </w:rPr>
        <w:t>3.8.2 Measurable benefits</w:t>
      </w:r>
    </w:p>
    <w:p>
      <w:pPr>
        <w:keepNext/>
        <w:spacing w:before="120" w:after="0" w:line="480" w:lineRule="auto"/>
      </w:pPr>
      <w:r>
        <w:rPr>
          <w:rFonts w:ascii="Times New Roman" w:hAnsi="Times New Roman"/>
          <w:b/>
          <w:sz w:val="24"/>
        </w:rPr>
        <w:t>Table 13</w:t>
      </w:r>
    </w:p>
    <w:p>
      <w:pPr>
        <w:keepNext/>
        <w:spacing w:before="0" w:after="0" w:line="480" w:lineRule="auto"/>
      </w:pPr>
      <w:r>
        <w:rPr>
          <w:rFonts w:ascii="Times New Roman" w:hAnsi="Times New Roman"/>
          <w:i/>
          <w:sz w:val="24"/>
        </w:rPr>
        <w:t>Expected Benefits and Measures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Stakeholder</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Expected benefit</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Measure</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Residents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Clearer request submission and status visibility</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Task completion, errors, status understanding, and user rating</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Officials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Better oversight of service requests, incidents, and emergency information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Completion of assigned review tasks and feedback</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Support staff</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More organized processing and information management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Task completion, errors, workflow time, and comments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Barangay</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Configurable service and content management</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Ability to update approved data without changing application code</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Future adopters</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Reusable barangay-scoped configuration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Configuration effort and required code changes for a new approved setup</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study measures usability and workflow evidence. Claims about reduced queues, lower costs, improved safety, or faster service require baseline and post-implementation operational data.</w:t>
      </w:r>
    </w:p>
    <w:p>
      <w:pPr>
        <w:keepNext/>
        <w:spacing w:line="480" w:lineRule="auto" w:before="0" w:after="0"/>
        <w:ind w:firstLine="0"/>
        <w:jc w:val="left"/>
      </w:pPr>
      <w:r>
        <w:rPr>
          <w:rFonts w:ascii="Times New Roman" w:hAnsi="Times New Roman"/>
          <w:b/>
          <w:sz w:val="24"/>
        </w:rPr>
        <w:t>3.8.3 Three-year product roadmap</w:t>
      </w:r>
    </w:p>
    <w:p>
      <w:pPr>
        <w:keepNext/>
        <w:spacing w:before="120" w:after="0" w:line="480" w:lineRule="auto"/>
      </w:pPr>
      <w:r>
        <w:rPr>
          <w:rFonts w:ascii="Times New Roman" w:hAnsi="Times New Roman"/>
          <w:b/>
          <w:sz w:val="24"/>
        </w:rPr>
        <w:t>Table 14</w:t>
      </w:r>
    </w:p>
    <w:p>
      <w:pPr>
        <w:keepNext/>
        <w:spacing w:before="0" w:after="0" w:line="480" w:lineRule="auto"/>
      </w:pPr>
      <w:r>
        <w:rPr>
          <w:rFonts w:ascii="Times New Roman" w:hAnsi="Times New Roman"/>
          <w:i/>
          <w:sz w:val="24"/>
        </w:rPr>
        <w:t>Three Year Product Roadmap</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3120"/>
        <w:gridCol w:w="3120"/>
        <w:gridCol w:w="3120"/>
      </w:tblGrid>
      <w:tr>
        <w:trPr>
          <w:tblHeader w:val="true"/>
        </w:trPr>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Period</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Product position</w:t>
            </w:r>
          </w:p>
        </w:tc>
        <w:tc>
          <w:tcPr>
            <w:tcW w:type="dxa" w:w="312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Key work</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Year 1</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Controlled development and evaluation build</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Complete testing, correct critical issues, document configuration, and establish the pilot evidence base</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Year 2</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Supported barangay implementation</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Improve onboarding, staff training, reporting, content management, and operational support based on approved results</w:t>
            </w:r>
          </w:p>
        </w:tc>
      </w:tr>
      <w:tr>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Year 3</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Carefully scaled configurable platform</w:t>
            </w:r>
          </w:p>
        </w:tc>
        <w:tc>
          <w:tcPr>
            <w:tcW w:type="dxa" w:w="312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Improve accessibility, localization, monitoring, provider resilience, and multi-barangay configuration only after validation</w:t>
            </w:r>
          </w:p>
        </w:tc>
      </w:tr>
    </w:tbl>
    <w:p>
      <w:pPr>
        <w:spacing w:before="60" w:after="60" w:line="480" w:lineRule="auto"/>
        <w:ind w:firstLine="0"/>
      </w:pPr>
    </w:p>
    <w:p>
      <w:pPr>
        <w:keepNext/>
        <w:spacing w:line="480" w:lineRule="auto" w:before="0" w:after="0"/>
        <w:ind w:firstLine="0"/>
        <w:jc w:val="left"/>
      </w:pPr>
      <w:r>
        <w:rPr>
          <w:rFonts w:ascii="Times New Roman" w:hAnsi="Times New Roman"/>
          <w:b/>
          <w:sz w:val="24"/>
        </w:rPr>
        <w:t>3.8.4 Go-to-market strategy</w:t>
      </w:r>
    </w:p>
    <w:p>
      <w:pPr>
        <w:spacing w:line="480" w:lineRule="auto" w:before="0" w:after="0"/>
        <w:ind w:firstLine="720"/>
        <w:jc w:val="left"/>
      </w:pPr>
      <w:r>
        <w:rPr>
          <w:rFonts w:ascii="Times New Roman" w:hAnsi="Times New Roman"/>
          <w:sz w:val="24"/>
        </w:rPr>
        <w:t>The initial strategy is to work with Barangay Ampid I as the approved study site, demonstrate the agreed workflows using controlled data, document the results, and obtain the necessary operational decisions before wider deployment. Any expansion must proceed through authorized local-government channels and include documented procurement, privacy notices, staff training, support ownership, and a clear maintenance arrangement.</w:t>
      </w:r>
    </w:p>
    <w:p>
      <w:pPr>
        <w:keepNext/>
        <w:spacing w:line="480" w:lineRule="auto" w:before="0" w:after="0"/>
        <w:ind w:firstLine="0"/>
        <w:jc w:val="center"/>
      </w:pPr>
      <w:r>
        <w:rPr>
          <w:rFonts w:ascii="Times New Roman" w:hAnsi="Times New Roman"/>
          <w:b/>
          <w:sz w:val="24"/>
        </w:rPr>
        <w:t>3.9 Business Model</w:t>
      </w:r>
    </w:p>
    <w:p>
      <w:pPr>
        <w:keepNext/>
        <w:spacing w:line="480" w:lineRule="auto" w:before="0" w:after="0"/>
        <w:ind w:firstLine="0"/>
        <w:jc w:val="left"/>
      </w:pPr>
      <w:r>
        <w:rPr>
          <w:rFonts w:ascii="Times New Roman" w:hAnsi="Times New Roman"/>
          <w:b/>
          <w:sz w:val="24"/>
        </w:rPr>
        <w:t>3.9.1 Value-chain position</w:t>
      </w:r>
    </w:p>
    <w:p>
      <w:pPr>
        <w:spacing w:line="480" w:lineRule="auto" w:before="0" w:after="0"/>
        <w:ind w:firstLine="720"/>
        <w:jc w:val="left"/>
      </w:pPr>
      <w:r>
        <w:rPr>
          <w:rFonts w:ascii="Times New Roman" w:hAnsi="Times New Roman"/>
          <w:sz w:val="24"/>
        </w:rPr>
        <w:t>Barangayan is positioned between barangay service operations and the technical providers needed to support digital workflows:</w:t>
      </w:r>
    </w:p>
    <w:p>
      <w:pPr>
        <w:spacing w:line="240" w:lineRule="auto" w:before="120" w:after="120"/>
        <w:ind w:firstLine="0"/>
        <w:jc w:val="center"/>
      </w:pPr>
      <w:r>
        <w:rPr>
          <w:rFonts w:ascii="Courier New" w:hAnsi="Courier New"/>
          <w:sz w:val="18"/>
        </w:rPr>
        <w:t>Residents and barangay personnel</w:t>
        <w:br/>
        <w:t>-&gt; service, information, and administrative requirements</w:t>
        <w:br/>
        <w:t>-&gt; Barangayan configuration and workflow platform</w:t>
        <w:br/>
        <w:t>-&gt; Supabase authentication, database, storage, and realtime services</w:t>
        <w:br/>
        <w:t>-&gt; payment, map, routing, notification, and messaging providers</w:t>
        <w:br/>
        <w:t>-&gt; documented resident transactions and administrative actions</w:t>
      </w:r>
    </w:p>
    <w:p>
      <w:pPr>
        <w:spacing w:line="480" w:lineRule="auto" w:before="0" w:after="0"/>
        <w:ind w:firstLine="720"/>
        <w:jc w:val="left"/>
      </w:pPr>
      <w:r>
        <w:rPr>
          <w:rFonts w:ascii="Times New Roman" w:hAnsi="Times New Roman"/>
          <w:sz w:val="24"/>
        </w:rPr>
        <w:t>The platform supports barangay operations; it does not replace official decision-making, payment-provider responsibilities, or legally required government procedures.</w:t>
      </w:r>
    </w:p>
    <w:p>
      <w:pPr>
        <w:keepNext/>
        <w:spacing w:line="480" w:lineRule="auto" w:before="0" w:after="0"/>
        <w:ind w:firstLine="0"/>
        <w:jc w:val="left"/>
      </w:pPr>
      <w:r>
        <w:rPr>
          <w:rFonts w:ascii="Times New Roman" w:hAnsi="Times New Roman"/>
          <w:b/>
          <w:sz w:val="24"/>
        </w:rPr>
        <w:t>3.9.2 Revenue-generation model</w:t>
      </w:r>
    </w:p>
    <w:p>
      <w:pPr>
        <w:spacing w:line="480" w:lineRule="auto" w:before="0" w:after="0"/>
        <w:ind w:firstLine="720"/>
        <w:jc w:val="left"/>
      </w:pPr>
      <w:r>
        <w:rPr>
          <w:rFonts w:ascii="Times New Roman" w:hAnsi="Times New Roman"/>
          <w:sz w:val="24"/>
        </w:rPr>
        <w:t>The project does not set a price or claim existing revenue. If Barangayan proceeds beyond the academic development stage, possible funding or revenue sources may include:</w:t>
      </w:r>
    </w:p>
    <w:p>
      <w:pPr>
        <w:spacing w:line="480" w:lineRule="auto" w:before="0" w:after="0"/>
        <w:ind w:left="720" w:hanging="360"/>
      </w:pPr>
      <w:r>
        <w:rPr>
          <w:rFonts w:ascii="Times New Roman" w:hAnsi="Times New Roman"/>
          <w:sz w:val="24"/>
        </w:rPr>
        <w:t xml:space="preserve">- </w:t>
      </w:r>
      <w:r>
        <w:rPr>
          <w:rFonts w:ascii="Times New Roman" w:hAnsi="Times New Roman"/>
          <w:sz w:val="24"/>
        </w:rPr>
        <w:t>a one-time implementation and configuration fee;</w:t>
      </w:r>
    </w:p>
    <w:p>
      <w:pPr>
        <w:spacing w:line="480" w:lineRule="auto" w:before="0" w:after="0"/>
        <w:ind w:left="720" w:hanging="360"/>
      </w:pPr>
      <w:r>
        <w:rPr>
          <w:rFonts w:ascii="Times New Roman" w:hAnsi="Times New Roman"/>
          <w:sz w:val="24"/>
        </w:rPr>
        <w:t xml:space="preserve">- </w:t>
      </w:r>
      <w:r>
        <w:rPr>
          <w:rFonts w:ascii="Times New Roman" w:hAnsi="Times New Roman"/>
          <w:sz w:val="24"/>
        </w:rPr>
        <w:t>a recurring support, hosting, or platform fee;</w:t>
      </w:r>
    </w:p>
    <w:p>
      <w:pPr>
        <w:spacing w:line="480" w:lineRule="auto" w:before="0" w:after="0"/>
        <w:ind w:left="720" w:hanging="360"/>
      </w:pPr>
      <w:r>
        <w:rPr>
          <w:rFonts w:ascii="Times New Roman" w:hAnsi="Times New Roman"/>
          <w:sz w:val="24"/>
        </w:rPr>
        <w:t xml:space="preserve">- </w:t>
      </w:r>
      <w:r>
        <w:rPr>
          <w:rFonts w:ascii="Times New Roman" w:hAnsi="Times New Roman"/>
          <w:sz w:val="24"/>
        </w:rPr>
        <w:t>training and data-preparation services; and</w:t>
      </w:r>
    </w:p>
    <w:p>
      <w:pPr>
        <w:spacing w:line="480" w:lineRule="auto" w:before="0" w:after="0"/>
        <w:ind w:left="720" w:hanging="360"/>
      </w:pPr>
      <w:r>
        <w:rPr>
          <w:rFonts w:ascii="Times New Roman" w:hAnsi="Times New Roman"/>
          <w:sz w:val="24"/>
        </w:rPr>
        <w:t xml:space="preserve">- </w:t>
      </w:r>
      <w:r>
        <w:rPr>
          <w:rFonts w:ascii="Times New Roman" w:hAnsi="Times New Roman"/>
          <w:sz w:val="24"/>
        </w:rPr>
        <w:t>approved integration or customization services.</w:t>
      </w:r>
    </w:p>
    <w:p>
      <w:pPr>
        <w:spacing w:line="480" w:lineRule="auto" w:before="0" w:after="0"/>
        <w:ind w:firstLine="720"/>
        <w:jc w:val="left"/>
      </w:pPr>
      <w:r>
        <w:rPr>
          <w:rFonts w:ascii="Times New Roman" w:hAnsi="Times New Roman"/>
          <w:sz w:val="24"/>
        </w:rPr>
        <w:t>Any model must first identify the buyer, contracting entity, ownership and licensing terms, provider charges, support responsibilities, and procurement process.</w:t>
      </w:r>
    </w:p>
    <w:p>
      <w:pPr>
        <w:keepNext/>
        <w:spacing w:line="480" w:lineRule="auto" w:before="0" w:after="0"/>
        <w:ind w:firstLine="0"/>
        <w:jc w:val="left"/>
      </w:pPr>
      <w:r>
        <w:rPr>
          <w:rFonts w:ascii="Times New Roman" w:hAnsi="Times New Roman"/>
          <w:b/>
          <w:sz w:val="24"/>
        </w:rPr>
        <w:t>3.9.3 Cost and expense model</w:t>
      </w:r>
    </w:p>
    <w:p>
      <w:pPr>
        <w:keepNext/>
        <w:spacing w:before="120" w:after="0" w:line="480" w:lineRule="auto"/>
      </w:pPr>
      <w:r>
        <w:rPr>
          <w:rFonts w:ascii="Times New Roman" w:hAnsi="Times New Roman"/>
          <w:b/>
          <w:sz w:val="24"/>
        </w:rPr>
        <w:t>Table 15</w:t>
      </w:r>
    </w:p>
    <w:p>
      <w:pPr>
        <w:keepNext/>
        <w:spacing w:before="0" w:after="0" w:line="480" w:lineRule="auto"/>
      </w:pPr>
      <w:r>
        <w:rPr>
          <w:rFonts w:ascii="Times New Roman" w:hAnsi="Times New Roman"/>
          <w:i/>
          <w:sz w:val="24"/>
        </w:rPr>
        <w:t>Cost and Expense Model</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trPr>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Cost area</w:t>
            </w:r>
          </w:p>
        </w:tc>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Examples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Development</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Requirements analysis, design, programming, testing, devices, and documentation</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Infrastructure</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Database, storage, realtime services, hosting, domain, backup, and monitoring</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External providers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Payment, messaging, push notifications, map tiles, routing, geocoding, email, and SMS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Operations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Support, training, maintenance, updates, security reviews, incident response, and content management</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Governance</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Privacy notices, retention procedures, access reviews, policies, and staff training</w:t>
            </w:r>
          </w:p>
        </w:tc>
      </w:tr>
    </w:tbl>
    <w:p>
      <w:pPr>
        <w:spacing w:before="60" w:after="60" w:line="480" w:lineRule="auto"/>
        <w:ind w:firstLine="0"/>
      </w:pPr>
    </w:p>
    <w:p>
      <w:pPr>
        <w:spacing w:line="480" w:lineRule="auto" w:before="0" w:after="0"/>
        <w:ind w:firstLine="720"/>
        <w:jc w:val="left"/>
      </w:pPr>
      <w:r>
        <w:rPr>
          <w:rFonts w:ascii="Times New Roman" w:hAnsi="Times New Roman"/>
          <w:sz w:val="24"/>
        </w:rPr>
        <w:t>The project does not calculate a cost or price without documented provider plans, usage estimates, staffing requirements, and approved operating arrangements.</w:t>
      </w:r>
    </w:p>
    <w:p>
      <w:pPr>
        <w:keepNext/>
        <w:spacing w:line="480" w:lineRule="auto" w:before="0" w:after="0"/>
        <w:ind w:firstLine="0"/>
        <w:jc w:val="left"/>
      </w:pPr>
      <w:r>
        <w:rPr>
          <w:rFonts w:ascii="Times New Roman" w:hAnsi="Times New Roman"/>
          <w:b/>
          <w:sz w:val="24"/>
        </w:rPr>
        <w:t>3.9.4 Success metrics</w:t>
      </w:r>
    </w:p>
    <w:p>
      <w:pPr>
        <w:keepNext/>
        <w:spacing w:before="120" w:after="0" w:line="480" w:lineRule="auto"/>
      </w:pPr>
      <w:r>
        <w:rPr>
          <w:rFonts w:ascii="Times New Roman" w:hAnsi="Times New Roman"/>
          <w:b/>
          <w:sz w:val="24"/>
        </w:rPr>
        <w:t>Table 16</w:t>
      </w:r>
    </w:p>
    <w:p>
      <w:pPr>
        <w:keepNext/>
        <w:spacing w:before="0" w:after="0" w:line="480" w:lineRule="auto"/>
      </w:pPr>
      <w:r>
        <w:rPr>
          <w:rFonts w:ascii="Times New Roman" w:hAnsi="Times New Roman"/>
          <w:i/>
          <w:sz w:val="24"/>
        </w:rPr>
        <w:t>Success Metrics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trPr>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Dimension</w:t>
            </w:r>
          </w:p>
        </w:tc>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Metric</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User evaluation</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Weighted mean rating, task completion, errors, and feedback themes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Technical quality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Passed tests, open defects, regression results, and critical-defect status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Service workflow</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Request-status visibility, administrative processing steps, and configuration success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Reliability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Error handling, recovery records, update behavior, and backup or recovery evidence</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Privacy and access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Unauthorized-access test findings, access-control results, and export/deletion records</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Sustainability</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Documented cost, support effort, provider use, and approved operating arrangement</w:t>
            </w:r>
          </w:p>
        </w:tc>
      </w:tr>
    </w:tbl>
    <w:p>
      <w:pPr>
        <w:spacing w:before="60" w:after="60" w:line="480" w:lineRule="auto"/>
        <w:ind w:firstLine="0"/>
      </w:pPr>
    </w:p>
    <w:p>
      <w:pPr>
        <w:keepNext/>
        <w:spacing w:line="480" w:lineRule="auto" w:before="0" w:after="0"/>
        <w:ind w:firstLine="0"/>
        <w:jc w:val="left"/>
      </w:pPr>
      <w:r>
        <w:rPr>
          <w:rFonts w:ascii="Times New Roman" w:hAnsi="Times New Roman"/>
          <w:b/>
          <w:sz w:val="24"/>
        </w:rPr>
        <w:t>3.9.5 Risks and mitigation</w:t>
      </w:r>
    </w:p>
    <w:p>
      <w:pPr>
        <w:keepNext/>
        <w:spacing w:before="120" w:after="0" w:line="480" w:lineRule="auto"/>
      </w:pPr>
      <w:r>
        <w:rPr>
          <w:rFonts w:ascii="Times New Roman" w:hAnsi="Times New Roman"/>
          <w:b/>
          <w:sz w:val="24"/>
        </w:rPr>
        <w:t>Table 17</w:t>
      </w:r>
    </w:p>
    <w:p>
      <w:pPr>
        <w:keepNext/>
        <w:spacing w:before="0" w:after="0" w:line="480" w:lineRule="auto"/>
      </w:pPr>
      <w:r>
        <w:rPr>
          <w:rFonts w:ascii="Times New Roman" w:hAnsi="Times New Roman"/>
          <w:i/>
          <w:sz w:val="24"/>
        </w:rPr>
        <w:t>Risks and Mitigation Measures</w:t>
      </w:r>
    </w:p>
    <w:tbl>
      <w:tblPr>
        <w:tblW w:type="auto" w:w="0"/>
        <w:jc w:val="center"/>
        <w:tblLayout w:type="fixed"/>
        <w:tblLook w:firstColumn="1" w:firstRow="1" w:lastColumn="0" w:lastRow="0" w:noHBand="0" w:noVBand="1" w:val="04A0"/>
        <w:tblBorders>
          <w:top w:val="single" w:sz="6" w:space="0" w:color="000000"/>
          <w:bottom w:val="single" w:sz="6" w:space="0" w:color="000000"/>
          <w:insideH w:val="single" w:sz="6" w:space="0" w:color="000000"/>
          <w:left w:val="nil"/>
          <w:right w:val="nil"/>
          <w:insideV w:val="nil"/>
        </w:tblBorders>
      </w:tblPr>
      <w:tblGrid>
        <w:gridCol w:w="4680"/>
        <w:gridCol w:w="4680"/>
      </w:tblGrid>
      <w:tr>
        <w:trPr>
          <w:tblHeader w:val="true"/>
        </w:trPr>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Risk</w:t>
            </w:r>
          </w:p>
        </w:tc>
        <w:tc>
          <w:tcPr>
            <w:tcW w:type="dxa" w:w="4680"/>
            <w:vAlign w:val="center"/>
            <w:tcMar>
              <w:top w:w="70" w:type="dxa"/>
              <w:start w:w="90" w:type="dxa"/>
              <w:bottom w:w="70" w:type="dxa"/>
              <w:end w:w="90" w:type="dxa"/>
            </w:tcMar>
            <w:shd w:fill="F2F2F2"/>
          </w:tcPr>
          <w:p>
            <w:pPr>
              <w:spacing w:line="240" w:lineRule="auto" w:after="0" w:before="0"/>
              <w:ind w:firstLine="0"/>
              <w:jc w:val="center"/>
            </w:pPr>
            <w:r>
              <w:rPr>
                <w:rFonts w:ascii="Times New Roman" w:hAnsi="Times New Roman"/>
                <w:b/>
                <w:sz w:val="20"/>
              </w:rPr>
              <w:t>Mitigation</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Unauthorized data access</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Apply role checks, Row-Level Security, storage policies, and access-control testing</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Payment or settlement not configured</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Retain sandbox status until provider verification and approval are complete</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Incomplete emergency information</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Assign content review and update responsibility to authorized barangay personnel</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Provider or network interruption</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Provide clear error states, recovery procedures, and alternative barangay contact information</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Device, browser, or accessibility limitation</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Test the approved compatibility and accessibility matrix before acceptance</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Inaccurate location data</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Treat location as a preliminary check and retain administrative verification</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Unclear support ownership</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Define responsible barangay and project contacts before controlled handoff</w:t>
            </w:r>
          </w:p>
        </w:tc>
      </w:tr>
      <w:tr>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Unsupported commercialization claim</w:t>
            </w:r>
          </w:p>
        </w:tc>
        <w:tc>
          <w:tcPr>
            <w:tcW w:type="dxa" w:w="4680"/>
            <w:vAlign w:val="center"/>
            <w:tcMar>
              <w:top w:w="70" w:type="dxa"/>
              <w:start w:w="90" w:type="dxa"/>
              <w:bottom w:w="70" w:type="dxa"/>
              <w:end w:w="90" w:type="dxa"/>
            </w:tcMar>
          </w:tcPr>
          <w:p>
            <w:pPr>
              <w:spacing w:line="240" w:lineRule="auto" w:after="0" w:before="0"/>
              <w:ind w:firstLine="0"/>
              <w:jc w:val="left"/>
            </w:pPr>
            <w:r>
              <w:rPr>
                <w:rFonts w:ascii="Times New Roman" w:hAnsi="Times New Roman"/>
                <w:b w:val="0"/>
                <w:sz w:val="20"/>
              </w:rPr>
              <w:t>Require documented demand, procurement, cost, pricing, and support evidence before expansion</w:t>
            </w:r>
          </w:p>
        </w:tc>
      </w:tr>
    </w:tbl>
    <w:p>
      <w:pPr>
        <w:spacing w:before="60" w:after="60" w:line="480" w:lineRule="auto"/>
        <w:ind w:firstLine="0"/>
      </w:pPr>
    </w:p>
    <w:p>
      <w:pPr>
        <w:keepNext/>
        <w:spacing w:line="480" w:lineRule="auto" w:before="0" w:after="0"/>
        <w:ind w:firstLine="0"/>
        <w:jc w:val="left"/>
      </w:pPr>
      <w:r>
        <w:rPr>
          <w:rFonts w:ascii="Times New Roman" w:hAnsi="Times New Roman"/>
          <w:b/>
          <w:sz w:val="24"/>
        </w:rPr>
        <w:t>3.9.6 Break-even and sustainability</w:t>
      </w:r>
    </w:p>
    <w:p>
      <w:pPr>
        <w:spacing w:line="480" w:lineRule="auto" w:before="0" w:after="0"/>
        <w:ind w:firstLine="720"/>
        <w:jc w:val="left"/>
      </w:pPr>
      <w:r>
        <w:rPr>
          <w:rFonts w:ascii="Times New Roman" w:hAnsi="Times New Roman"/>
          <w:sz w:val="24"/>
        </w:rPr>
        <w:t>Break-even cannot be calculated until actual fixed costs, variable costs, service price, expected number of adopters, staffing costs, and provider charges are documented. The applicable formula is:</w:t>
      </w:r>
    </w:p>
    <w:p>
      <w:pPr>
        <w:spacing w:line="240" w:lineRule="auto" w:before="120" w:after="120"/>
        <w:ind w:firstLine="0"/>
        <w:jc w:val="center"/>
      </w:pPr>
      <w:r>
        <w:rPr>
          <w:rFonts w:ascii="Courier New" w:hAnsi="Courier New"/>
          <w:sz w:val="18"/>
        </w:rPr>
        <w:t>Break-even number of barangays =</w:t>
        <w:br/>
        <w:t>Fixed operating costs / Contribution margin per barangay</w:t>
      </w:r>
    </w:p>
    <w:p>
      <w:pPr>
        <w:spacing w:line="480" w:lineRule="auto" w:before="0" w:after="0"/>
        <w:ind w:firstLine="720"/>
        <w:jc w:val="left"/>
      </w:pPr>
      <w:r>
        <w:rPr>
          <w:rFonts w:ascii="Times New Roman" w:hAnsi="Times New Roman"/>
          <w:sz w:val="24"/>
        </w:rPr>
        <w:t>Sustained operation requires a designated platform owner, secure configuration management, data backup and recovery, privacy procedures, content maintenance, provider monitoring, staff training, technical support, and an approved operating budget.</w:t>
      </w:r>
    </w:p>
    <w:p>
      <w:r>
        <w:br w:type="page"/>
      </w:r>
    </w:p>
    <w:p>
      <w:pPr>
        <w:spacing w:line="480" w:lineRule="auto"/>
        <w:jc w:val="center"/>
      </w:pPr>
      <w:r>
        <w:rPr>
          <w:rFonts w:ascii="Times New Roman" w:hAnsi="Times New Roman"/>
          <w:b/>
          <w:sz w:val="24"/>
        </w:rPr>
        <w:t>References</w:t>
      </w:r>
    </w:p>
    <w:p>
      <w:pPr>
        <w:spacing w:line="480" w:lineRule="auto" w:before="0" w:after="0"/>
        <w:ind w:left="720" w:hanging="720"/>
      </w:pPr>
      <w:r>
        <w:rPr>
          <w:rFonts w:ascii="Times New Roman" w:hAnsi="Times New Roman"/>
          <w:sz w:val="24"/>
        </w:rPr>
        <w:t xml:space="preserve">International Organization for Standardization. (2023). </w:t>
      </w:r>
      <w:r>
        <w:rPr>
          <w:rFonts w:ascii="Times New Roman" w:hAnsi="Times New Roman"/>
          <w:i/>
          <w:sz w:val="24"/>
        </w:rPr>
        <w:t>ISO/IEC 25010:2023: Systems and software engineering - Systems and software Quality Requirements and Evaluation (SQuaRE) - Product quality model.</w:t>
      </w:r>
      <w:r>
        <w:rPr>
          <w:rFonts w:ascii="Times New Roman" w:hAnsi="Times New Roman"/>
          <w:sz w:val="24"/>
        </w:rPr>
        <w:t xml:space="preserve"> https://www.iso.org/standard/78176.html</w:t>
      </w:r>
    </w:p>
    <w:p>
      <w:pPr>
        <w:spacing w:line="480" w:lineRule="auto" w:before="0" w:after="0"/>
        <w:ind w:left="720" w:hanging="720"/>
      </w:pPr>
      <w:r>
        <w:rPr>
          <w:rFonts w:ascii="Times New Roman" w:hAnsi="Times New Roman"/>
          <w:sz w:val="24"/>
        </w:rPr>
        <w:t xml:space="preserve">Philippine Statistics Authority. (n.d.). </w:t>
      </w:r>
      <w:r>
        <w:rPr>
          <w:rFonts w:ascii="Times New Roman" w:hAnsi="Times New Roman"/>
          <w:i/>
          <w:sz w:val="24"/>
        </w:rPr>
        <w:t>Ampid I - Barangays.</w:t>
      </w:r>
      <w:r>
        <w:rPr>
          <w:rFonts w:ascii="Times New Roman" w:hAnsi="Times New Roman"/>
          <w:sz w:val="24"/>
        </w:rPr>
        <w:t xml:space="preserve"> Philippine Standard Geographic Code. Retrieved September 13, 2026, from https://psa.gov.ph/classification/psgc/barangays/0405811001</w:t>
      </w:r>
    </w:p>
    <w:p>
      <w:pPr>
        <w:spacing w:line="480" w:lineRule="auto" w:before="0" w:after="0"/>
        <w:ind w:left="720" w:hanging="720"/>
      </w:pPr>
      <w:r>
        <w:rPr>
          <w:rFonts w:ascii="Times New Roman" w:hAnsi="Times New Roman"/>
          <w:i/>
          <w:sz w:val="24"/>
        </w:rPr>
        <w:t>BARANGAYAN CONTEXT (Proposal Phase) draft.</w:t>
      </w:r>
      <w:r>
        <w:rPr>
          <w:rFonts w:ascii="Times New Roman" w:hAnsi="Times New Roman"/>
          <w:sz w:val="24"/>
        </w:rPr>
        <w:t xml:space="preserve"> Project proposal document.</w:t>
      </w:r>
    </w:p>
    <w:p>
      <w:pPr>
        <w:spacing w:line="480" w:lineRule="auto" w:before="0" w:after="0"/>
        <w:ind w:left="720" w:hanging="720"/>
      </w:pPr>
      <w:r>
        <w:rPr>
          <w:rFonts w:ascii="Times New Roman" w:hAnsi="Times New Roman"/>
          <w:i/>
          <w:sz w:val="24"/>
        </w:rPr>
        <w:t>Barangayan Chapter 1 &amp; Chapter 2.</w:t>
      </w:r>
      <w:r>
        <w:rPr>
          <w:rFonts w:ascii="Times New Roman" w:hAnsi="Times New Roman"/>
          <w:sz w:val="24"/>
        </w:rPr>
        <w:t xml:space="preserve"> Project background, conceptual framework, scope, and architecture document.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Barangayan Research Methodology and Operational Framework</dc:title>
  <dc:subject>Chapter 3</dc:subject>
  <dc:creator/>
  <cp:keywords>Barangayan, research methodology, barangay management system</cp:keywords>
  <dc:description>generated by python-docx</dc:description>
  <cp:lastModifiedBy/>
  <cp:revision>1</cp:revision>
  <dcterms:created xsi:type="dcterms:W3CDTF">2013-12-23T23:15:00Z</dcterms:created>
  <dcterms:modified xsi:type="dcterms:W3CDTF">2013-12-23T23:15:00Z</dcterms:modified>
  <cp:category/>
</cp:coreProperties>
</file>