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个人养老金制度要点摘录</w:t>
      </w:r>
    </w:p>
    <w:p>
      <w:r>
        <w:t>本文摘录个人养老金制度的主要规定要点，供个人财富规划参考。</w:t>
      </w:r>
    </w:p>
    <w:p>
      <w:pPr>
        <w:pStyle w:val="Heading2"/>
      </w:pPr>
      <w:r>
        <w:t>一、参加条件</w:t>
      </w:r>
    </w:p>
    <w:p>
      <w:r>
        <w:t>在中国境内参加城镇职工基本养老保险或者城乡居民基本养老保险的劳动者，可以参加个人养老金制度。参加人应当开立个人养老金账户和个人养老金资金账户，两个账户具有唯一性。</w:t>
      </w:r>
    </w:p>
    <w:p>
      <w:pPr>
        <w:pStyle w:val="Heading2"/>
      </w:pPr>
      <w:r>
        <w:t>二、缴费与税收优惠</w:t>
      </w:r>
    </w:p>
    <w:p>
      <w:r>
        <w:t>参加人每年缴纳个人养老金的上限为 12000 元。在缴费环节，个人向个人养老金资金账户的缴费，按照 12000 元/年的限额标准，在综合所得或经营所得中据实扣除；在投资环节，计入个人养老金资金账户的投资收益暂不征收个人所得税；在领取环节，个人领取的个人养老金不并入综合所得，单独按照 3% 的税率计算缴纳个人所得税。</w:t>
      </w:r>
    </w:p>
    <w:p>
      <w:pPr>
        <w:pStyle w:val="Heading2"/>
      </w:pPr>
      <w:r>
        <w:t>三、投资范围</w:t>
      </w:r>
    </w:p>
    <w:p>
      <w:r>
        <w:t>个人养老金资金账户内的资金可用于购买符合规定的储蓄存款、理财产品、商业养老保险、公募基金等金融产品，参加人自主选择投资品种并承担相应风险。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