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s8iibb6thqo3" w:id="0"/>
      <w:bookmarkEnd w:id="0"/>
      <w:r w:rsidDel="00000000" w:rsidR="00000000" w:rsidRPr="00000000">
        <w:rPr>
          <w:rtl w:val="0"/>
        </w:rPr>
        <w:t xml:space="preserve">The Learning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Control Triangle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sz w:val="22"/>
          <w:szCs w:val="22"/>
        </w:rPr>
      </w:pPr>
      <w:bookmarkStart w:colFirst="0" w:colLast="0" w:name="_m4wmwg85tjgi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160"/>
        <w:gridCol w:w="2505"/>
        <w:tblGridChange w:id="0">
          <w:tblGrid>
            <w:gridCol w:w="2265"/>
            <w:gridCol w:w="2265"/>
            <w:gridCol w:w="2160"/>
            <w:gridCol w:w="2505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LearningTriangleTeam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sz w:val="22"/>
          <w:szCs w:val="22"/>
        </w:rPr>
      </w:pPr>
      <w:bookmarkStart w:colFirst="0" w:colLast="0" w:name="_a4t1smfu7mr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ie7rmor5ofq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1.                  Control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4hdkcnxlyt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1.1               Brief Description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Controlling the triangles it part of the Artificial Intelligence, which will receive results from the learning algorithm. This result triggers an effect on the triangle, which moves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n7hz332ebh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                 Flow of Events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gjuo2wmq3k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              Basic 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Activity diagram: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104775</wp:posOffset>
            </wp:positionV>
            <wp:extent cx="6986588" cy="3887885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3887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There isn’t an mockup.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yiqp2o3eibb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                 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l1j25t6e2kz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                  Preconditions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must be a result from the neuronal network. Without it there can’t exist a decision about the next step of the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j8npsvybd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5.                  Postconditions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triangle will move and creates new data for the neuronal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g4xogln3b55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6.                  Extension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dck47n8vy0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