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right"/>
        <w:rPr/>
      </w:pPr>
      <w:bookmarkStart w:colFirst="0" w:colLast="0" w:name="_s8iibb6thqo3" w:id="0"/>
      <w:bookmarkEnd w:id="0"/>
      <w:r w:rsidDel="00000000" w:rsidR="00000000" w:rsidRPr="00000000">
        <w:rPr>
          <w:rtl w:val="0"/>
        </w:rPr>
        <w:t xml:space="preserve">The Learning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Use Case Specification: Collecting Data through Triangles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sz w:val="22"/>
          <w:szCs w:val="22"/>
        </w:rPr>
      </w:pPr>
      <w:bookmarkStart w:colFirst="0" w:colLast="0" w:name="_m4wmwg85tjgi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65"/>
        <w:gridCol w:w="2160"/>
        <w:gridCol w:w="2505"/>
        <w:tblGridChange w:id="0">
          <w:tblGrid>
            <w:gridCol w:w="2265"/>
            <w:gridCol w:w="2265"/>
            <w:gridCol w:w="2160"/>
            <w:gridCol w:w="2505"/>
          </w:tblGrid>
        </w:tblGridChange>
      </w:tblGrid>
      <w:tr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06.04.2017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LearningTriangleTeam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sz w:val="22"/>
          <w:szCs w:val="22"/>
        </w:rPr>
      </w:pPr>
      <w:bookmarkStart w:colFirst="0" w:colLast="0" w:name="_a4t1smfu7mr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/>
      </w:pPr>
      <w:bookmarkStart w:colFirst="0" w:colLast="0" w:name="_ie7rmor5ofq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1.         Collecting Data through Triangles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t4hdkcnxlyt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1.1               Brief Description</w:t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The neuronal network can’t be created without data. In our program we decided to use the view of each triangle for the learning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on7hz332ebhn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                 Flow of Events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gjuo2wmq3kr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              Basic Flow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Activity diagram: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842963</wp:posOffset>
            </wp:positionH>
            <wp:positionV relativeFrom="paragraph">
              <wp:posOffset>85725</wp:posOffset>
            </wp:positionV>
            <wp:extent cx="3819525" cy="5438775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43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Mockup: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There isn’t a mockup.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/>
      </w:pPr>
      <w:bookmarkStart w:colFirst="0" w:colLast="0" w:name="_yiqp2o3eibbb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3.                  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ql4kul1fcvwv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4.                  Preconditions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must exist some triangles. That’s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r6m7ny686nea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5.                  Postconditions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created matrix is send to the learning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ig4xogln3b55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6.                  Extension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ndck47n8vy08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