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 Dutch-Russian Law Association – Steering Group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</w:t>
        <w:tab/>
        <w:tab/>
        <w:t xml:space="preserve">16-07-2025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</w:t>
        <w:tab/>
        <w:tab/>
        <w:t xml:space="preserve">11:00–12:00 Amsterdam time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</w:t>
        <w:tab/>
        <w:t xml:space="preserve">Online via MS Teams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Chair</w:t>
      </w:r>
      <w:r w:rsidDel="00000000" w:rsidR="00000000" w:rsidRPr="00000000">
        <w:rPr>
          <w:rtl w:val="0"/>
        </w:rPr>
        <w:t xml:space="preserve">: </w:t>
        <w:tab/>
        <w:tab/>
        <w:t xml:space="preserve">Ernst van Gassen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Invited: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Ernst van Gassen (treasurer and co-chair)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Ruth van der Pol (Advisory Board member)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Liudmila van der Pol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Rimma Antonova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Wim Timmermans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Roustam Vakhitov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Present: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Ernst van Gassen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Rimma Antonova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Roustam Vakhitov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Opening and welcome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Opening remarks by the chair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Short round of introductions for all participants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Objectives of the meeting: establishing coordination, planning forward strategy, and confirming key next steps</w:t>
        <w:br w:type="textWrapping"/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Attendance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List of participants</w:t>
        <w:br w:type="textWrapping"/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Administrative updates (background for new participants)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3.1. Move to GoDutch from ING (pending integration feature)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The board has decided to switch to Go Dutch for expense and subscription payments.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The move will take place after Go Dutch enables payment link integration, which is expected in Q3 of 2025.</w:t>
        <w:br w:type="textWrapping"/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3.2. ConsultantPlus subscription (pending decision)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The board has been considering a subscription to ConsultantPlus (a Russian legal reference system).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If the decision is made to proceed, the subscription may be arranged via William’s Russian bank account. Potentially a YuMoney card?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Clarification is needed regarding costs, license limits, and how this service would integrate into DRLA activities.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Status of key initiatives</w:t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4.1. Digital lecture series &amp; content development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Prof. Feldbrugge and Prof. Wim Timmermans have declined participation in public lecture series.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Alternatives being explored: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Exploring cooperation with OpenEdu.ru (a Russian initiative for educational content). This would entail translation of Russian university lectures, with focus on copyright-free or openly licensed material</w:t>
        <w:br w:type="textWrapping"/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4.2. Knowledge base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 key ambition of the original DRLA board was to establish a digital knowledge base.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Next step: identify contributors and define technical requirements for publication (e.g. licensing under Creative Commons).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Ernst reached out to the librarian of the East European Law Department at Universiteit Leiden to explore possibilities of cooperation. </w:t>
        <w:br w:type="textWrapping"/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4.3. AI-based translation pilots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Ernst has successfully piloted AI translation of Dutch legal texts to English (Wetboek van Burgerlijke Rechtsvordering).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Ernst reached out to ms. Julia Kroes to ask her we can use her translation of Book 4 Rv as a basis to translate other parts of Wetboek van Burgerlijke Rechtsvordering to Russian. She, however, has decided not to reply to my messages so far.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Next step: assess feasibility of extending this project to other laws, particularly where source material is rights-free.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Discuss: There seem to be copyright free translations available, on which AI can be trained. Is there a need for Russian laws to be translated to English/Dutch and visa versa?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Plus: who would be willing to check the translations?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Website reconstruction &amp; digital policy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Should the current DRLA website be taken offline and marked as “under reconstruction”?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Discuss new website goals: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Remove politically sensitive legacy content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Add multilingual interface (English default, official messages to be translated to Dutch and Russian using standard tools)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Highlight neutral, academic collaboration focus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forum where members can discuss things? Separate subdomain? (community.thedrla.org)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Web admin role and development timeline to be discussed and assigned</w:t>
        <w:br w:type="textWrapping"/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Content strategy &amp; lecture planning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6.1. Lecture themes (initial focus areas)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Legal history (Dutch and Russian)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Legal culture and civil law norms</w:t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Judicial ethics</w:t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Civil procedure</w:t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Note: topics such as Criminal and Administrative Law will be avoided for now due to sensitivity.</w:t>
        <w:br w:type="textWrapping"/>
      </w:r>
    </w:p>
    <w:p w:rsidR="00000000" w:rsidDel="00000000" w:rsidP="00000000" w:rsidRDefault="00000000" w:rsidRPr="00000000" w14:paraId="0000004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6.2. Collaboration &amp; external speakers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Legal professionals from outside the Netherlands and Russia may be invited on a case-by-case basis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 due diligence check (e.g. sanction lists) will be conducted beforehand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Suggestion: Rimma could oversee this aspect, given her familiarity with current restrictions</w:t>
        <w:br w:type="textWrapping"/>
      </w:r>
    </w:p>
    <w:p w:rsidR="00000000" w:rsidDel="00000000" w:rsidP="00000000" w:rsidRDefault="00000000" w:rsidRPr="00000000" w14:paraId="0000004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6.3. Role of advisory board in content review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The proposal is to involve the Advisory Council in a consultative capacity when it comes to approving lecture topics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Final decisions and responsibility rest with the Executive Board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Purpose: reduce workload and increase transparency, while safeguarding DRLA’s neutral stance</w:t>
        <w:br w:type="textWrapping"/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Outreach and institutional collaboration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Status of outreach to other legal associations: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German-Russian Lawyers Association e.V. (contact initiated by Heleen, went quiet afterwards)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Anglo-Russian Law Association (not contacted)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Others (to be checked)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Goal: explore academic and educational partnerships without political entanglements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Option: mutual publication of non-political academic content, translated and circulated</w:t>
        <w:br w:type="textWrapping"/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Planning the general annual meeting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Agreement to hold a broader annual meeting to present these plans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Ernst: I do think we should move forward with all and any plans that can be acted upon, to prevent further intertia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Discussion points: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Format: Online (via MS Teams)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Agenda items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Final date (proposed options between late August and mid-September)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Organising team and communications</w:t>
        <w:br w:type="textWrapping"/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Other business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Suggestions and input from participants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Brief roundtable: what should be prioritised for Q3 and Q4 2025?</w:t>
        <w:br w:type="textWrapping"/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Closing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Recap of action points and assignments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Confirmation of next Steering Group meeting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Adjournment</w:t>
        <w:br w:type="textWrapping"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